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8C2F27"/>
          <w:sz w:val="22"/>
        </w:rPr>
        <w:t>ROTEIRO DE APRESENTAÇÃO</w:t>
      </w:r>
    </w:p>
    <w:p>
      <w:r>
        <w:rPr>
          <w:b/>
          <w:sz w:val="60"/>
        </w:rPr>
        <w:t>A EDA Central</w:t>
      </w:r>
    </w:p>
    <w:p>
      <w:pPr>
        <w:spacing w:before="0" w:after="360"/>
        <w:ind w:left="0"/>
      </w:pPr>
      <w:r>
        <w:rPr>
          <w:b w:val="0"/>
          <w:i w:val="0"/>
          <w:color w:val="56534C"/>
          <w:sz w:val="24"/>
        </w:rPr>
        <w:t>Índice de Vulnerabilidade da Saúde intraurbano · Censo Demográfico 2022 · 70 municípios do ELSI-Brasil</w:t>
      </w:r>
    </w:p>
    <w:p>
      <w:pPr>
        <w:spacing w:before="0" w:after="120"/>
        <w:ind w:left="0"/>
      </w:pPr>
      <w:r>
        <w:rPr>
          <w:b w:val="0"/>
          <w:i w:val="0"/>
          <w:color w:val="56534C"/>
          <w:sz w:val="21"/>
        </w:rPr>
        <w:t>51 slides · duração estimada de 40 a 50 minutos · 104.108 setores censitários urbanos</w:t>
      </w:r>
    </w:p>
    <w:p>
      <w:pPr>
        <w:spacing w:before="800" w:after="120"/>
        <w:ind w:left="0"/>
      </w:pPr>
      <w:r>
        <w:rPr>
          <w:b w:val="0"/>
          <w:i w:val="0"/>
          <w:color w:val="56534C"/>
          <w:sz w:val="20"/>
        </w:rPr>
        <w:t>Pedro Dias Soares · Iniciação Científica · Fiocruz Minas — Instituto René Rachou · setembro de 2026</w:t>
      </w:r>
    </w:p>
    <w:p>
      <w:r>
        <w:br w:type="page"/>
      </w:r>
    </w:p>
    <w:p>
      <w:pPr>
        <w:pStyle w:val="Heading1"/>
      </w:pPr>
      <w:r>
        <w:t>Como usar este roteiro</w:t>
      </w:r>
    </w:p>
    <w:p>
      <w:pPr>
        <w:spacing w:before="0" w:after="120"/>
        <w:ind w:left="0"/>
      </w:pPr>
      <w:r>
        <w:rPr>
          <w:b w:val="0"/>
          <w:i w:val="0"/>
        </w:rPr>
        <w:t>Cada slide tem quatro blocos. "O que está na tela" descreve o conteúdo, para você reconhecer o slide sem precisar olhar. "O que dizer" traz a fala sugerida entre aspas e em itálico — não é para decorar nem ler, é para você saber qual é a ideia central e em que ordem ela se sustenta. "O que apontar" indica onde levar o olhar de quem assiste, especialmente nas figuras. "Se perguntarem" antecipa as objeções prováveis.</w:t>
      </w:r>
    </w:p>
    <w:p>
      <w:pPr>
        <w:spacing w:before="80" w:after="120"/>
        <w:ind w:left="0"/>
      </w:pPr>
      <w:r>
        <w:rPr>
          <w:b w:val="0"/>
          <w:i w:val="0"/>
        </w:rPr>
        <w:t>Uma regra vale para a apresentação inteira: sempre que citar um número, diga o recorte. A base tem dois — 104.108 setores urbanos elegíveis e 106.281 incluindo os rurais — e confundi-los foi um erro real que esta versão do deck corrigiu. Cada tabela traz o recorte impresso embaixo dela; se a pergunta vier, é só ler.</w:t>
      </w:r>
    </w:p>
    <w:p>
      <w:pPr>
        <w:pStyle w:val="Heading2"/>
      </w:pPr>
      <w:r>
        <w:t>Antes de começar</w:t>
      </w:r>
    </w:p>
    <w:p>
      <w:pPr>
        <w:pStyle w:val="ListBullet"/>
        <w:spacing w:after="60"/>
        <w:ind w:left="454"/>
      </w:pPr>
      <w:r>
        <w:t>Deixe abertos: a pasta banco_de_dados/eda/ (61 tabelas) e o PDF do IBGE em docs/ — as duas perguntas mais prováveis se respondem abrindo um arquivo.</w:t>
      </w:r>
    </w:p>
    <w:p>
      <w:pPr>
        <w:pStyle w:val="ListBullet"/>
        <w:spacing w:after="60"/>
        <w:ind w:left="454"/>
      </w:pPr>
      <w:r>
        <w:t>Tenha à mão o número 65: é a quantidade de testes automatizados que passam. É a resposta curta para "como você sabe que isso está certo?".</w:t>
      </w:r>
    </w:p>
    <w:p>
      <w:pPr>
        <w:pStyle w:val="ListBullet"/>
        <w:spacing w:after="60"/>
        <w:ind w:left="454"/>
      </w:pPr>
      <w:r>
        <w:t>Se o tempo apertar, os slides que não podem cair são 3, 4, 11, 14, 22, 25, 28, 36, 41 e 50. Os divisores de seção (7, 10, 12, 21, 24, 32, 40, 44) podem passar em cinco segundos.</w:t>
      </w:r>
    </w:p>
    <w:p>
      <w:pPr>
        <w:pStyle w:val="ListBullet"/>
        <w:spacing w:after="60"/>
        <w:ind w:left="454"/>
      </w:pPr>
      <w:r>
        <w:t>Os slides 16, 17, 19, 22, 29 e 31 têm figura. Em cada um, resista a descrever a figura inteira: diga a única coisa que ela mostra e siga.</w:t>
      </w:r>
    </w:p>
    <w:p>
      <w:pPr>
        <w:pStyle w:val="Heading2"/>
      </w:pPr>
      <w:r>
        <w:t>O arco da apresentação, em uma frase por seção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Seção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Slides</w:t>
            </w:r>
          </w:p>
        </w:tc>
        <w:tc>
          <w:tcPr>
            <w:tcW w:type="dxa" w:w="6463"/>
          </w:tcPr>
          <w:p>
            <w:r/>
            <w:r>
              <w:rPr>
                <w:b/>
                <w:sz w:val="19"/>
              </w:rPr>
              <w:t>A ideia que precisa ficar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Abertura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1–2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Esta é a primeira vez que a EDA aparece inteira; as anteriores eram recortes.</w:t>
            </w:r>
          </w:p>
        </w:tc>
      </w:tr>
      <w:tr>
        <w:tc>
          <w:tcPr>
            <w:tcW w:type="dxa" w:w="1474"/>
          </w:tcPr>
          <w:p>
            <w:r>
              <w:t>O que mudou</w:t>
            </w:r>
          </w:p>
        </w:tc>
        <w:tc>
          <w:tcPr>
            <w:tcW w:type="dxa" w:w="1020"/>
          </w:tcPr>
          <w:p>
            <w:r>
              <w:t>3–6</w:t>
            </w:r>
          </w:p>
        </w:tc>
        <w:tc>
          <w:tcPr>
            <w:tcW w:type="dxa" w:w="6463"/>
          </w:tcPr>
          <w:p>
            <w:r>
              <w:t>Um valor saiu da base; o que ele movia era a forma da distribuição, não o nível.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1. Desenho</w:t>
            </w:r>
          </w:p>
        </w:tc>
        <w:tc>
          <w:tcPr>
            <w:tcW w:type="dxa" w:w="1020"/>
          </w:tcPr>
          <w:p>
            <w:r>
              <w:t>7–9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objeto é o setor censitário, e o índice é intraurbano — isso decide todo o resto.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2. Quem entra</w:t>
            </w:r>
          </w:p>
        </w:tc>
        <w:tc>
          <w:tcPr>
            <w:tcW w:type="dxa" w:w="1020"/>
          </w:tcPr>
          <w:p>
            <w:r>
              <w:t>10–11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Cada exclusão é auditável e reversível; a base bruta guarda tudo.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3. As sete componentes</w:t>
            </w:r>
          </w:p>
        </w:tc>
        <w:tc>
          <w:tcPr>
            <w:tcW w:type="dxa" w:w="1020"/>
          </w:tcPr>
          <w:p>
            <w:r>
              <w:t>12–20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distribuições são torcidas, e isso quebra a regra usual de outlier.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4. Correlação</w:t>
            </w:r>
          </w:p>
        </w:tc>
        <w:tc>
          <w:tcPr>
            <w:tcW w:type="dxa" w:w="1020"/>
          </w:tcPr>
          <w:p>
            <w:r>
              <w:t>21–23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Três variáveis medem quase a mesma coisa; chefia feminina mede outra.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5. Renda</w:t>
            </w:r>
          </w:p>
        </w:tc>
        <w:tc>
          <w:tcPr>
            <w:tcW w:type="dxa" w:w="1020"/>
          </w:tcPr>
          <w:p>
            <w:r>
              <w:t>24–31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extremo não é renda alta nem vírgula fora do lugar — é média puxada por poucas declarações; e o dano está na escala, não na média.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6. Blocos descritivos</w:t>
            </w:r>
          </w:p>
        </w:tc>
        <w:tc>
          <w:tcPr>
            <w:tcW w:type="dxa" w:w="1020"/>
          </w:tcPr>
          <w:p>
            <w:r>
              <w:t>32–39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Tudo que ficou fora dos decks anteriores, agora no mesmo recorte.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7. Favelas</w:t>
            </w:r>
          </w:p>
        </w:tc>
        <w:tc>
          <w:tcPr>
            <w:tcW w:type="dxa" w:w="1020"/>
          </w:tcPr>
          <w:p>
            <w:r>
              <w:t>40–42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critério foi validado contra a lista oficial do IBGE, com 100% de acerto.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8. Fechamento</w:t>
            </w:r>
          </w:p>
        </w:tc>
        <w:tc>
          <w:tcPr>
            <w:tcW w:type="dxa" w:w="1020"/>
          </w:tcPr>
          <w:p>
            <w:r>
              <w:t>43–51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Limitações declaradas, correções assumidas e o próximo passo definido.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Roteiro slide a slide</w:t>
      </w:r>
    </w:p>
    <w:p>
      <w:pPr>
        <w:pStyle w:val="Heading2"/>
      </w:pPr>
      <w:r>
        <w:t>Slide 1 — Capa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30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Folha de rosto: título, subtítulo com o recorte e a assinatura.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análise exploratória completa do Censo 2022 nos 70 municípios do ELSI-Brasil. São 104 mil setores censitários urbanos, e é a primeira vez que apresento a EDA inteira num só lugar.”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só agora?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cada apresentação anterior foi montada em torno da pauta daquele mês. O próximo slide mostra exatamente o que se perdeu nisso.</w:t>
      </w:r>
    </w:p>
    <w:p>
      <w:pPr>
        <w:pStyle w:val="Heading2"/>
      </w:pPr>
      <w:r>
        <w:t>Slide 2 — Por que esta apresentação existe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comparando os blocos de análise entre o deck de junho, o de agosto e este.</w:t>
      </w:r>
    </w:p>
    <w:p>
      <w:pPr>
        <w:pStyle w:val="ListBullet"/>
        <w:spacing w:after="60"/>
        <w:ind w:left="454"/>
      </w:pPr>
      <w:r>
        <w:t>Coluna "Agosto" tem três "caiu"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notou que a chefia feminina não estava na última apresentação. Eu fui atrás, e achei o motivo. Ela estava sim no deck de junho, no slide 19. Sumiu quando remontei a apresentação de agosto em torno das sete demandas de julho — e chefia feminina tinha sido uma das seis demandas de junho, não de julho.”</w:t>
      </w:r>
    </w:p>
    <w:p>
      <w:pPr>
        <w:spacing w:before="80" w:after="160"/>
        <w:ind w:left="510" w:right="283"/>
      </w:pPr>
      <w:r>
        <w:rPr>
          <w:i/>
        </w:rPr>
        <w:t>“Não foi só ela. Habitação precária, morfologia do domicílio e a análise de banheiro caíram na mesma reescrita. E a causa é estrutural: nenhum script gerava as apresentações. A lista do que entra vivia na minha cabeça.”</w:t>
      </w:r>
    </w:p>
    <w:p>
      <w:pPr>
        <w:spacing w:before="80" w:after="160"/>
        <w:ind w:left="510" w:right="283"/>
      </w:pPr>
      <w:r>
        <w:rPr>
          <w:i/>
        </w:rPr>
        <w:t>“Este deck é gerado por script, e os números são lidos das tabelas na hora de gerar. Nenhum valor é digitado à mão.”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Os três "caiu" da coluna Agosto — é o que motivou esta revisão.</w:t>
      </w:r>
    </w:p>
    <w:p>
      <w:pPr>
        <w:pStyle w:val="ListBullet"/>
        <w:spacing w:after="60"/>
        <w:ind w:left="454"/>
      </w:pPr>
      <w:r>
        <w:t>A coluna "Tabelas": os dados nunca sumiram, só o caminho até 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Como você garante que não vai acontecer de novo?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A lista de blocos agora está num arquivo versionado. Dá para comparar o que o deck cobre com as 61 tabelas da pasta e ver o que ficou de fora.</w:t>
      </w:r>
    </w:p>
    <w:p>
      <w:pPr>
        <w:pStyle w:val="Heading2"/>
      </w:pPr>
      <w:r>
        <w:rPr>
          <w:i w:val="0"/>
        </w:rPr>
        <w:t>Slide 3 — O que mudou nesta rodada</w:t>
      </w:r>
    </w:p>
    <w:p>
      <w:pPr>
        <w:pStyle w:val="Heading2"/>
      </w:pPr>
      <w:r>
        <w:rPr>
          <w:i w:val="0"/>
        </w:rPr>
        <w:t>Tempo sugerido: 2 minutos</w:t>
      </w:r>
    </w:p>
    <w:p>
      <w:pPr>
        <w:pStyle w:val="Heading3"/>
      </w:pPr>
      <w:r>
        <w:rPr>
          <w:i w:val="0"/>
        </w:rPr>
        <w:t>O que está na tela</w:t>
      </w:r>
    </w:p>
    <w:p>
      <w:pPr>
        <w:pStyle w:val="ListBullet"/>
      </w:pPr>
      <w:r>
        <w:rPr>
          <w:i w:val="0"/>
        </w:rPr>
        <w:t>Três parágrafos: o pedido, o setor e o alcance da mudança.</w:t>
      </w:r>
    </w:p>
    <w:p>
      <w:pPr>
        <w:pStyle w:val="ListBullet"/>
      </w:pPr>
      <w:r>
        <w:rPr>
          <w:i w:val="0"/>
        </w:rPr>
        <w:t>Quatro números em destaque no rodapé, um deles a queda de 48% na curtose.</w:t>
      </w:r>
    </w:p>
    <w:p>
      <w:pPr>
        <w:pStyle w:val="Heading3"/>
      </w:pPr>
      <w:r>
        <w:rPr>
          <w:i/>
        </w:rPr>
        <w:t>O que dizer</w:t>
      </w:r>
    </w:p>
    <w:p>
      <w:pPr>
        <w:pStyle w:val="Heading3"/>
      </w:pPr>
      <w:r>
        <w:rPr>
          <w:i/>
        </w:rPr>
        <w:t>“A senhora pediu uma coluna de renda sem o extremo de Belo Horizonte. Eu fiz a coluna — e refiz a EDA inteira com ela, para poder dizer o que mudou em vez de supor.”</w:t>
      </w:r>
    </w:p>
    <w:p>
      <w:pPr>
        <w:pStyle w:val="Heading3"/>
      </w:pPr>
      <w:r>
        <w:rPr>
          <w:i/>
        </w:rPr>
        <w:t>“Saiu um setor de 104.108. O que mudou foram 45 células, em 6 tabelas, todas dentro da renda e das correlações dela. Nenhum bloco fora da renda se moveu — e isso foi verificado célula a célula, não no olho.”</w:t>
      </w:r>
    </w:p>
    <w:p>
      <w:pPr>
        <w:pStyle w:val="Heading3"/>
      </w:pPr>
      <w:r>
        <w:rPr>
          <w:i w:val="0"/>
        </w:rPr>
        <w:t>Se perguntarem</w:t>
      </w:r>
    </w:p>
    <w:p>
      <w:pPr>
        <w:pStyle w:val="Heading3"/>
      </w:pPr>
      <w:r>
        <w:rPr>
          <w:i w:val="0"/>
        </w:rPr>
        <w:t>P: Como você sabe que não mudou mais nada?</w:t>
      </w:r>
    </w:p>
    <w:p>
      <w:pPr>
        <w:pStyle w:val="Heading3"/>
      </w:pPr>
      <w:r>
        <w:rPr>
          <w:i w:val="0"/>
        </w:rPr>
        <w:t>R: O mesmo script recalcula as tabelas nas duas versões e compara. Antes disso, ele roda com a coluna antiga e confere se reproduz a EDA já publicada — se não reproduzir, ele para. As tabelas que não aparecem na lista de alterações têm diferença exatamente zero.</w:t>
      </w:r>
    </w:p>
    <w:p>
      <w:pPr>
        <w:pStyle w:val="Heading2"/>
      </w:pPr>
      <w:r>
        <w:rPr>
          <w:i w:val="0"/>
        </w:rPr>
        <w:t>Slide 4 — A renda, antes e depois</w:t>
      </w:r>
    </w:p>
    <w:p>
      <w:pPr>
        <w:pStyle w:val="Heading2"/>
      </w:pPr>
      <w:r>
        <w:rPr>
          <w:i w:val="0"/>
        </w:rPr>
        <w:t>Tempo sugerido: 3 minutos</w:t>
      </w:r>
    </w:p>
    <w:p>
      <w:pPr>
        <w:pStyle w:val="Heading3"/>
      </w:pPr>
      <w:r>
        <w:rPr>
          <w:i w:val="0"/>
        </w:rPr>
        <w:t>O que está na tela</w:t>
      </w:r>
    </w:p>
    <w:p>
      <w:pPr>
        <w:pStyle w:val="ListBullet"/>
      </w:pPr>
      <w:r>
        <w:rPr>
          <w:i w:val="0"/>
        </w:rPr>
        <w:t>Tabela de sete estatísticas da renda, com a coluna de variação.</w:t>
      </w:r>
    </w:p>
    <w:p>
      <w:pPr>
        <w:pStyle w:val="Heading3"/>
      </w:pPr>
      <w:r>
        <w:rPr>
          <w:i/>
        </w:rPr>
        <w:t>O que dizer</w:t>
      </w:r>
    </w:p>
    <w:p>
      <w:pPr>
        <w:pStyle w:val="Heading3"/>
      </w:pPr>
      <w:r>
        <w:rPr>
          <w:i/>
        </w:rPr>
        <w:t>“O efeito é estreito e fundo, não largo e raso. A média cai 0,04% e a mediana não muda — tirar um setor em 104 mil não desloca o centro de nada.”</w:t>
      </w:r>
    </w:p>
    <w:p>
      <w:pPr>
        <w:pStyle w:val="Heading3"/>
      </w:pPr>
      <w:r>
        <w:rPr>
          <w:i/>
        </w:rPr>
        <w:t>“O que muda é a cauda. A assimetria cai 14,5% e a curtose cai 48,2%. Metade do peso da cauda da renda, no recorte inteiro, estava naquele único setor.”</w:t>
      </w:r>
    </w:p>
    <w:p>
      <w:pPr>
        <w:pStyle w:val="Heading3"/>
      </w:pPr>
      <w:r>
        <w:rPr>
          <w:i w:val="0"/>
        </w:rPr>
        <w:t>O que apontar</w:t>
      </w:r>
    </w:p>
    <w:p>
      <w:pPr>
        <w:pStyle w:val="ListBullet"/>
      </w:pPr>
      <w:r>
        <w:rPr>
          <w:i w:val="0"/>
        </w:rPr>
        <w:t>A linha da curtose: 49,49 para 25,66. É a linha que justifica a rodada inteira.</w:t>
      </w:r>
    </w:p>
    <w:p>
      <w:pPr>
        <w:pStyle w:val="Heading3"/>
      </w:pPr>
      <w:r>
        <w:rPr>
          <w:i w:val="0"/>
        </w:rPr>
        <w:t>Se perguntarem</w:t>
      </w:r>
    </w:p>
    <w:p>
      <w:pPr>
        <w:pStyle w:val="Heading3"/>
      </w:pPr>
      <w:r>
        <w:rPr>
          <w:i w:val="0"/>
        </w:rPr>
        <w:t>P: Se a média quase não muda, para que serviu?</w:t>
      </w:r>
    </w:p>
    <w:p>
      <w:pPr>
        <w:pStyle w:val="Heading3"/>
      </w:pPr>
      <w:r>
        <w:rPr>
          <w:i w:val="0"/>
        </w:rPr>
        <w:t>R: Para a escala, que é o insumo do índice — é o slide 28. E para a matriz de Pearson, que é o insumo da análise fatorial — é o slide 5.</w:t>
      </w:r>
    </w:p>
    <w:p>
      <w:pPr>
        <w:pStyle w:val="Heading2"/>
      </w:pPr>
      <w:r>
        <w:rPr>
          <w:i w:val="0"/>
        </w:rPr>
        <w:t>Slide 5 — As correlações com a renda</w:t>
      </w:r>
    </w:p>
    <w:p>
      <w:pPr>
        <w:pStyle w:val="Heading2"/>
      </w:pPr>
      <w:r>
        <w:rPr>
          <w:i w:val="0"/>
        </w:rPr>
        <w:t>Tempo sugerido: 3 minutos</w:t>
      </w:r>
    </w:p>
    <w:p>
      <w:pPr>
        <w:pStyle w:val="Heading3"/>
      </w:pPr>
      <w:r>
        <w:rPr>
          <w:i w:val="0"/>
        </w:rPr>
        <w:t>O que está na tela</w:t>
      </w:r>
    </w:p>
    <w:p>
      <w:pPr>
        <w:pStyle w:val="ListBullet"/>
      </w:pPr>
      <w:r>
        <w:rPr>
          <w:i w:val="0"/>
        </w:rPr>
        <w:t>Os oito pares de Pearson com a renda, antes e depois.</w:t>
      </w:r>
    </w:p>
    <w:p>
      <w:pPr>
        <w:pStyle w:val="Heading3"/>
      </w:pPr>
      <w:r>
        <w:rPr>
          <w:i/>
        </w:rPr>
        <w:t>O que dizer</w:t>
      </w:r>
    </w:p>
    <w:p>
      <w:pPr>
        <w:pStyle w:val="Heading3"/>
      </w:pPr>
      <w:r>
        <w:rPr>
          <w:i/>
        </w:rPr>
        <w:t>“Todas as correlações da renda ficam mais fortes. O valor extremo achatava a associação linear: com analfabetismo, vai de menos 0,418 para menos 0,424.”</w:t>
      </w:r>
    </w:p>
    <w:p>
      <w:pPr>
        <w:pStyle w:val="Heading3"/>
      </w:pPr>
      <w:r>
        <w:rPr>
          <w:i/>
        </w:rPr>
        <w:t>“E o ponto que importa mais do que o tamanho da mudança: a matriz de Spearman é idêntica antes e depois, nas cem células. Ela trabalha com postos, então o caso nunca a afetou.”</w:t>
      </w:r>
    </w:p>
    <w:p>
      <w:pPr>
        <w:pStyle w:val="Heading3"/>
      </w:pPr>
      <w:r>
        <w:rPr>
          <w:i w:val="0"/>
        </w:rPr>
        <w:t>Se perguntarem</w:t>
      </w:r>
    </w:p>
    <w:p>
      <w:pPr>
        <w:pStyle w:val="Heading3"/>
      </w:pPr>
      <w:r>
        <w:rPr>
          <w:i w:val="0"/>
        </w:rPr>
        <w:t>P: E o que isso recomenda?</w:t>
      </w:r>
    </w:p>
    <w:p>
      <w:pPr>
        <w:pStyle w:val="Heading3"/>
      </w:pPr>
      <w:r>
        <w:rPr>
          <w:i w:val="0"/>
        </w:rPr>
        <w:t>R: Estatística robusta para a renda inteira — posto, log ou escala robusta —, em vez de caçar observação. É a decisão que continua em aberto, e agora ela tem evidência empírica direta, não só argumento.</w:t>
      </w:r>
    </w:p>
    <w:p>
      <w:pPr>
        <w:pStyle w:val="Heading3"/>
      </w:pPr>
      <w:r>
        <w:rPr>
          <w:i w:val="0"/>
        </w:rPr>
        <w:t>P: A análise fatorial muda?</w:t>
      </w:r>
    </w:p>
    <w:p>
      <w:pPr>
        <w:pStyle w:val="Heading3"/>
      </w:pPr>
      <w:r>
        <w:rPr>
          <w:i w:val="0"/>
        </w:rPr>
        <w:t>R: Praticamente não: o KMO vai de 0,7826 para 0,7825, porque o diagnóstico roda sobre Spearman. As conclusões sobre o lixo formar fator próprio e sobre os pesos 65/35 seguem valendo sem retrabalho.</w:t>
      </w:r>
    </w:p>
    <w:p>
      <w:pPr>
        <w:pStyle w:val="Heading2"/>
      </w:pPr>
      <w:r>
        <w:rPr>
          <w:i w:val="0"/>
        </w:rPr>
        <w:t>Slide 6 — O que NÃO mudou</w:t>
      </w:r>
    </w:p>
    <w:p>
      <w:pPr>
        <w:pStyle w:val="Heading2"/>
      </w:pPr>
      <w:r>
        <w:rPr>
          <w:i w:val="0"/>
        </w:rPr>
        <w:t>Tempo sugerido: 2 minutos</w:t>
      </w:r>
    </w:p>
    <w:p>
      <w:pPr>
        <w:pStyle w:val="Heading3"/>
      </w:pPr>
      <w:r>
        <w:rPr>
          <w:i w:val="0"/>
        </w:rPr>
        <w:t>O que está na tela</w:t>
      </w:r>
    </w:p>
    <w:p>
      <w:pPr>
        <w:pStyle w:val="ListBullet"/>
      </w:pPr>
      <w:r>
        <w:rPr>
          <w:i w:val="0"/>
        </w:rPr>
        <w:t>Sete linhas de blocos da EDA, todas com a mesma resposta: idêntico.</w:t>
      </w:r>
    </w:p>
    <w:p>
      <w:pPr>
        <w:pStyle w:val="Heading3"/>
      </w:pPr>
      <w:r>
        <w:rPr>
          <w:i/>
        </w:rPr>
        <w:t>O que dizer</w:t>
      </w:r>
    </w:p>
    <w:p>
      <w:pPr>
        <w:pStyle w:val="Heading3"/>
      </w:pPr>
      <w:r>
        <w:rPr>
          <w:i/>
        </w:rPr>
        <w:t>“Este slide é tão importante quanto o anterior. A exclusão não vazou para o resto da análise: água, esgoto, lixo, razão de moradores, analfabetismo e cor ou raça estão idênticos em média, mediana, outliers e faltantes.”</w:t>
      </w:r>
    </w:p>
    <w:p>
      <w:pPr>
        <w:pStyle w:val="Heading3"/>
      </w:pPr>
      <w:r>
        <w:rPr>
          <w:i/>
        </w:rPr>
        <w:t>“As contagens de favela também: 19.452 no recorte, 19.507 na base. E a matriz de Spearman, idêntica nas cem células.”</w:t>
      </w:r>
    </w:p>
    <w:p>
      <w:pPr>
        <w:pStyle w:val="Heading3"/>
      </w:pPr>
      <w:r>
        <w:rPr>
          <w:i w:val="0"/>
        </w:rPr>
        <w:t>Se perguntarem</w:t>
      </w:r>
    </w:p>
    <w:p>
      <w:pPr>
        <w:pStyle w:val="Heading3"/>
      </w:pPr>
      <w:r>
        <w:rPr>
          <w:i w:val="0"/>
        </w:rPr>
        <w:t>P: Então por que refazer a EDA inteira?</w:t>
      </w:r>
    </w:p>
    <w:p>
      <w:pPr>
        <w:pStyle w:val="Heading3"/>
      </w:pPr>
      <w:r>
        <w:rPr>
          <w:i w:val="0"/>
        </w:rPr>
        <w:t>R: Porque dizer que só a renda mudaria era uma expectativa, não um fato. Recalcular tudo é o que transforma a expectativa em verificação — e foi assim que apareceram três números defasados no próprio deck, que já estão corrigidos.</w:t>
      </w:r>
    </w:p>
    <w:p>
      <w:pPr>
        <w:pStyle w:val="Heading2"/>
      </w:pPr>
      <w:r>
        <w:t>Slide 7 — Divisor — O desenho do estudo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seção, só o número 1 e o título.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“Começo pelo desenho: a pergunta, o objeto e como o código está organizado.”</w:t>
      </w:r>
    </w:p>
    <w:p>
      <w:pPr>
        <w:pStyle w:val="Heading2"/>
      </w:pPr>
      <w:r>
        <w:t>Slide 8 — A pergunta e o objeto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A pergunta de pesquisa, a definição do objeto e quatro números de dimensionamento.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pergunta é como a vulnerabilidade se distribui dentro das cidades, não entre elas. Isso parece detalhe, mas é a decisão que organiza a análise inteira.”</w:t>
      </w:r>
    </w:p>
    <w:p>
      <w:pPr>
        <w:spacing w:before="80" w:after="160"/>
        <w:ind w:left="510" w:right="283"/>
      </w:pPr>
      <w:r>
        <w:rPr>
          <w:i/>
        </w:rPr>
        <w:t>“O objeto é o setor censitário, a menor unidade do Censo. E o índice é intraurbano: ele compara setores dentro da mesma cidade. Sempre que eu tiver que escolher entre um critério nacional e um critério municipal ao longo desta apresentação, vou escolher o municipal — e é por causa desta definição.”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104.108 setores urbanos elegíveis, em 70 municípios.</w:t>
      </w:r>
    </w:p>
    <w:p>
      <w:pPr>
        <w:pStyle w:val="ListBullet"/>
        <w:spacing w:after="60"/>
        <w:ind w:left="454"/>
      </w:pPr>
      <w:r>
        <w:t>8 arquivos do Censo, 2,4 GB, 73 variáveis na base montada.</w:t>
      </w:r>
    </w:p>
    <w:p>
      <w:pPr>
        <w:pStyle w:val="ListBullet"/>
        <w:spacing w:after="60"/>
        <w:ind w:left="454"/>
      </w:pPr>
      <w:r>
        <w:t>O recorte reúne 61,4% de toda a população favelada do Brasil — número conferido contra a publicação oficial do IBGE, e que volta no slide 37.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70 municípios?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É a amostra do ELSI-Brasil, o estudo longitudinal da saúde dos idosos. O índice vai ser cruzado com desfechos dessa coorte.</w:t>
      </w:r>
    </w:p>
    <w:p>
      <w:pPr>
        <w:pStyle w:val="Heading2"/>
      </w:pPr>
      <w:r>
        <w:t>Slide 9 — Como a pipeline está estruturada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Cinco etapas numeradas: módulo, Notebook 01, Notebook 02, scripts e testes.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“As fórmulas ficam num módulo só. Os dois notebooks e os quatro scripts leem dele — nenhuma fórmula é redigitada em outro lugar.”</w:t>
      </w:r>
    </w:p>
    <w:p>
      <w:pPr>
        <w:spacing w:before="80" w:after="160"/>
        <w:ind w:left="510" w:right="283"/>
      </w:pPr>
      <w:r>
        <w:rPr>
          <w:i/>
        </w:rPr>
        <w:t>“Isso não era assim até este mês. As fórmulas existiam em dois lugares e a lista de variáveis em três. Bastava corrigir de um lado e esquecer o outro para o recorte ELSI divergir do cálculo nacional em silêncio.”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é reprodutível por outra pessoa?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Sim. São quatro comandos: criar o ambiente, rodar os dois notebooks e rodar os scripts. Está documentado no README, e a suíte de 63 testes confere o resultado.</w:t>
      </w:r>
    </w:p>
    <w:p>
      <w:pPr>
        <w:pStyle w:val="Heading2"/>
      </w:pPr>
      <w:r>
        <w:t>Slide 10 — Divisor — Quem entra na análise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2.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“Agora, quem entra e quem fica de fora.”</w:t>
      </w:r>
    </w:p>
    <w:p>
      <w:pPr>
        <w:pStyle w:val="Heading2"/>
      </w:pPr>
      <w:r>
        <w:t>Slide 11 — Do universo do Censo aos setores analisados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Tabela-funil: de 468.099 setores do país até 104.108 analisados.</w:t>
      </w:r>
    </w:p>
    <w:p>
      <w:pPr>
        <w:pStyle w:val="ListBullet"/>
        <w:spacing w:after="60"/>
        <w:ind w:left="454"/>
      </w:pPr>
      <w:r>
        <w:t>Dois parágrafos abaixo: a conferência da exclusão rural e a correção das massas d'água.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funil é o slide que eu mais uso para responder pergunta. Cada linha é um corte, e cada corte tem critério escrito.”</w:t>
      </w:r>
    </w:p>
    <w:p>
      <w:pPr>
        <w:spacing w:before="80" w:after="160"/>
        <w:ind w:left="510" w:right="283"/>
      </w:pPr>
      <w:r>
        <w:rPr>
          <w:i/>
        </w:rPr>
        <w:t>“Da esquerda para a direita: os 468 mil setores do país, o filtro dos 70 municípios, e aí três exclusões. Setores sem população, setores com o denominador sigiloso, e setores inteiramente coletivos — asilos e presídios, que no nosso recorte não aparecem.”</w:t>
      </w:r>
    </w:p>
    <w:p>
      <w:pPr>
        <w:spacing w:before="80" w:after="160"/>
        <w:ind w:left="510" w:right="283"/>
      </w:pPr>
      <w:r>
        <w:rPr>
          <w:i/>
        </w:rPr>
        <w:t>“A última linha é o filtro urbano, que a senhora pediu em julho. Ele é aplicado na análise, não na extração: a base bruta continua com os 109 mil setores, então a exclusão é reversível e auditável.”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ZERADO — foi uma correção: 1.736 setores sem população apareciam como sigilosos porque a ordem das condições estava invertida.</w:t>
      </w:r>
    </w:p>
    <w:p>
      <w:pPr>
        <w:pStyle w:val="ListBullet"/>
        <w:spacing w:after="60"/>
        <w:ind w:left="454"/>
      </w:pPr>
      <w:r>
        <w:t>A linha do recorte urbano: 2.173 setores rurais saem.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29 dos 70 municípios perdem mais de 10% dos setores com o filtro urbano, e 7 ficam com menos de 10 setores. Isso afeta a estabilidade das descritivas municipais e está declarado nas limitações.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excluir os rurais já na extração?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aí a exclusão viraria irreversível e não daria para conferir quanto saiu. Do jeito atual, a tabela de conferência mostra município a município.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Nenhum setor coletivo mesmo?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Nenhum. A classe existe na regra e ficou vazia, então ninguém é excluído por ela. O que existe é uma assimetria: quem mora em domicílio coletivo entra na população do setor, o v0001, mas não entra no denominador domiciliar, o V00001. Ou seja, essa pessoa conta nos indicadores de cor/raça e de idade, e não conta nos de saneamento. É isso que está nas limitações.</w:t>
      </w:r>
    </w:p>
    <w:p>
      <w:pPr>
        <w:pStyle w:val="Heading2"/>
      </w:pPr>
      <w:r>
        <w:t>Slide 12 — Divisor — As sete componentes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3.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“As sete variáveis que compõem o índice.”</w:t>
      </w:r>
    </w:p>
    <w:p>
      <w:pPr>
        <w:pStyle w:val="Heading2"/>
      </w:pPr>
      <w:r>
        <w:t>Slide 13 — As sete componentes — fórmulas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numerador, denominador e dimensão de cada componente.</w:t>
      </w:r>
    </w:p>
    <w:p>
      <w:pPr>
        <w:pStyle w:val="ListBullet"/>
        <w:spacing w:after="60"/>
        <w:ind w:left="454"/>
      </w:pPr>
      <w:r>
        <w:t>Três parágrafos abaixo: denominador consolidado, analfabetismo corrigido, três não reprodutíveis.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“Estas são as sete. Três de saneamento e quatro socioeconômicas, adaptadas do IVS-BH de 2012.”</w:t>
      </w:r>
    </w:p>
    <w:p>
      <w:pPr>
        <w:spacing w:before="80" w:after="160"/>
        <w:ind w:left="510" w:right="283"/>
      </w:pPr>
      <w:r>
        <w:rPr>
          <w:i/>
        </w:rPr>
        <w:t>“Duas correções valem menção. A primeira: o denominador domiciliar é V00001, domicílios particulares permanentes ocupados. Antes usávamos V01042, que é contagem de pessoas, não de domicílios — e com isso algumas proporções passavam de 1,0, o que é impossível.”</w:t>
      </w:r>
    </w:p>
    <w:p>
      <w:pPr>
        <w:spacing w:before="80" w:after="160"/>
        <w:ind w:left="510" w:right="283"/>
      </w:pPr>
      <w:r>
        <w:rPr>
          <w:i/>
        </w:rPr>
        <w:t>“A segunda: a taxa de analfabetismo é V00901 dividido pela soma de V00900 e V00901, ou seja, pelo total de pessoas com 15 anos ou mais. Antes era V00901 sobre V00900, que é uma razão entre analfabetos e alfabetizados, não uma taxa.”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 as componentes do IVS-BH que não estão aqui?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Três não existem nos agregados por setor do Censo 2022: anos de estudo, faixas de renda e óbitos cardiovasculares. Cada uma foi substituída por um proxy declarado, e a substituição está documentada.</w:t>
      </w:r>
    </w:p>
    <w:p>
      <w:pPr>
        <w:pStyle w:val="Heading2"/>
      </w:pPr>
      <w:r>
        <w:t>Slide 14 — As sete componentes em números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n, média, mediana, p75, máximo e assimetria das sete.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“Dois números desta tabela abrem as duas seções seguintes.”</w:t>
      </w:r>
    </w:p>
    <w:p>
      <w:pPr>
        <w:spacing w:before="80" w:after="160"/>
        <w:ind w:left="510" w:right="283"/>
      </w:pPr>
      <w:r>
        <w:rPr>
          <w:i/>
        </w:rPr>
        <w:t>“O primeiro é o n do analfabetismo: 87.556, contra 104 mil das outras. São 16.552 setores sem o dado, e a razão disso é o tema do slide 15.”</w:t>
      </w:r>
    </w:p>
    <w:p>
      <w:pPr>
        <w:spacing w:before="80" w:after="160"/>
        <w:ind w:left="510" w:right="283"/>
      </w:pPr>
      <w:r>
        <w:rPr>
          <w:i/>
        </w:rPr>
        <w:t>“O segundo é a assimetria da renda: 3,74, com máximo de 170 mil reais. É a distribuição mais torta da base, e é o tema da seção 5 inteira.”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mediana: em três das sete ela é zero. Água, esgoto e lixo não têm inadequação medida na maioria dos setores urbanos — e é isso que vai quebrar a regra de outlier no slide 14. Cuidado com a palavra: em cerca de um quarto desses zeros alguma parcela veio sigilosa, então é ausência de medida, não adequação comprovada.</w:t>
      </w:r>
    </w:p>
    <w:p>
      <w:pPr>
        <w:pStyle w:val="ListBullet"/>
        <w:spacing w:after="60"/>
        <w:ind w:left="454"/>
      </w:pPr>
      <w:r>
        <w:t>A razão de moradores é a única com assimetria próxima de zero.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reportar média e mediana juntas?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a distância entre elas mede a assimetria. Na renda, média de 4.187 contra mediana de 2.572 — a média está sendo puxada pela cauda.</w:t>
      </w:r>
    </w:p>
    <w:p>
      <w:pPr>
        <w:pStyle w:val="Heading2"/>
      </w:pPr>
      <w:r>
        <w:t>Slide 15 — As sete componentes por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das sete componentes por região.</w:t>
      </w:r>
    </w:p>
    <w:p>
      <w:pPr>
        <w:pStyle w:val="ListBullet"/>
        <w:spacing w:after="60"/>
        <w:ind w:left="454"/>
      </w:pPr>
      <w:r>
        <w:t>Dois parágrafos: o padrão confirmado e duas exceções.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“Aqui está o gradiente Norte-Sul que a literatura prevê, e ele aparece em seis das sete.”</w:t>
      </w:r>
    </w:p>
    <w:p>
      <w:pPr>
        <w:spacing w:before="80" w:after="160"/>
        <w:ind w:left="510" w:right="283"/>
      </w:pPr>
      <w:r>
        <w:rPr>
          <w:i/>
        </w:rPr>
        <w:t>“Água inadequada no Norte é dezesseis vezes a do Sul. O esgoto, oito vezes. A razão de moradores acompanha: 3,19 no Norte contra 2,53 no Sul.”</w:t>
      </w:r>
    </w:p>
    <w:p>
      <w:pPr>
        <w:spacing w:before="80" w:after="160"/>
        <w:ind w:left="510" w:right="283"/>
      </w:pPr>
      <w:r>
        <w:rPr>
          <w:i/>
        </w:rPr>
        <w:t>“Mas há duas exceções, e elas são mais interessantes que a regra. O analfabetismo tem pico no Nordeste, não no Norte. E o lixo inadequado é maior no Nordeste e no Sudeste do que no Norte — o que é o contrário do esperado, e volta no slide 39.”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lixo — é a única que não segue o gradiente. Guarde isso, porque no comparativo com o Brasil ela vai reaparecer.</w:t>
      </w:r>
    </w:p>
    <w:p>
      <w:pPr>
        <w:pStyle w:val="Heading2"/>
      </w:pPr>
      <w:r>
        <w:t>Slide 16 — Como as sete variáveis se distribuem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nove histogramas em grade, um por componente.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figura existe para justificar uma decisão metodológica, não para descrever.”</w:t>
      </w:r>
    </w:p>
    <w:p>
      <w:pPr>
        <w:spacing w:before="80" w:after="160"/>
        <w:ind w:left="510" w:right="283"/>
      </w:pPr>
      <w:r>
        <w:rPr>
          <w:i/>
        </w:rPr>
        <w:t>“Cinco das sete têm essa forma: uma barra altíssima no zero e uma cauda longa à direita. Não é uma distribuição com dispersão em torno de um centro — é uma massa de setores adequados mais uma minoria com problema.”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Aponte só um histograma, o da água. A forma se repete em esgoto e lixo.</w:t>
      </w:r>
    </w:p>
    <w:p>
      <w:pPr>
        <w:pStyle w:val="ListBullet"/>
        <w:spacing w:after="60"/>
        <w:ind w:left="454"/>
      </w:pPr>
      <w:r>
        <w:t>Depois aponte o da razão de moradores, que é o contraste: esse sim tem forma de sino.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invalida as estatísticas?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Não, mas muda quais fazem sentido. A média sozinha engana nessas cinco, e a regra do IQR para outlier deixa de funcionar — é o slide 14.</w:t>
      </w:r>
    </w:p>
    <w:p>
      <w:pPr>
        <w:pStyle w:val="Heading2"/>
      </w:pPr>
      <w:r>
        <w:t>Slide 17 — Distribuição por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boxplots das sete componentes, com as cinco regiões em cada painel.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mesma informação da tabela anterior, agora visual. O que a tabela dá em média, o boxplot dá em dispersão.”</w:t>
      </w:r>
    </w:p>
    <w:p>
      <w:pPr>
        <w:spacing w:before="80" w:after="160"/>
        <w:ind w:left="510" w:right="283"/>
      </w:pPr>
      <w:r>
        <w:rPr>
          <w:i/>
        </w:rPr>
        <w:t>“Repare que no Norte as caixas de água e esgoto são largas: não é só que a média é pior, é que a variação interna é maior. Há setores muito adequados e muito inadequados na mesma região.”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largura das caixas do Norte comparada com a do Sul, no painel de água.</w:t>
      </w:r>
    </w:p>
    <w:p>
      <w:pPr>
        <w:pStyle w:val="Heading2"/>
      </w:pPr>
      <w:r>
        <w:t>Slide 18 — Outliers: a regra do IQR não serve para o saneamento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quartis, limite superior, número de outliers e uma coluna "IQR serve?".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slide é sobre um método que falha, e sobre por que é importante dizer isso em vez de aplicar mesmo assim.”</w:t>
      </w:r>
    </w:p>
    <w:p>
      <w:pPr>
        <w:spacing w:before="80" w:after="160"/>
        <w:ind w:left="510" w:right="283"/>
      </w:pPr>
      <w:r>
        <w:rPr>
          <w:i/>
        </w:rPr>
        <w:t>“A regra usual de outlier usa o intervalo interquartil. Só que quando a mediana e o primeiro quartil são zero — que é o caso de água, esgoto e lixo — o intervalo interquartil fica minúsculo, e qualquer setor com qualquer inadequação vira atípico.”</w:t>
      </w:r>
    </w:p>
    <w:p>
      <w:pPr>
        <w:spacing w:before="80" w:after="160"/>
        <w:ind w:left="510" w:right="283"/>
      </w:pPr>
      <w:r>
        <w:rPr>
          <w:i/>
        </w:rPr>
        <w:t>“O resultado é que cerca de 20% dos setores são classificados como outlier nessas três variáveis. Vinte por cento não é cauda. É a forma da distribuição sendo confundida com anomalia.”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"IQR serve?" — três "não" e quatro "sim".</w:t>
      </w:r>
    </w:p>
    <w:p>
      <w:pPr>
        <w:pStyle w:val="ListBullet"/>
        <w:spacing w:after="60"/>
        <w:ind w:left="454"/>
      </w:pPr>
      <w:r>
        <w:t>Compare a linha da água (20,68% de outliers) com a da razão de moradores (3,49%).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Então como identificar outlier nessas variáveis?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Pelo percentil, que é o que a tabela também traz. Ou não identificar: se 20% dos setores têm inadequação, isso é o fenômeno, não ruído.</w:t>
      </w:r>
    </w:p>
    <w:p>
      <w:pPr>
        <w:pStyle w:val="Heading2"/>
      </w:pPr>
      <w:r>
        <w:t>Slide 19 — Dados faltantes e o sigilo do IBGE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mapa de dados faltantes por município.</w:t>
      </w:r>
    </w:p>
    <w:p>
      <w:pPr>
        <w:pStyle w:val="ListBullet"/>
        <w:spacing w:after="60"/>
        <w:ind w:left="454"/>
      </w:pPr>
      <w:r>
        <w:t>Dois parágrafos à direita: a variável que concentra o problema, e o fato de não ser aleatório.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“Seis das sete componentes têm cobertura praticamente total — abaixo de 0,05% de ausentes. O problema está concentrado numa variável só.”</w:t>
      </w:r>
    </w:p>
    <w:p>
      <w:pPr>
        <w:spacing w:before="80" w:after="160"/>
        <w:ind w:left="510" w:right="283"/>
      </w:pPr>
      <w:r>
        <w:rPr>
          <w:i/>
        </w:rPr>
        <w:t>“O analfabetismo tem 15,9% dos setores sem dado: 16.552 no recorte urbano. E a causa é o sigilo do IBGE, que suprime contagens pequenas.”</w:t>
      </w:r>
    </w:p>
    <w:p>
      <w:pPr>
        <w:spacing w:before="80" w:after="160"/>
        <w:ind w:left="510" w:right="283"/>
      </w:pPr>
      <w:r>
        <w:rPr>
          <w:i/>
        </w:rPr>
        <w:t>“A parte importante é que essa supressão não é aleatória. Ela acontece onde há poucos analfabetos — ou seja, nos setores de melhor situação. O próximo slide prova isso.”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do analfabetismo no mapa, que destoa de todas as outras.</w:t>
      </w:r>
    </w:p>
    <w:p>
      <w:pPr>
        <w:pStyle w:val="Heading2"/>
      </w:pPr>
      <w:r>
        <w:t>Slide 20 — O sigilo depende do porte do setor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sigilo por faixa de tamanho do setor: de 44,09% a 3,33%.</w:t>
      </w:r>
    </w:p>
    <w:p>
      <w:pPr>
        <w:pStyle w:val="ListBullet"/>
        <w:spacing w:after="60"/>
        <w:ind w:left="454"/>
      </w:pPr>
      <w:r>
        <w:t>Parágrafo abaixo com o intervalo da média verdadeira.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prova de que a supressão não é aleatória, e ela é limpa: 44% de sigilo nos setores menores, caindo monotonicamente até 3,3% nos maiores.”</w:t>
      </w:r>
    </w:p>
    <w:p>
      <w:pPr>
        <w:spacing w:before="80" w:after="160"/>
        <w:ind w:left="510" w:right="283"/>
      </w:pPr>
      <w:r>
        <w:rPr>
          <w:i/>
        </w:rPr>
        <w:t>“E isso permite fazer uma coisa melhor do que declarar a limitação e parar. Como os setores excluídos são os de menor analfabetismo, a média que eu observo é um teto, não uma estimativa central. E como o IBGE reporta os zeros — mais de nove mil setores declaram zero analfabetos —, o valor suprimido é necessariamente maior ou igual a um. Isso fecha o intervalo pelos dois lados.”</w:t>
      </w:r>
    </w:p>
    <w:p>
      <w:pPr>
        <w:spacing w:before="80" w:after="160"/>
        <w:ind w:left="510" w:right="283"/>
      </w:pPr>
      <w:r>
        <w:rPr>
          <w:i/>
        </w:rPr>
        <w:t>“A média verdadeira da amostra está entre 3,14% e 3,64%. Meio ponto percentual de largura.”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Setores sem o dado: renda mediana de R$ 6.092,84. Setores com o dado: R$ 2.313,89.</w:t>
      </w:r>
    </w:p>
    <w:p>
      <w:pPr>
        <w:pStyle w:val="ListBullet"/>
        <w:spacing w:after="60"/>
        <w:ind w:left="454"/>
      </w:pPr>
      <w:r>
        <w:t>População preta, parda ou indígena: 30,8% nos sem dado, 60,6% nos com dado.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imputar?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Preencher com zero achataria o analfabetismo justamente nas áreas menos vulneráveis, comprimindo o gradiente. Imputar pela mediana do município transferiria aos setores ricos o perfil dos pobres — erra na direção oposta. As duas trocam uma ausência honesta por um número inventado.</w:t>
      </w:r>
    </w:p>
    <w:p>
      <w:pPr>
        <w:pStyle w:val="Heading2"/>
      </w:pPr>
      <w:r>
        <w:t>Slide 21 — Divisor — A estrutura de associação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4.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“Como as variáveis se relacionam entre si.”</w:t>
      </w:r>
    </w:p>
    <w:p>
      <w:pPr>
        <w:pStyle w:val="Heading2"/>
      </w:pPr>
      <w:r>
        <w:t>Slide 22 — Matriz de correlação com dez variáveis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dois mapas de calor lado a lado, Pearson e Spearman, 10 × 10.</w:t>
      </w:r>
    </w:p>
    <w:p>
      <w:pPr>
        <w:pStyle w:val="ListBullet"/>
        <w:spacing w:after="60"/>
        <w:ind w:left="454"/>
      </w:pPr>
      <w:r>
        <w:t>Uma linha preta separa as 7 componentes do IVS das 3 descritivas.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matriz que a senhora pediu ampliada. As três variáveis novas — idosos de 60 anos ou mais, menores de cinco anos e chefia feminina — estão abaixo e à direita da linha preta.”</w:t>
      </w:r>
    </w:p>
    <w:p>
      <w:pPr>
        <w:spacing w:before="80" w:after="160"/>
        <w:ind w:left="510" w:right="283"/>
      </w:pPr>
      <w:r>
        <w:rPr>
          <w:i/>
        </w:rPr>
        <w:t>“A linha está ali de propósito: sem ela, o mapa sugere que as dez são componentes do índice, e não são. As três são descritivas.”</w:t>
      </w:r>
    </w:p>
    <w:p>
      <w:pPr>
        <w:spacing w:before="80" w:after="160"/>
        <w:ind w:left="510" w:right="283"/>
      </w:pPr>
      <w:r>
        <w:rPr>
          <w:i/>
        </w:rPr>
        <w:t>“Duas leituras. Primeira: o bloco socioeconômico. Renda, cor/raça e analfabetismo se correlacionam entre si a menos 0,81, menos 0,76 e mais 0,63. Isso significa que se eu der peso igual às sete, três delas votam na mesma dimensão — e isso não seria uma escolha, seria um acidente.”</w:t>
      </w:r>
    </w:p>
    <w:p>
      <w:pPr>
        <w:spacing w:before="80" w:after="160"/>
        <w:ind w:left="510" w:right="283"/>
      </w:pPr>
      <w:r>
        <w:rPr>
          <w:i/>
        </w:rPr>
        <w:t>“Segunda: compare o Pearson com o Spearman na linha da renda. A diferença é grande, e a causa é a assimetria. Com a renda em log, o Pearson praticamente alcança o Spearman.”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quadrado escuro de renda × cor/raça, no canto do bloco socioeconômico.</w:t>
      </w:r>
    </w:p>
    <w:p>
      <w:pPr>
        <w:pStyle w:val="ListBullet"/>
        <w:spacing w:after="60"/>
        <w:ind w:left="454"/>
      </w:pPr>
      <w:r>
        <w:t>A linha preta divisória.</w:t>
      </w:r>
    </w:p>
    <w:p>
      <w:pPr>
        <w:pStyle w:val="ListBullet"/>
        <w:spacing w:after="60"/>
        <w:ind w:left="454"/>
      </w:pPr>
      <w:r>
        <w:t>A última linha, de chefia feminina: quase toda clara — é o próximo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Pearson e Spearman?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Pearson mede associação linear; Spearman, monotônica. Onde os dois discordam, é a assimetria falando. É o caso da renda.</w:t>
      </w:r>
    </w:p>
    <w:p>
      <w:pPr>
        <w:pStyle w:val="Heading2"/>
      </w:pPr>
      <w:r>
        <w:t>Slide 23 — O que a matriz decidiu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as três descritivas, a maior correlação de cada uma e a média absoluta.</w:t>
      </w:r>
    </w:p>
    <w:p>
      <w:pPr>
        <w:pStyle w:val="ListBullet"/>
        <w:spacing w:after="60"/>
        <w:ind w:left="454"/>
      </w:pPr>
      <w:r>
        <w:t>Dois parágrafos: chefia feminina como candidata, idosos e crianças como espelhos.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pergunta que justifica ampliar a matriz não é "quanto elas se correlacionam". É "alguma delas merece entrar no índice?".”</w:t>
      </w:r>
    </w:p>
    <w:p>
      <w:pPr>
        <w:spacing w:before="80" w:after="160"/>
        <w:ind w:left="510" w:right="283"/>
      </w:pPr>
      <w:r>
        <w:rPr>
          <w:i/>
        </w:rPr>
        <w:t>“Chefia feminina tem média de correlação absoluta de 0,133 com as sete componentes. É baixa. Isso quer dizer que ela mede algo que nenhuma variável do índice captura — e é exatamente esse o argumento para promovê-la.”</w:t>
      </w:r>
    </w:p>
    <w:p>
      <w:pPr>
        <w:spacing w:before="80" w:after="160"/>
        <w:ind w:left="510" w:right="283"/>
      </w:pPr>
      <w:r>
        <w:rPr>
          <w:i/>
        </w:rPr>
        <w:t>“As outras duas correlacionam três vezes mais com o que já está lá. E entre si estão a menos 0,722: são os dois lados da mesma estrutura etária. Colocar as duas seria contar a mesma coisa duas vezes.”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Você recomenda incluir chefia feminina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Recomendo levar a decisão a sério, porque a evidência sustenta. Mas é decisão de metodologia, e o IVS-BH original não a tem — então é a senhora quem decide se vale afastar-se da fonte.</w:t>
      </w:r>
    </w:p>
    <w:p>
      <w:pPr>
        <w:pStyle w:val="Heading2"/>
      </w:pPr>
      <w:r>
        <w:t>Slide 24 — Divisor — A renda sob auditoria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10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5.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seção mais longa. Cinco das demandas de agosto convergem aqui.”</w:t>
      </w:r>
    </w:p>
    <w:p>
      <w:pPr>
        <w:pStyle w:val="Heading2"/>
      </w:pPr>
      <w:r>
        <w:t>Slide 25 — O caso que abriu o assunto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Ficha do setor: código, valor em destaque, identificação.</w:t>
      </w:r>
    </w:p>
    <w:p>
      <w:pPr>
        <w:pStyle w:val="ListBullet"/>
        <w:spacing w:after="60"/>
        <w:ind w:left="454"/>
      </w:pPr>
      <w:r>
        <w:t>Anotação circulada à mão sobre o valor.</w:t>
      </w:r>
    </w:p>
    <w:p>
      <w:pPr>
        <w:pStyle w:val="ListBullet"/>
        <w:spacing w:after="60"/>
        <w:ind w:left="454"/>
      </w:pPr>
      <w:r>
        <w:t>Dois parágrafos à direita.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excluir a observação de 170 mil. Eu fui ver qual era.”</w:t>
      </w:r>
    </w:p>
    <w:p>
      <w:pPr>
        <w:spacing w:before="80" w:after="160"/>
        <w:ind w:left="510" w:right="283"/>
      </w:pPr>
      <w:r>
        <w:rPr>
          <w:i/>
        </w:rPr>
        <w:t>“É um setor de Belo Horizonte, no bairro Senhor dos Passos. E o campo CD_TIPO dele é 1, que no Censo significa Favela e Comunidade Urbana.”</w:t>
      </w:r>
    </w:p>
    <w:p>
      <w:pPr>
        <w:spacing w:before="80" w:after="160"/>
        <w:ind w:left="510" w:right="283"/>
      </w:pPr>
      <w:r>
        <w:rPr>
          <w:i/>
        </w:rPr>
        <w:t>“São 186 domicílios. A 170 mil reais de renda média por responsável, isso daria 31,7 milhões de reais circulando por mês numa favela de 186 casas. O perfil do setor não sustenta esse valor.”</w:t>
      </w:r>
    </w:p>
    <w:p>
      <w:pPr>
        <w:spacing w:before="80" w:after="160"/>
        <w:ind w:left="510" w:right="283"/>
      </w:pPr>
      <w:r>
        <w:rPr>
          <w:i/>
        </w:rPr>
        <w:t>“E o próprio arquivo do IBGE ajuda a dizer o que aconteceu. Ele traz o V06005, que é a variância do rendimento no setor. O coeficiente de variação aqui é 5,26, contra uma mediana nacional de 0,78. Se fosse só uma vírgula fora do lugar na média, esse coeficiente seria da ordem de 526. Então não é erro de digitação: a média está sendo puxada por uma ou poucas declarações enormes.”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CD_TIPO = 1, em vermelho: é o que torna o valor incompatível com o resto do perfil.</w:t>
      </w:r>
    </w:p>
    <w:p>
      <w:pPr>
        <w:pStyle w:val="ListBullet"/>
        <w:spacing w:after="60"/>
        <w:ind w:left="454"/>
      </w:pPr>
      <w:r>
        <w:t>A anotação circulada: o coeficiente de variação de 5,26 contra 0,78.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Você comunicou isso ao IBGE?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Não. É uma possibilidade — a tabela com os 65 casos está pronta e teria valor como retorno. Mas é decisão de vocês.</w:t>
      </w:r>
    </w:p>
    <w:p>
      <w:pPr>
        <w:pStyle w:val="Heading2"/>
      </w:pPr>
      <w:r>
        <w:t>Slide 26 — Como separamos erro de dado de renda alta de verdade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 com as decisões de método; tabela com as três classes.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rastrear todos. Para isso eu precisei de um critério, e ele tem duas decisões dentro.”</w:t>
      </w:r>
    </w:p>
    <w:p>
      <w:pPr>
        <w:spacing w:before="80" w:after="160"/>
        <w:ind w:left="510" w:right="283"/>
      </w:pPr>
      <w:r>
        <w:rPr>
          <w:i/>
        </w:rPr>
        <w:t>“A primeira: a detecção é por município, não global. O índice é intraurbano, então 20 mil reais é comum em São Paulo e anômalo em Autazes. Um corte nacional mede a distância entre cidades, que não é o objeto.”</w:t>
      </w:r>
    </w:p>
    <w:p>
      <w:pPr>
        <w:spacing w:before="80" w:after="160"/>
        <w:ind w:left="510" w:right="283"/>
      </w:pPr>
      <w:r>
        <w:rPr>
          <w:i/>
        </w:rPr>
        <w:t>“A segunda, que é a que faz o método funcionar: o que levanta suspeita não é o valor, é a incoerência. Um setor no topo da renda do próprio município que também é favela, ou tem analfabetismo acima da mediana local, é internamente contraditório.”</w:t>
      </w:r>
    </w:p>
    <w:p>
      <w:pPr>
        <w:spacing w:before="80" w:after="160"/>
        <w:ind w:left="510" w:right="283"/>
      </w:pPr>
      <w:r>
        <w:rPr>
          <w:i/>
        </w:rPr>
        <w:t>“O resultado: 65 setores suspeitos e 3.292 extremos coerentes. E aqui eu preciso ser honesto sobre o que essa tabela mostra e o que ela não mostra: ser favela é um dos testes de incoerência, então nenhuma favela pode cair em EXTREMO por construção. A coluna da direita repete a regra, ela não a valida.”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"São favela?" — 21 de 65 contra 0 de 3.292. Diga que esse contraste é consequência da regra, não evidência a favor dela.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excluir os 3.292 também?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renda alta de verdade é informação, não ruído. Removê-la achataria a desigualdade que o índice existe para medir.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O critério não é arbitrário?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A escolha do limiar é, como toda escolha de limiar. O critério está escrito, versionado e coberto por testes. Duas fraquezas conhecidas: 40 dos 65 suspeitos são flagrados só por ter analfabetismo acima da mediana do município, que é evento de metade por construção; e a regra é cega a erro de dado em bairro rico. O setor de São Paulo com 140 mil reais, 45 vezes a mediana da cidade, sai como EXTREMO porque o entorno sustenta renda alta. Por isso acrescentei a coluna razao_implausivel, que marca 13 desses casos.</w:t>
      </w:r>
    </w:p>
    <w:p>
      <w:pPr>
        <w:pStyle w:val="Heading2"/>
      </w:pPr>
      <w:r>
        <w:t>Slide 27 — As duas análises exploratórias, lado a lado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antes e depois em seis métricas.</w:t>
      </w:r>
    </w:p>
    <w:p>
      <w:pPr>
        <w:pStyle w:val="ListBullet"/>
        <w:spacing w:after="60"/>
        <w:ind w:left="454"/>
      </w:pPr>
      <w:r>
        <w:t>Dois parágrafos: excluir muda pouco, transformar muda muito.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as duas EDAs. Aqui estão, e o resultado contraria o que eu esperava.”</w:t>
      </w:r>
    </w:p>
    <w:p>
      <w:pPr>
        <w:spacing w:before="80" w:after="160"/>
        <w:ind w:left="510" w:right="283"/>
      </w:pPr>
      <w:r>
        <w:rPr>
          <w:i/>
        </w:rPr>
        <w:t>“Tirar os 65 suspeitos restantes quase não muda a estatística. A média cai 0,18%, a mediana 0,05%. As correlações se movem no máximo 0,0046, e o Spearman fica praticamente imóvel.”</w:t>
      </w:r>
    </w:p>
    <w:p>
      <w:pPr>
        <w:spacing w:before="80" w:after="160"/>
        <w:ind w:left="510" w:right="283"/>
      </w:pPr>
      <w:r>
        <w:rPr>
          <w:i/>
        </w:rPr>
        <w:t>“Mas passar a renda para logaritmo muda dez vezes mais. A correlação com analfabetismo vai de menos 0,42 para menos 0,59; com cor e raça, de menos 0,68 para menos 0,81.”</w:t>
      </w:r>
    </w:p>
    <w:p>
      <w:pPr>
        <w:spacing w:before="80" w:after="160"/>
        <w:ind w:left="510" w:right="283"/>
      </w:pPr>
      <w:r>
        <w:rPr>
          <w:i/>
        </w:rPr>
        <w:t>“A conclusão prática é que o problema da renda está na assimetria, e não no outlier. E isso importa diretamente para a análise fatorial, que roda sobre a matriz de Pearson: com a renda bruta, a carga dela sairia subestimada.”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Então não vale excluir?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Vale, mas por outro motivo — é o próximo slide.</w:t>
      </w:r>
    </w:p>
    <w:p>
      <w:pPr>
        <w:pStyle w:val="Heading2"/>
      </w:pPr>
      <w:r>
        <w:t>Slide 28 — Onde a exclusão importa de verdade: a escala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cinco municípios e o percentual de setores comprimidos no primeiro decil.</w:t>
      </w:r>
    </w:p>
    <w:p>
      <w:pPr>
        <w:pStyle w:val="ListBullet"/>
        <w:spacing w:after="60"/>
        <w:ind w:left="454"/>
      </w:pPr>
      <w:r>
        <w:t>Bloco de destaque sobre Autazes.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“O argumento para excluir está na normalização, que é o insumo do índice, e não na média nem na correlação.”</w:t>
      </w:r>
    </w:p>
    <w:p>
      <w:pPr>
        <w:spacing w:before="80" w:after="160"/>
        <w:ind w:left="510" w:right="283"/>
      </w:pPr>
      <w:r>
        <w:rPr>
          <w:i/>
        </w:rPr>
        <w:t>“Autazes tem 43 setores. Um valor ruim, e 81% da cidade colapsa no primeiro decil da escala de renda. Sem ele, cai para 14%. Sessenta e sete pontos percentuais de diferença.”</w:t>
      </w:r>
    </w:p>
    <w:p>
      <w:pPr>
        <w:spacing w:before="80" w:after="160"/>
        <w:ind w:left="510" w:right="283"/>
      </w:pPr>
      <w:r>
        <w:rPr>
          <w:i/>
        </w:rPr>
        <w:t>“Belo Horizonte saiu desta tabela, e a saída é o resultado: com o extremo já fora da coluna de renda, a cidade começa em 70,8% — que era exatamente o valor que ela alcançava, na 1ª rodada, DEPOIS de remover os suspeitos. O ganho dela agora é zero. Quem ocupa o lugar é Belém, com 92,7%.”</w:t>
        <w:br/>
        <w:t>“E aqui vale dizer o que a tabela não resolve. Mesmo tirando os suspeitos, Belo Horizonte fica com 70,8% dos setores no primeiro decil, e Belém com 69,6%. O que quebra a escala não são os 65 valores: é aplicar min-max a uma variável com assimetria 3,20. Trocar a normalização global pela municipal reduz o problema e não o resolve. Transformar a variável, em log ou em posto, é a decisão que ainda está aberta.”</w:t>
      </w:r>
    </w:p>
    <w:p>
      <w:pPr>
        <w:spacing w:before="80" w:after="160"/>
        <w:ind w:left="510" w:right="283"/>
      </w:pPr>
      <w:r>
        <w:rPr>
          <w:i/>
        </w:rPr>
        <w:t>“Ou seja: mantido o outlier, a renda deixa de discriminar dentro da cidade — que é exatamente o que o índice precisa que ela faça. Vinte e três dos 63 municípios avaliados têm ao menos um suspeito.”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de Autazes, e a coluna "Ganho": 67,1 pontos percentuais.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Qual sua recomendação, então?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Que os 65 saiam do cálculo do índice e fiquem na EDA como achado de qualidade do dado. As duas versões continuam publicadas, então a decisão é defensável nos dois sentidos.</w:t>
      </w:r>
    </w:p>
    <w:p>
      <w:pPr>
        <w:pStyle w:val="Heading2"/>
      </w:pPr>
      <w:r>
        <w:t>Slide 29 — Renda alta está mesmo nos setores pequenos?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 com dois painéis: dispersão renda × tamanho, e barras da taxa de suspeita por faixa.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era a demanda 2, e a resposta é sim e não — a distinção importa.”</w:t>
      </w:r>
    </w:p>
    <w:p>
      <w:pPr>
        <w:spacing w:before="80" w:after="160"/>
        <w:ind w:left="510" w:right="283"/>
      </w:pPr>
      <w:r>
        <w:rPr>
          <w:i/>
        </w:rPr>
        <w:t>“O painel da esquerda mostra que o valor não depende do tamanho. A correlação entre número de domicílios e renda é menos 0,031, ou seja, nula. O maior valor da base agora está em São Paulo, num setor de 78 domicílios.”</w:t>
      </w:r>
    </w:p>
    <w:p>
      <w:pPr>
        <w:spacing w:before="80" w:after="160"/>
        <w:ind w:left="510" w:right="283"/>
      </w:pPr>
      <w:r>
        <w:rPr>
          <w:i/>
        </w:rPr>
        <w:t>“Mas o painel da direita mostra outra coisa. A taxa de suspeita é 0,265% nos setores de até 50 domicílios contra 0,045% nos de 201 a 400. Seis vezes mais.”</w:t>
      </w:r>
    </w:p>
    <w:p>
      <w:pPr>
        <w:spacing w:before="80" w:after="160"/>
        <w:ind w:left="510" w:right="283"/>
      </w:pPr>
      <w:r>
        <w:rPr>
          <w:i/>
        </w:rPr>
        <w:t>“Então o mecanismo que a senhora descreveu existe e está medido: média de poucos domicílios oscila mais. Só não é ele que produz o maior valor.”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tracejada vertical no painel esquerdo: o corte de 50 domicílios.</w:t>
      </w:r>
    </w:p>
    <w:p>
      <w:pPr>
        <w:pStyle w:val="ListBullet"/>
        <w:spacing w:after="60"/>
        <w:ind w:left="454"/>
      </w:pPr>
      <w:r>
        <w:t>A escada descendente do painel direito — é a resposta da demanda.</w:t>
      </w:r>
    </w:p>
    <w:p>
      <w:pPr>
        <w:pStyle w:val="Heading2"/>
      </w:pPr>
      <w:r>
        <w:t>Slide 30 — Sudeste e Norte: dois fenômenos com o mesmo rótulo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das cinco regiões com mediana, razão máximo/mediana, assimetria, extremos e suspeitos.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olhar Sudeste e Norte. São coisas diferentes com o mesmo nome.”</w:t>
      </w:r>
    </w:p>
    <w:p>
      <w:pPr>
        <w:spacing w:before="80" w:after="160"/>
        <w:ind w:left="510" w:right="283"/>
      </w:pPr>
      <w:r>
        <w:rPr>
          <w:i/>
        </w:rPr>
        <w:t>“O Sudeste tem o extremo absoluto: 51,3 vezes a mediana da própria região. Mas a taxa de suspeita é baixa, 0,042%.”</w:t>
      </w:r>
    </w:p>
    <w:p>
      <w:pPr>
        <w:spacing w:before="80" w:after="160"/>
        <w:ind w:left="510" w:right="283"/>
      </w:pPr>
      <w:r>
        <w:rPr>
          <w:i/>
        </w:rPr>
        <w:t>“O Norte tem 26 vezes a taxa de suspeita do Sul. Não por ter mais rico — a mediana dele é a segunda mais baixa. É porque a distribuição é tão comprimida na base que qualquer setor de classe média já destoa. A assimetria de lá é 6,15, a maior do país.”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Um achado que não estava na pauta: o critério global inverte esse retrato. Ele marca 4,61% do Sudeste e só 1,32% do Norte, porque mede "este setor é rico para o Brasil", e não "é anômalo na própria cidade". Dos 3.987 setores marcados pelo critério global, apenas 1.672 coincidem com o municipal.</w:t>
      </w:r>
    </w:p>
    <w:p>
      <w:pPr>
        <w:pStyle w:val="Heading2"/>
      </w:pPr>
      <w:r>
        <w:t>Slide 31 — A distribuição da renda em cada uma das 70 cidades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 alta: boxplots das 70 cidades, em cinco painéis por região.</w:t>
      </w:r>
    </w:p>
    <w:p>
      <w:pPr>
        <w:pStyle w:val="ListBullet"/>
        <w:spacing w:after="60"/>
        <w:ind w:left="454"/>
      </w:pPr>
      <w:r>
        <w:t>Três parágrafos à esquerda explicando as escolhas de construção.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demanda 3. Setenta cidades num boxplot único é ilegível, então são painéis por região, com as cidades ordenadas pela mediana.”</w:t>
      </w:r>
    </w:p>
    <w:p>
      <w:pPr>
        <w:spacing w:before="80" w:after="160"/>
        <w:ind w:left="510" w:right="283"/>
      </w:pPr>
      <w:r>
        <w:rPr>
          <w:i/>
        </w:rPr>
        <w:t>“O eixo é logarítmico. Com assimetria de 3,20, em escala linear sessenta das setenta caixas colapsam contra a margem esquerda e não se distingue nada.”</w:t>
      </w:r>
    </w:p>
    <w:p>
      <w:pPr>
        <w:spacing w:before="80" w:after="160"/>
        <w:ind w:left="510" w:right="283"/>
      </w:pPr>
      <w:r>
        <w:rPr>
          <w:i/>
        </w:rPr>
        <w:t>“Os pontos vermelhos são os 65 suspeitos, cidade a cidade. Belo Horizonte, Belém e Salvador concentram os casos mais graves.”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painel do Sudeste: o ponto isolado bem à direita, que na 1ª rodada era Belo Horizonte, não existe mais — aquele setor saiu da coluna de renda.</w:t>
      </w:r>
    </w:p>
    <w:p>
      <w:pPr>
        <w:pStyle w:val="ListBullet"/>
        <w:spacing w:after="60"/>
        <w:ind w:left="454"/>
      </w:pPr>
      <w:r>
        <w:t>O painel do Sul, para contraste: caixas curtas e quase sem pontos vermelhos.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Dá para ver essa figura em tamanho maior?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Sim, ela está em banco_de_dados/eda/figuras/, em resolução cheia.</w:t>
      </w:r>
    </w:p>
    <w:p>
      <w:pPr>
        <w:pStyle w:val="Heading2"/>
      </w:pPr>
      <w:r>
        <w:t>Slide 32 — Divisor — Os blocos descritivos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6.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“Agora tudo que ficou de fora dos decks anteriores.”</w:t>
      </w:r>
    </w:p>
    <w:p>
      <w:pPr>
        <w:pStyle w:val="Heading2"/>
      </w:pPr>
      <w:r>
        <w:t>Slide 33 — Os blocos descritivos, região a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sete indicadores descritivos por região.</w:t>
      </w:r>
    </w:p>
    <w:p>
      <w:pPr>
        <w:pStyle w:val="ListBullet"/>
        <w:spacing w:after="60"/>
        <w:ind w:left="454"/>
      </w:pPr>
      <w:r>
        <w:t>Três parágrafos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“Estes são os blocos que caíram da apresentação anterior, e aqui estão todos na mesma tabela e no mesmo recorte — que é a parte que a versão anterior não garantia.”</w:t>
      </w:r>
    </w:p>
    <w:p>
      <w:pPr>
        <w:spacing w:before="80" w:after="160"/>
        <w:ind w:left="510" w:right="283"/>
      </w:pPr>
      <w:r>
        <w:rPr>
          <w:i/>
        </w:rPr>
        <w:t>“Habitação precária concentra-se no Centro-Oeste e no Sudeste. Isso é contraintuitivo e é um achado: precariedade habitacional é metropolitana, não rural do Norte. Saneamento e banheiro seguem o gradiente Norte-Sul; habitação improvisada não segue.”</w:t>
      </w:r>
    </w:p>
    <w:p>
      <w:pPr>
        <w:spacing w:before="80" w:after="160"/>
        <w:ind w:left="510" w:right="283"/>
      </w:pPr>
      <w:r>
        <w:rPr>
          <w:i/>
        </w:rPr>
        <w:t>“Chefia feminina é maioria: 52,81% no recorte urbano, com pico no Nordeste, em 55,4%.”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de habitação precária: Centro-Oeste com o maior valor, Sul com o menor.</w:t>
      </w:r>
    </w:p>
    <w:p>
      <w:pPr>
        <w:pStyle w:val="ListBullet"/>
        <w:spacing w:after="60"/>
        <w:ind w:left="454"/>
      </w:pPr>
      <w:r>
        <w:t>O contraste com a linha de banheiro logo abaixo, que tem o padrão oposto.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esses indicadores não entram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o IVS-BH tem sete componentes definidas, e estes são descritivos. Promovê-los é decisão metodológica — e a matriz de correlação do slide 19 é o insumo dessa decisão.</w:t>
      </w:r>
    </w:p>
    <w:p>
      <w:pPr>
        <w:pStyle w:val="Heading2"/>
      </w:pPr>
      <w:r>
        <w:t>Slide 34 — Chefia feminina e envelhecimento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envelhecimento por região; quatro números em destaque abaixo.</w:t>
      </w:r>
    </w:p>
    <w:p>
      <w:pPr>
        <w:pStyle w:val="ListBullet"/>
        <w:spacing w:after="60"/>
        <w:ind w:left="454"/>
      </w:pPr>
      <w:r>
        <w:t>Parágrafo em vermelho sobre a correção do IEP.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“O índice de envelhecimento da amostra é 92,7, com razão de dependência de idosos de 25,5.”</w:t>
      </w:r>
    </w:p>
    <w:p>
      <w:pPr>
        <w:spacing w:before="80" w:after="160"/>
        <w:ind w:left="510" w:right="283"/>
      </w:pPr>
      <w:r>
        <w:rPr>
          <w:i/>
        </w:rPr>
        <w:t>“Este número passou por uma correção que vale explicar. Antes ele dava 299, porque o denominador usava só a faixa de zero a quatro anos. O correto, seguindo Galvão e colaboradores, é usar todos os menores de quinze. Corrigido, dá 92,7.”</w:t>
      </w:r>
    </w:p>
    <w:p>
      <w:pPr>
        <w:spacing w:before="80" w:after="160"/>
        <w:ind w:left="510" w:right="283"/>
      </w:pPr>
      <w:r>
        <w:rPr>
          <w:i/>
        </w:rPr>
        <w:t>“Por região o contraste é grande: 56 no Norte contra 112 no Sul. O Sul já tem mais idosos que crianças.”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IEP: a escada de 56 no Norte a 112 no Sul.</w:t>
      </w:r>
    </w:p>
    <w:p>
      <w:pPr>
        <w:pStyle w:val="ListBullet"/>
        <w:spacing w:after="60"/>
        <w:ind w:left="454"/>
      </w:pPr>
      <w:r>
        <w:t>O parágrafo em vermelho — é uma correção assumida, não um dado.</w:t>
      </w:r>
    </w:p>
    <w:p>
      <w:pPr>
        <w:pStyle w:val="Heading2"/>
      </w:pPr>
      <w:r>
        <w:t>Slide 35 — Tipo de espécie do domicílio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os onze tipos de espécie e a distribuição por região.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morfologia urbana: o que não é casa. Repare que o percentual aqui é sobre domicílios, não sobre setores — é outra unidade.”</w:t>
      </w:r>
    </w:p>
    <w:p>
      <w:pPr>
        <w:spacing w:before="80" w:after="160"/>
        <w:ind w:left="510" w:right="283"/>
      </w:pPr>
      <w:r>
        <w:rPr>
          <w:i/>
        </w:rPr>
        <w:t>“Apartamento vai de 15,7% no Norte a 36,9% no Sul. Cortiço e casa de cômodos, que é o tipo mais associado a precariedade, concentra-se no Centro-Oeste.”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apartamento, que é o indicador que a senhora pediu em julho.</w:t>
      </w:r>
    </w:p>
    <w:p>
      <w:pPr>
        <w:pStyle w:val="ListBullet"/>
        <w:spacing w:after="60"/>
        <w:ind w:left="454"/>
      </w:pPr>
      <w:r>
        <w:t>A linha da maloca indígena, toda zerada: no recorte urbano dos 70 municípios não há.</w:t>
      </w:r>
    </w:p>
    <w:p>
      <w:pPr>
        <w:pStyle w:val="Heading2"/>
      </w:pPr>
      <w:r>
        <w:t>Slide 36 — Canalização da água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por região com as três categorias, o total sem canalização e a coluna "suprimido".</w:t>
      </w:r>
    </w:p>
    <w:p>
      <w:pPr>
        <w:pStyle w:val="ListBullet"/>
        <w:spacing w:after="60"/>
        <w:ind w:left="454"/>
      </w:pPr>
      <w:r>
        <w:t>Dois parágrafos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demanda 10. E o achado principal é que estas variáveis medem coisa diferente do que o índice já tem.”</w:t>
      </w:r>
    </w:p>
    <w:p>
      <w:pPr>
        <w:spacing w:before="80" w:after="160"/>
        <w:ind w:left="510" w:right="283"/>
      </w:pPr>
      <w:r>
        <w:rPr>
          <w:i/>
        </w:rPr>
        <w:t>“O indicador de água que está no IVS usa V00112 a V00118, que é a fonte da água: poço, nascente, carro-pipa, rio. As três variáveis novas medem a entrega: se a água chega encanada dentro do domicílio, só até o terreno, ou não chega. Um domicílio ligado à rede geral pode receber água só no terreno. O Spearman entre os dois eixos é 0,459: medem coisas próximas, mas não a mesma coisa.”</w:t>
      </w:r>
    </w:p>
    <w:p>
      <w:pPr>
        <w:spacing w:before="80" w:after="160"/>
        <w:ind w:left="510" w:right="283"/>
      </w:pPr>
      <w:r>
        <w:rPr>
          <w:i/>
        </w:rPr>
        <w:t>“O Norte tem 3,73% dos domicílios sem canalização contra 0,33% do Sul. Onze vezes.”</w:t>
      </w:r>
    </w:p>
    <w:p>
      <w:pPr>
        <w:spacing w:before="80" w:after="160"/>
        <w:ind w:left="510" w:right="283"/>
      </w:pPr>
      <w:r>
        <w:rPr>
          <w:i/>
        </w:rPr>
        <w:t>“E as três variáveis formam uma partição de V00001. Isso virou auditoria automática: elas somam exatamente o total de domicílios em 100% dos 81 mil setores em que as três estão presentes.”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"Suprimido" — é a parcela que o sigilo tira das duas categorias pequenas. Ela está publicada em vez de escondida, e é o assunto do próximo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deveria entrar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Como componente, discrimina pouco: só 5% dos setores têm algum domicílio sem canalização. Como descritivo de contraste regional, funciona bem.</w:t>
      </w:r>
    </w:p>
    <w:p>
      <w:pPr>
        <w:pStyle w:val="Heading2"/>
      </w:pPr>
      <w:r>
        <w:t>Slide 37 — O truque que salvou 21,9% dos setores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Duas colunas comparando as fórmulas, com 21,9% em vermelho e 0,04% em preto.</w:t>
      </w:r>
    </w:p>
    <w:p>
      <w:pPr>
        <w:pStyle w:val="ListBullet"/>
        <w:spacing w:after="60"/>
        <w:ind w:left="454"/>
      </w:pPr>
      <w:r>
        <w:t>Parágrafo de ressalva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slide é sobre uma decisão técnica que vale uma explicação.”</w:t>
      </w:r>
    </w:p>
    <w:p>
      <w:pPr>
        <w:spacing w:before="80" w:after="160"/>
        <w:ind w:left="510" w:right="283"/>
      </w:pPr>
      <w:r>
        <w:rPr>
          <w:i/>
        </w:rPr>
        <w:t>“A fórmula literal do que a senhora pediu é V00200 mais V00201 sobre o total. Só que essas duas são contagens pequenas — e contagem pequena é exatamente o que o IBGE suprime. Exigindo as duas, 21,9% dos setores ficam sem valor.”</w:t>
      </w:r>
    </w:p>
    <w:p>
      <w:pPr>
        <w:spacing w:before="80" w:after="160"/>
        <w:ind w:left="510" w:right="283"/>
      </w:pPr>
      <w:r>
        <w:rPr>
          <w:i/>
        </w:rPr>
        <w:t>“Como a trinca soma o total, dá para calcular a mesma coisa por um menos V00199 sobre o total. E V00199 é contagem grande, quase nunca sigilada: o ausente cai para 0,04%.”</w:t>
      </w:r>
    </w:p>
    <w:p>
      <w:pPr>
        <w:spacing w:before="80" w:after="160"/>
        <w:ind w:left="510" w:right="283"/>
      </w:pPr>
      <w:r>
        <w:rPr>
          <w:i/>
        </w:rPr>
        <w:t>“Mas há uma ressalva, e ela precisa constar do artigo: a identidade só é verificável onde as três estão presentes. Nos setores com sigilo, aplicá-la é extrapolação — justificada porque a partição é definida pelo IBGE, mas é suposição, não medição.”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não é assumir demais?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É assumir algo, e por isso está declarado. A alternativa é perder um em cada cinco setores, de forma não aleatória. Escolhi a suposição declarada em vez da perda silenciosa.</w:t>
      </w:r>
    </w:p>
    <w:p>
      <w:pPr>
        <w:pStyle w:val="Heading2"/>
      </w:pPr>
      <w:r>
        <w:t>Slide 38 — Cobertura integral de saneamento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por região; quatro números em destaque.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“Aqui a leitura é otimista: quantos setores têm cobertura integral, ou seja, nenhum domicílio na condição inadequada.”</w:t>
      </w:r>
    </w:p>
    <w:p>
      <w:pPr>
        <w:spacing w:before="80" w:after="160"/>
        <w:ind w:left="510" w:right="283"/>
      </w:pPr>
      <w:r>
        <w:rPr>
          <w:i/>
        </w:rPr>
        <w:t>“Água: 72,9%. Esgoto: 71,4%. Lixo: 61,7%. Mas os três juntos, só 41,6%.”</w:t>
      </w:r>
    </w:p>
    <w:p>
      <w:pPr>
        <w:spacing w:before="80" w:after="160"/>
        <w:ind w:left="510" w:right="283"/>
      </w:pPr>
      <w:r>
        <w:rPr>
          <w:i/>
        </w:rPr>
        <w:t>“Atenção ao recorte deste slide: ele é o que inclui os rurais, 106.281 setores. Está impresso embaixo da tabela.”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Contando a caçamba de serviço de limpeza como coleta, o lixo sobe de 61,7% para 91,5%. Essa diferença é o efeito de uma decisão metodológica — a caçamba é contada como inadequada por fidelidade ao IVS-BH 2012, e essa decisão está em revisão.</w:t>
      </w:r>
    </w:p>
    <w:p>
      <w:pPr>
        <w:pStyle w:val="Heading2"/>
      </w:pPr>
      <w:r>
        <w:t>Slide 39 — Gravidade do saneamento em faixas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três serviços em duas faixas cada, por região.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“Não basta saber quantos setores têm inadequação: importa quanto.”</w:t>
      </w:r>
    </w:p>
    <w:p>
      <w:pPr>
        <w:spacing w:before="80" w:after="160"/>
        <w:ind w:left="510" w:right="283"/>
      </w:pPr>
      <w:r>
        <w:rPr>
          <w:i/>
        </w:rPr>
        <w:t>“No Norte, 30,8% dos setores têm metade ou mais dos domicílios com água inadequada — contra 11,8% em situação totalmente adequada. No Sul e no Centro-Oeste a distribuição se inverte por completo.”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As duas linhas da água: a de 0% e a de 50% ou mais, no Norte. Elas se cruzam em relação ao resto do país.</w:t>
      </w:r>
    </w:p>
    <w:p>
      <w:pPr>
        <w:pStyle w:val="Heading2"/>
      </w:pPr>
      <w:r>
        <w:t>Slide 40 — Divisor — Favelas e Comunidades Urbanas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7.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demanda 5, e o que ela revelou.”</w:t>
      </w:r>
    </w:p>
    <w:p>
      <w:pPr>
        <w:pStyle w:val="Heading2"/>
      </w:pPr>
      <w:r>
        <w:t>Slide 41 — A fonte oficial e a validação do critério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parágrafos, tabela de representatividade e um bloco de limitação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conferir um relatório do IBGE sobre favelas. Achei a publicação oficial de 2024, 171 páginas, e a definição com os quatro critérios está transcrita no relatório da EDA.”</w:t>
      </w:r>
    </w:p>
    <w:p>
      <w:pPr>
        <w:spacing w:before="80" w:after="160"/>
        <w:ind w:left="510" w:right="283"/>
      </w:pPr>
      <w:r>
        <w:rPr>
          <w:i/>
        </w:rPr>
        <w:t>“Mas o mais útil foi a planilha anexa, que lista as favelas por setor censitário. Com ela eu validei nosso critério: dos 109 mil setores da base completa, 19.507 estão na lista oficial — e são exatamente os 19.507 que o nosso código marca. Zero falso positivo, zero omissão. No recorte de análise são 19.452, que dão 18,7% dos 104.108.”</w:t>
      </w:r>
    </w:p>
    <w:p>
      <w:pPr>
        <w:spacing w:before="80" w:after="160"/>
        <w:ind w:left="510" w:right="283"/>
      </w:pPr>
      <w:r>
        <w:rPr>
          <w:i/>
        </w:rPr>
        <w:t>“A tabela mostra outra coisa que vale para o artigo: os 70 municípios do ELSI reúnem 61,4% de toda a população favelada do Brasil, sendo apenas 6,4% dos municípios que têm favela.”</w:t>
      </w:r>
    </w:p>
    <w:p>
      <w:pPr>
        <w:spacing w:before="80" w:after="160"/>
        <w:ind w:left="510" w:right="283"/>
      </w:pPr>
      <w:r>
        <w:rPr>
          <w:i/>
        </w:rPr>
        <w:t>“E a fonte revelou uma limitação que eu não conhecia. Na nota de rodapé da página 75, o IBGE diz que identificou 2.298 favelas com 21 a 50 domicílios que não receberam setor censitário próprio. Como nosso critério depende do setor, essas favelas são invisíveis na nossa base.”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da população em FCU: 61,4%. É um argumento de representatividade forte.</w:t>
      </w:r>
    </w:p>
    <w:p>
      <w:pPr>
        <w:pStyle w:val="ListBullet"/>
        <w:spacing w:after="60"/>
        <w:ind w:left="454"/>
      </w:pPr>
      <w:r>
        <w:t>O bloco em vermelho: a limitação das favelas pequenas.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invalida a comparação favela × cidade?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 invalida, mas enviesa nos dois sentidos: subestima a população favelada e contamina o grupo de comparação com ela. Está declarado nas limitações.</w:t>
      </w:r>
    </w:p>
    <w:p>
      <w:pPr>
        <w:pStyle w:val="Heading2"/>
      </w:pPr>
      <w:r>
        <w:t>Slide 42 — Favela e restante da cidade, indicador a indicador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médias e medianas dentro e fora de favela, e a razão entre elas.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comparação direta. A última coluna é quantas vezes o valor médio no setor de favela supera o de fora.”</w:t>
      </w:r>
    </w:p>
    <w:p>
      <w:pPr>
        <w:spacing w:before="80" w:after="160"/>
        <w:ind w:left="510" w:right="283"/>
      </w:pPr>
      <w:r>
        <w:rPr>
          <w:i/>
        </w:rPr>
        <w:t>“Esgoto inadequado: 4,1 vezes. Lixo: 2,9. Água: 1,8.”</w:t>
      </w:r>
    </w:p>
    <w:p>
      <w:pPr>
        <w:spacing w:before="80" w:after="160"/>
        <w:ind w:left="510" w:right="283"/>
      </w:pPr>
      <w:r>
        <w:rPr>
          <w:i/>
        </w:rPr>
        <w:t>“Mas repare na razão de moradores: 1,11. Quase igual. Isso é coerente e vale dizer — adensamento domiciliar não é o eixo que separa favela do resto da cidade. O que separa é infraestrutura.”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da razão: a escada do esgoto até a razão de moradores.</w:t>
      </w:r>
    </w:p>
    <w:p>
      <w:pPr>
        <w:pStyle w:val="Heading2"/>
      </w:pPr>
      <w:r>
        <w:t>Slide 43 — A amostra ELSI comparada com o Brasil urbano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dos sete indicadores em Brasil urbano e ELSI-70, com a razão.</w:t>
      </w:r>
    </w:p>
    <w:p>
      <w:pPr>
        <w:pStyle w:val="ListBullet"/>
        <w:spacing w:after="60"/>
        <w:ind w:left="454"/>
      </w:pPr>
      <w:r>
        <w:t>Anotação circulada à mão na razão do lixo.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linha de base nacional: os mesmos indicadores calculados sobre os 468 mil setores do país inteiro.”</w:t>
      </w:r>
    </w:p>
    <w:p>
      <w:pPr>
        <w:spacing w:before="80" w:after="160"/>
        <w:ind w:left="510" w:right="283"/>
      </w:pPr>
      <w:r>
        <w:rPr>
          <w:i/>
        </w:rPr>
        <w:t>“Em seis dos sete, a amostra ELSI está melhor que o Brasil urbano. O esgoto é o contraste mais forte: 0,080 contra 0,155, quase metade.”</w:t>
      </w:r>
    </w:p>
    <w:p>
      <w:pPr>
        <w:spacing w:before="80" w:after="160"/>
        <w:ind w:left="510" w:right="283"/>
      </w:pPr>
      <w:r>
        <w:rPr>
          <w:i/>
        </w:rPr>
        <w:t>“A exceção é o lixo, e ela é diagnóstica. É a única variável em que estamos piores, razão de 1,21. Isso reforça a hipótese que apareceu no slide 11: o indicador de lixo pode estar medindo porte urbano em vez de vulnerabilidade, porque a caçamba de serviço de limpeza é mais comum em cidade grande.”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anotação circulada na razão 1,21 — é a única acima de 1.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A população nacional calculada pela nossa pipeline confere com o número oficial do Censo 2022: 203.080.756 pessoas. É a prova de que o cálculo nacional está correto.</w:t>
      </w:r>
    </w:p>
    <w:p>
      <w:pPr>
        <w:pStyle w:val="Heading2"/>
      </w:pPr>
      <w:r>
        <w:t>Slide 44 — Divisor — Limitações e processo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8.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“Para fechar: o que não podemos afirmar, e o que vem agora.”</w:t>
      </w:r>
    </w:p>
    <w:p>
      <w:pPr>
        <w:pStyle w:val="Heading2"/>
      </w:pPr>
      <w:r>
        <w:t>Slide 45 — O sigilo do analfabetismo — limitação aceita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 e três números em destaque.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decidiu aceitar esta limitação. Eu aceitei, mas quantifiquei — porque aceitar não é deixar sem número.”</w:t>
      </w:r>
    </w:p>
    <w:p>
      <w:pPr>
        <w:spacing w:before="80" w:after="160"/>
        <w:ind w:left="510" w:right="283"/>
      </w:pPr>
      <w:r>
        <w:rPr>
          <w:i/>
        </w:rPr>
        <w:t>“Já mostrei os detalhes no slide 16. O resumo: 16.552 setores sem o dado, e a média verdadeira entre 3,14% e 3,64%.”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vai no artigo?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Sim, com essa mesma quantificação. Está escrito na seção 14.1 do relatório.</w:t>
      </w:r>
    </w:p>
    <w:p>
      <w:pPr>
        <w:pStyle w:val="Heading2"/>
      </w:pPr>
      <w:r>
        <w:t>Slide 46 — As limitações da análise exploratória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Seis parágrafos, quatro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“Estas são as limitações que já estão escritas. As quatro primeiras são as que mais pesam.”</w:t>
      </w:r>
    </w:p>
    <w:p>
      <w:pPr>
        <w:spacing w:before="80" w:after="160"/>
        <w:ind w:left="510" w:right="283"/>
      </w:pPr>
      <w:r>
        <w:rPr>
          <w:i/>
        </w:rPr>
        <w:t>“A falácia ecológica é a mais importante e a mais fácil de esquecer: tudo aqui é agregado por setor. Nada nesta apresentação autoriza inferência sobre indivíduos.”</w:t>
      </w:r>
    </w:p>
    <w:p>
      <w:pPr>
        <w:spacing w:before="80" w:after="160"/>
        <w:ind w:left="510" w:right="283"/>
      </w:pPr>
      <w:r>
        <w:rPr>
          <w:i/>
        </w:rPr>
        <w:t>“As outras três eu já expliquei: o sigilo do analfabetismo, as favelas pequenas invisíveis, e os municípios que ficam com poucos setores depois do filtro urbano.”</w:t>
      </w:r>
    </w:p>
    <w:p>
      <w:pPr>
        <w:spacing w:before="80" w:after="160"/>
        <w:ind w:left="510" w:right="283"/>
      </w:pPr>
      <w:r>
        <w:rPr>
          <w:i/>
        </w:rPr>
        <w:t>“E a última: a EDA é descritiva. Nenhum teste de hipótese foi feito, e as correlações são exploratórias.”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Falta alguma limitação?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Faltam duas do roteiro de Lima-Costa e Barreto que ainda não redigi: viés de sobrevivência e a situação dos institucionalizados. Estão na fila.</w:t>
      </w:r>
    </w:p>
    <w:p>
      <w:pPr>
        <w:pStyle w:val="Heading2"/>
      </w:pPr>
      <w:r>
        <w:t>Slide 47 — As correções desta rodada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seis correções, a forma como foram encontradas e o que se fez.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“Prefiro mostrar os erros a escondê-los, porque a forma como eles foram encontrados é o argumento de confiabilidade.”</w:t>
      </w:r>
    </w:p>
    <w:p>
      <w:pPr>
        <w:spacing w:before="80" w:after="160"/>
        <w:ind w:left="510" w:right="283"/>
      </w:pPr>
      <w:r>
        <w:rPr>
          <w:i/>
        </w:rPr>
        <w:t>“A primeira linha: eu tinha uma tabela regional de água que somava duas parcelas sigilosas, e o resultado dava 99,7% onde deveria dar 100%. Quem pegou foi um teste automatizado — não eu relendo o código. É exatamente o erro que a seção da água existe para alertar, e eu o cometi na agregação.”</w:t>
      </w:r>
    </w:p>
    <w:p>
      <w:pPr>
        <w:spacing w:before="80" w:after="160"/>
        <w:ind w:left="510" w:right="283"/>
      </w:pPr>
      <w:r>
        <w:rPr>
          <w:i/>
        </w:rPr>
        <w:t>“A segunda linha é sobre esta apresentação. A primeira versão dela tinha números digitados à mão, e três vieram do recorte errado. Agora o gerador lê as tabelas na hora de gerar.”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do meio, "Como foi pego" — quatro das seis por teste ou conferência sistemática.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Quantos erros ainda devem existir?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 sei, e é honesto dizer isso. O que posso dizer é que os testes cobrem as fórmulas e as contagens dos artefatos, e que a documentação foi varrida atrás de afirmações obsoletas.</w:t>
      </w:r>
    </w:p>
    <w:p>
      <w:pPr>
        <w:pStyle w:val="Heading2"/>
      </w:pPr>
      <w:r>
        <w:t>Slide 48 — As demandas de agosto, uma a uma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as onze demandas, onde cada entrega está e a situação.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“Dez cumpridas e uma planejada.”</w:t>
      </w:r>
    </w:p>
    <w:p>
      <w:pPr>
        <w:spacing w:before="80" w:after="160"/>
        <w:ind w:left="510" w:right="283"/>
      </w:pPr>
      <w:r>
        <w:rPr>
          <w:i/>
        </w:rPr>
        <w:t>“A que ficou planejada é a análise fatorial. O plano está pronto — transformar a renda, decidir o que fazer com os 16 mil setores sem analfabetismo, KMO, Bartlett, número de fatores, rotação varimax. Não executei porque a decisão de método precede a execução.”</w:t>
      </w:r>
    </w:p>
    <w:p>
      <w:pPr>
        <w:pStyle w:val="Heading2"/>
      </w:pPr>
      <w:r>
        <w:t>Slide 49 — Por que estes números são confiáveis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Quatro números em destaque e quatro parágrafos de método.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“Se houver uma coisa para levar desta apresentação além dos resultados, é esta.”</w:t>
      </w:r>
    </w:p>
    <w:p>
      <w:pPr>
        <w:spacing w:before="80" w:after="160"/>
        <w:ind w:left="510" w:right="283"/>
      </w:pPr>
      <w:r>
        <w:rPr>
          <w:i/>
        </w:rPr>
        <w:t>“São 63 testes automatizados, todos passando. Eles não conferem só as fórmulas: leem os arquivos gerados e verificam contagens exatas.”</w:t>
      </w:r>
    </w:p>
    <w:p>
      <w:pPr>
        <w:spacing w:before="80" w:after="160"/>
        <w:ind w:left="510" w:right="283"/>
      </w:pPr>
      <w:r>
        <w:rPr>
          <w:i/>
        </w:rPr>
        <w:t>“E quando eu refatorei o Notebook 01 para ler as variáveis do módulo, comparei a base nova com a anterior antes de aceitar: 67 colunas em comum, zero diferenças, mesmos 109.032 setores. A refatoração foi provada neutra no dado, não no argumento.”</w:t>
      </w:r>
    </w:p>
    <w:p>
      <w:pPr>
        <w:pStyle w:val="Heading2"/>
      </w:pPr>
      <w:r>
        <w:t>Slide 50 — A decisão dos pesos do índice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Veredito em destaque, três parágrafos de sustentação e dois de ressalva.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decisão em aberto mais importante, e eu a submeti a uma análise adversarial com cinco perspectivas independentes e revisão cega entre elas.”</w:t>
      </w:r>
    </w:p>
    <w:p>
      <w:pPr>
        <w:spacing w:before="80" w:after="160"/>
        <w:ind w:left="510" w:right="283"/>
      </w:pPr>
      <w:r>
        <w:rPr>
          <w:i/>
        </w:rPr>
        <w:t>“O veredito foi adotar 60/40 da literatura e tratar o peso como análise de sensibilidade, não como decisão central. Três razões. Primeira: com renda, cor/raça e analfabetismo colineares a 0,8, qualquer esquema razoável produz quase o mesmo ranking. Segunda: a fatorial não decide o que fazer com o lixo, ela esconde a decisão — com correlações de 0,10 a 0,20 ele carrega sozinho, e a escolha volta a ser manual. Terceira: o custo de errar é assimétrico.”</w:t>
      </w:r>
    </w:p>
    <w:p>
      <w:pPr>
        <w:spacing w:before="80" w:after="160"/>
        <w:ind w:left="510" w:right="283"/>
      </w:pPr>
      <w:r>
        <w:rPr>
          <w:i/>
        </w:rPr>
        <w:t>“Mas a parte mais valiosa foi o ponto cego, que só apareceu na revisão: a normalização por município mexe mais no ranking do que qualquer peso, e ninguém testou isso ainda.”</w:t>
      </w:r>
    </w:p>
    <w:p>
      <w:pPr>
        <w:spacing w:before="80" w:after="160"/>
        <w:ind w:left="510" w:right="283"/>
      </w:pPr>
      <w:r>
        <w:rPr>
          <w:i/>
        </w:rPr>
        <w:t>“E registro que a decisão é da senhora. O que eu trago é o que a evidência sustenta.”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O que exatamente é essa análise adversarial?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Cinco análises independentes da mesma questão, cada uma com um ângulo diferente, depois revisadas às cegas umas pelas outras. As cinco revisões escolheram a mesma resposta como a mais forte.</w:t>
      </w:r>
    </w:p>
    <w:p>
      <w:pPr>
        <w:pStyle w:val="Heading2"/>
      </w:pPr>
      <w:r>
        <w:t>Slide 51 — O que vem agora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Cinco itens numerados.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“Cinco frentes. A primeira é a normalização por município, que o conselho apontou como dominante sobre a escolha dos pesos — e é mais barata que a fatorial.”</w:t>
      </w:r>
    </w:p>
    <w:p>
      <w:pPr>
        <w:spacing w:before="80" w:after="160"/>
        <w:ind w:left="510" w:right="283"/>
      </w:pPr>
      <w:r>
        <w:rPr>
          <w:i/>
        </w:rPr>
        <w:t>“A segunda fecha a questão dos pesos com uma tabela: calcular o índice com três esquemas e reportar a correlação entre os rankings.”</w:t>
      </w:r>
    </w:p>
    <w:p>
      <w:pPr>
        <w:spacing w:before="80" w:after="160"/>
        <w:ind w:left="510" w:right="283"/>
      </w:pPr>
      <w:r>
        <w:rPr>
          <w:i/>
        </w:rPr>
        <w:t>“A terceira é a fatorial, quando a senhora decidir.”</w:t>
      </w:r>
    </w:p>
    <w:p>
      <w:pPr>
        <w:spacing w:before="80" w:after="160"/>
        <w:ind w:left="510" w:right="283"/>
      </w:pPr>
      <w:r>
        <w:rPr>
          <w:i/>
        </w:rPr>
        <w:t>“A quarta são os estudos de renda que propus, e a quinta é terminar a redação das limitações.”</w:t>
      </w:r>
    </w:p>
    <w:p>
      <w:pPr>
        <w:spacing w:before="80" w:after="160"/>
        <w:ind w:left="510" w:right="283"/>
      </w:pPr>
      <w:r>
        <w:rPr>
          <w:i/>
        </w:rPr>
        <w:t>“Fico à disposição.”</w:t>
      </w:r>
    </w:p>
    <w:p>
      <w:r>
        <w:br w:type="page"/>
      </w:r>
    </w:p>
    <w:p>
      <w:pPr>
        <w:pStyle w:val="Heading1"/>
      </w:pPr>
      <w:r>
        <w:t>Anexo A — As perguntas difíceis</w:t>
      </w:r>
    </w:p>
    <w:p>
      <w:pPr>
        <w:spacing w:before="0" w:after="200"/>
        <w:ind w:left="0"/>
      </w:pPr>
      <w:r>
        <w:rPr>
          <w:b w:val="0"/>
          <w:i/>
          <w:color w:val="56534C"/>
        </w:rPr>
        <w:t>Perguntas que não estão presas a um slide, e que podem vir a qualquer momento.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Como sei que os números estão certos?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Três camadas. Os 63 testes automatizados conferem as fórmulas contra dados sintéticos calculáveis na mão e as contagens dos arquivos gerados. Os números desta apresentação são lidos das tabelas na hora de gerar o arquivo, não digitados. E o cálculo nacional reproduz a população oficial do Censo: 203.080.756.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Por que dois recortes diferentes na mesma apresentação?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Porque algumas tabelas foram geradas antes do filtro urbano de julho e sustentam números já apresentados. Regerá-las no recorte novo mudaria os slides antigos. Cada tabela traz o recorte impresso embaixo, então a comparação nunca é feita às cegas.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Esse índice já pode ser usado por uma prefeitura?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Ainda não. Falta a normalização, os pesos e o cálculo final. O que existe hoje é a base analítica e a EDA que a sustenta.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Quanto disso é comparável com o IVS-BH 2012?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A estrutura é a mesma, mas três componentes foram substituídas por proxies porque não existem nos agregados por setor do Censo 2022. E o Censo 2022 redesenhou setores, o que limita comparação territorial direta com 2010.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Por que o lixo se comporta de forma estranha em toda a apresentação?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Porque a caçamba de serviço de limpeza é contada como destino inadequado, por fidelidade ao IVS-BH 2012. Há indício de que isso faz o indicador medir porte urbano: é a única variável em que estamos piores que o Brasil urbano. A decisão está registrada como em revisão.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Você usou inteligência artificial nisso?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Usei como ferramenta de trabalho, com verificação. Toda fórmula está em código versionado, toda tabela tem script que a gera, e o conjunto é coberto por 63 testes. Os erros que encontrei estão listados no slide 43, inclusive os meus.</w:t>
      </w:r>
    </w:p>
    <w:p>
      <w:pPr>
        <w:pStyle w:val="Heading1"/>
      </w:pPr>
      <w:r>
        <w:t>Anexo B — O que NÃO afirmar</w:t>
      </w:r>
    </w:p>
    <w:p>
      <w:pPr>
        <w:spacing w:before="0" w:after="200"/>
        <w:ind w:left="0"/>
      </w:pPr>
      <w:r>
        <w:rPr>
          <w:b w:val="0"/>
          <w:i/>
          <w:color w:val="56534C"/>
        </w:rPr>
        <w:t>Frases que a base não sustenta, e que é fácil deixar escapar.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"Os setores mais vulneráveis têm mais idosos analfabetos."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Falácia ecológica. Os dados são agregados por setor; não há informação sobre indivíduos.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"A favelização cresceu entre 2010 e 2022."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O próprio IBGE restringe essa comparação. No estudo de área constante que eles fizeram, a população caiu 5,4%. O aumento no número de favelas vem em boa parte de melhoria no mapeamento.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 analfabetismo na amostra é 3,64%."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Esse é o teto. Diga "entre 3,14% e 3,64%", ou diga "3,64% entre os setores com o dado".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"X% dos setores são favela e vivem pior."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A comparação é válida, mas as favelas pequenas não estão na base. Diga que a comparação é conservadora nos dois sentidos.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 índice mostra que a região Norte é a mais vulnerável."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O índice ainda não foi calculado. O que existe são as componentes, e o gradiente aparece em seis das sete.</w:t>
      </w:r>
    </w:p>
    <w:p>
      <w:pPr>
        <w:pStyle w:val="Heading1"/>
      </w:pPr>
      <w:r>
        <w:t>Anexo C — Onde está cada 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Slides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9"/>
              </w:rPr>
              <w:t>Arquivo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10, 11, 14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banco_de_dados/eda/descritivas_globais.csv · descritivas_por_regiao.csv · outliers.csv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12, 13, 15, 18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banco_de_dados/eda/figuras/ — histogramas, boxplots_por_regiao, missing_por_municipio, matriz_correlacao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banco_de_dados/eda/auditoria_analfabetismo_v00900_bins.csv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21–27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banco_de_dados/eda/renda_*.csv — oito tabelas, geradas por scripts/auditoria_renda.py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29–31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habitacao_precaria_* · inadequacao_banheiro_* · resp_feminino_* · tipo_domicilio_* · morfologia_*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32, 33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banco_de_dados/eda/agua_canalizada_*.csv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34, 35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cobertura_*.csv · saneamento_categorias_por_regiao.csv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37, 38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favelas_fcu_*.csv · dados/FavelaseComunidadesUrbanas2022Setores_20250417.xlsx · docs/IBGE_Censo2022_Favelas_e_Comunidades_Urbanas.pdf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banco_de_dados/nacional/comparativo_brasil_vs_elsi.csv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41, 42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docs/Relatorio_EDA_Fase3_IVS_ELSI.md, seções 14, 14.1 e 14.2</w:t>
            </w:r>
          </w:p>
        </w:tc>
      </w:tr>
    </w:tbl>
    <w:p>
      <w:pPr>
        <w:spacing w:after="40"/>
      </w:pPr>
    </w:p>
    <w:p>
      <w:pPr>
        <w:spacing w:before="120" w:after="120"/>
        <w:ind w:left="0"/>
      </w:pPr>
      <w:r>
        <w:rPr>
          <w:b w:val="0"/>
          <w:i/>
          <w:color w:val="56534C"/>
        </w:rPr>
        <w:t>Todos os números desta apresentação são extraídos por scripts/eda_central_dados.py, que lê as tabelas acima e grava banco_de_dados/eda/dados_deck.json. O gerador do deck apenas formata.</w:t>
      </w:r>
    </w:p>
    <w:p>
      <w:pPr>
        <w:pStyle w:val="Heading1"/>
      </w:pPr>
      <w:r>
        <w:t xml:space="preserve">Anexo — A fonte do IBGE, transcrita, com orientação de uso</w:t>
      </w:r>
    </w:p>
    <w:p>
      <w:pPr>
        <w:spacing w:before="0" w:after="160"/>
        <w:ind w:left="0"/>
      </w:pPr>
      <w:r>
        <w:rPr/>
        <w:t xml:space="preserve">IBGE. Censo Demográfico 2022: Favelas e Comunidades Urbanas — Resultados do universo. Rio de Janeiro: IBGE, 2024. 171 p. O arquivo está em Projeto_IVS_Censo22/docs/IBGE_Censo2022_Favelas_e_Comunidades_Urbanas.pdf.</w:t>
      </w:r>
    </w:p>
    <w:p>
      <w:pPr>
        <w:spacing w:before="0" w:after="160"/>
        <w:ind w:left="0"/>
      </w:pPr>
      <w:r>
        <w:rPr/>
        <w:t xml:space="preserve">Estão transcritas aqui as passagens das páginas 46, 47, 73, 74 e 75 que sustentam alguma afirmação da apresentação. Cada uma vem seguida da orientação de quando e como usá-la. As transcrições são literais: se for citar no artigo, copie daqui.</w:t>
      </w:r>
    </w:p>
    <w:p>
      <w:pPr>
        <w:spacing w:before="0" w:after="160"/>
        <w:ind w:left="0"/>
      </w:pPr>
      <w:r>
        <w:rPr>
          <w:i/>
          <w:color w:val="8C2F27"/>
        </w:rPr>
        <w:t xml:space="preserve">Atenção à numeração das páginas. A página impressa no rodapé é a que se cita, e ela fica três à frente do número de página do leitor de PDF: impressa 46 = PDF 49. Todas as páginas indicadas abaixo são as impressas.</w:t>
      </w:r>
    </w:p>
    <w:p>
      <w:pPr>
        <w:pStyle w:val="Heading2"/>
      </w:pPr>
      <w:r>
        <w:t xml:space="preserve">Página 46 — a mudança de nomenclatura não mudou o conteúdo</w:t>
      </w:r>
    </w:p>
    <w:p>
      <w:pPr>
        <w:spacing w:before="0" w:after="160"/>
        <w:ind w:left="0"/>
      </w:pPr>
      <w:r>
        <w:rPr/>
        <w:t xml:space="preserve">Contexto: em 2024 o IBGE trocou "Aglomerados Subnormais" por "Favelas e Comunidades Urbanas" e reescreveu os critérios. Estas duas frases são a garantia de que a série não quebrou.</w:t>
      </w:r>
    </w:p>
    <w:p>
      <w:pPr>
        <w:pStyle w:val="Heading3"/>
      </w:pPr>
      <w:r>
        <w:t xml:space="preserve">Transcrição 1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"Cabe reforçar que a mudança de nomenclatura e redação dos critérios não afeta estruturalmente o mapeamento produzido para a pesquisa censitária de 2022, uma vez que não houve alterações efetivas, mas apenas uma mudança na redação dos elementos utilizados como referência."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a sua defesa se perguntarem se a mudança de nome comprometeu a comparação com a literatura anterior, que fala em aglomerado subnormal. A resposta é que o IBGE afirma explicitamente que não houve alteração efetiva de critério. Use no slide 37 e na resposta à pergunta "mudou alguma coisa em relação ao Aglomerado Subnormal?". Não use para dizer que os NÚMEROS de 2010 e 2022 são comparáveis: isso é outra coisa, e a própria publicação diz que não são. Ver página 73.</w:t>
      </w:r>
    </w:p>
    <w:p>
      <w:pPr>
        <w:pStyle w:val="Heading3"/>
      </w:pPr>
      <w:r>
        <w:t xml:space="preserve">Transcrição 2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"Como dito, as mudanças dizem respeito à forma como o IBGE se refere a esses territórios e seus habitantes em seus materiais e em suas bases de divulgação, evitando estigmatizações e homogeneizações que possam afetá-los negativamente. O conteúdo essencial dos critérios utilizados para identificação e classificação dos então chamados Aglomerados Subnormais foi mantido."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A segunda frase é a mais forte das duas e é a que vale citar no artigo, porque diz diretamente que o conteúdo do critério foi mantido. A primeira frase serve para explicar a MOTIVAÇÃO da mudança, que é evitar estigmatização. Se a conversa derivar para a escolha do termo "favela" no seu texto, é esta frase que justifica você seguir a nomenclatura oficial do IBGE em vez de inventar uma sua.</w:t>
      </w:r>
    </w:p>
    <w:p>
      <w:pPr>
        <w:pStyle w:val="Heading2"/>
      </w:pPr>
      <w:r>
        <w:t xml:space="preserve">Páginas 46 e 47 — a definição oficial</w:t>
      </w:r>
    </w:p>
    <w:p>
      <w:pPr>
        <w:spacing w:before="0" w:after="160"/>
        <w:ind w:left="0"/>
      </w:pPr>
      <w:r>
        <w:rPr/>
        <w:t xml:space="preserve">A definição vem entre aspas na publicação, em quatro parágrafos. Começa na página 46 e termina na 47. Transcrita na íntegra abaixo.</w:t>
      </w:r>
    </w:p>
    <w:p>
      <w:pPr>
        <w:pStyle w:val="Heading3"/>
      </w:pPr>
      <w:r>
        <w:t xml:space="preserve">Parágrafo 1 — a definição propriamente dita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"As Favelas e Comunidades Urbanas são territórios populares originados das diversas estratégias utilizadas pela população para atender, geralmente de forma autônoma e coletiva, às suas necessidades de moradia e usos associados (comércio, serviços, lazer, cultura, entre outros), diante da insuficiência e inadequação das políticas públicas e investimentos privados dirigidos à garantia do direito à cidade."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esta que você cita se pedirem a definição. Decore a espinha dela, não a frase inteira: território popular, originado de estratégia autônoma e coletiva da população, diante da insuficiência de política pública e investimento privado. Repare que a definição é sobre ORIGEM e PROCESSO, não sobre carência material — isso importa, porque a carência aparece só nos critérios operacionais da página 47. Se alguém disser que favela "é onde falta saneamento", esta frase mostra que a definição oficial é outra.</w:t>
      </w:r>
    </w:p>
    <w:p>
      <w:pPr>
        <w:pStyle w:val="Heading3"/>
      </w:pPr>
      <w:r>
        <w:t xml:space="preserve">Parágrafo 2 — identidade comunitária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"Em muitos casos, devido à sua origem compartilhada, relações de vizinhança, engajamento comunitário e intenso uso de espaços comuns, constituem identidade e representação comunitária."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Não use na apresentação. Está aqui para você saber que existe, porque é o parágrafo que justifica a palavra "Comunidades" no nome novo. Serve se a conversa for sobre nomenclatura, não sobre o índice.</w:t>
      </w:r>
    </w:p>
    <w:p>
      <w:pPr>
        <w:pStyle w:val="Heading3"/>
      </w:pPr>
      <w:r>
        <w:t xml:space="preserve">Parágrafo 3 — os muitos nomes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"No Brasil, esses espaços se manifestam em diferentes formas e nomenclaturas, como favelas, ocupações, comunidades, quebradas, grotas, baixadas, alagados, vilas, ressacas, mocambos, palafitas, loteamentos informais, vilas de malocas, entre outros, expressando diferenças geográficas, históricas e culturais na sua formação."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Este é o parágrafo que responde à demanda de julho, que foi formulada como "vilas e favelas". Ele mostra que vila e favela são dois dos muitos nomes de uma mesma categoria oficial, e que a sua marcação CD_TIPO = 1 cobre as duas. Se a orientadora perguntar por que você não separou vila de favela, a resposta é que o Censo não separa: são a mesma categoria.</w:t>
      </w:r>
    </w:p>
    <w:p>
      <w:pPr>
        <w:pStyle w:val="Heading3"/>
      </w:pPr>
      <w:r>
        <w:t xml:space="preserve">Parágrafo 4 — vulnerabilidade e insegurança da posse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"Favelas e Comunidades Urbanas expressam a desigualdade socioespacial da urbanização brasileira. Retratam a incompletude - no limite, a precariedade - das políticas governamentais e investimentos privados de dotação de infraestrutura urbana, serviços públicos, equipamentos coletivos e proteção ambiental aos sítios onde se localizam, reproduzindo condições de vulnerabilidade. Estas se tornam agravadas com a insegurança jurídica da posse, que também compromete a garantia do direito à moradia e a proteção legal contra despejos forçados e remoções."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Este é o parágrafo mais útil para o SEU argumento, e é o menos óbvio. A palavra "vulnerabilidade" aparece na definição oficial de favela do IBGE, ligada a infraestrutura urbana e serviços públicos — que é exatamente o que o seu índice mede. Use para justificar por que faz sentido comparar favela e resto da cidade usando o IVS: não é comparação arbitrária, é a própria definição da categoria que aponta para essas dimensões. Mas veja a ressalva na seção seguinte: é isso mesmo que torna a comparação parcialmente circular.</w:t>
      </w:r>
    </w:p>
    <w:p>
      <w:pPr>
        <w:pStyle w:val="Heading2"/>
      </w:pPr>
      <w:r>
        <w:t xml:space="preserve">Página 47 — os quatro critérios de identificação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"Para identificação das Favelas e Comunidades Urbanas o IBGE utiliza os seguintes critérios:"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"i. Predominância de domicílios com graus diferenciados de insegurança jurídica da posse; e, pelo menos, um dos demais critérios abaixo:"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"ii. Ausência ou oferta incompleta e/ou precária de serviços públicos (iluminação elétrica pública e domiciliar, abastecimento de água, esgotamento sanitário, sistemas de drenagem e coleta de lixo regular) por parte das instituições competentes; e/ou"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"iii. Predomínio de edificações, arruamento e infraestrutura que usualmente são autoproduzidos e/ou se orientam por parâmetros urbanísticos e construtivos distintos dos definidos pelos órgãos públicos; e/ou"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"iv. Localização em áreas com restrição à ocupação definidas pela legislação ambiental ou urbanística, tais como faixas de domínio de rodovias e ferrovias, linhas de transmissão de energia e áreas protegidas, entre outras; ou em sítios urbanos caracterizados como áreas de risco ambiental (geológico, geomorfológico, climático, hidrológico e de contaminação)." (IBGE, 2024)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A estrutura lógica é o que você precisa saber de cor: o critério i é OBRIGATÓRIO, e basta UM dos outros três. Ou seja, insegurança jurídica da posse mais qualquer uma das três carências. É a pergunta mais provável desta seção, e errar a estrutura lógica é pior do que não saber o texto.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A ressalva metodológica que você deve levantar antes que perguntem: os critérios ii e iv são saneamento e risco ambiental, e o critério ii lista exatamente água, esgoto e lixo, que são três das sete componentes do seu índice. Isso significa que a sua comparação favela versus resto da cidade NÃO é validação externa independente — há sobreposição por construção entre o que define a categoria e o que o índice mede. Chame de checagem de coerência, não de validação. Levantar isso você mesmo vira maturidade metodológica; ser pego nisso é constrangedor.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Repare também no que o critério i implica: a insegurança da posse é obrigatória e o seu índice não a mede, porque o Censo não publica posse por setor. Então há uma dimensão da definição oficial que o IVS não captura. Vale uma frase nas limitações.</w:t>
      </w:r>
    </w:p>
    <w:p>
      <w:pPr>
        <w:pStyle w:val="Heading2"/>
      </w:pPr>
      <w:r>
        <w:t xml:space="preserve">Página 73 — a comparabilidade com 2010</w:t>
      </w:r>
    </w:p>
    <w:p>
      <w:pPr>
        <w:spacing w:before="0" w:after="160"/>
        <w:ind w:left="0"/>
      </w:pPr>
      <w:r>
        <w:rPr/>
        <w:t xml:space="preserve">Estas passagens abrem a seção "Considerações sobre a comparabilidade entre o Censo Demográfico 2010 e o Censo Demográfico 2022".</w:t>
      </w:r>
    </w:p>
    <w:p>
      <w:pPr>
        <w:pStyle w:val="Heading3"/>
      </w:pPr>
      <w:r>
        <w:t xml:space="preserve">Transcrição 1 — a restrição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"Conforme mencionado na Introdução, as inovações gerenciais, metodológicas e tecnológicas entre os Censos Demográficos 2010 e 2022 implicam em restrições quanto à comparabilidade direta entre as informações coletadas nas Favelas e Comunidades Urbanas nos dois períodos."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Use se alguém pedir uma comparação com 2010, em qualquer contexto. A restrição é do próprio IBGE, então você não está sendo conservador por conta própria: está seguindo a orientação da fonte.</w:t>
      </w:r>
    </w:p>
    <w:p>
      <w:pPr>
        <w:pStyle w:val="Heading3"/>
      </w:pPr>
      <w:r>
        <w:t xml:space="preserve">Transcrição 2 — os números dos dois censos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"Em 2010, foram identificadas 6 329 Favelas e Comunidades Urbanas, onde residiam 11 425 644 pessoas. Já em 2022, o mapeamento resultou em 12 348 Favelas e Comunidades Urbanas, onde viviam 16 390 815 pessoas."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Só cite estes números junto com a transcrição 3, nunca sozinhos. Sozinhos eles sugerem que a favelização dobrou, que é precisamente a leitura errada. Se precisar de um número isolado, use o de 2022.</w:t>
      </w:r>
    </w:p>
    <w:p>
      <w:pPr>
        <w:pStyle w:val="Heading3"/>
      </w:pPr>
      <w:r>
        <w:t xml:space="preserve">Transcrição 3 — por que o aumento não é crescimento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"O aumento no número de Favelas e Comunidades Urbanas em 2022 e, consequentemente, de população residente nessas áreas, não se deve apenas ao surgimento de novas Favelas e Comunidades Urbanas no País, no período intercensitário. Os aprimoramentos operacionais, como os treinamentos mais específicos sobre a abordagem em Favelas e Comunidades Urbanas e o acompanhamento da coleta por meio dos dados georreferenciados referentes aos pontos de energia elétrica fornecidos pela ANEEL, por exemplo, somados ao engajamento das equipes locais com o tema e às inovações tecnológicas que resultaram na melhoria das imagens orbitais, são fatores que ajudam a explicar as diferenças observadas entre os anos de 2010 e 2022."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a passagem que sustenta a sua decisão de não afirmar nada sobre crescimento da favelização no artigo. O detalhe dos pontos da ANEEL é bom de mencionar em voz alta porque mostra leitura de verdade: o IBGE passou a cruzar coordenadas de ligações elétricas para achar domicílio que a coleta tinha perdido. Boa parte do "aumento" é isso, não gente nova.</w:t>
      </w:r>
    </w:p>
    <w:p>
      <w:pPr>
        <w:pStyle w:val="Heading2"/>
      </w:pPr>
      <w:r>
        <w:t xml:space="preserve">Página 74 — o estudo de área constante</w:t>
      </w:r>
    </w:p>
    <w:p>
      <w:pPr>
        <w:spacing w:before="0" w:after="160"/>
        <w:ind w:left="0"/>
      </w:pPr>
      <w:r>
        <w:rPr/>
        <w:t xml:space="preserve">Para dar algum resultado comparável, o IBGE isolou os setores de 2010 cuja área inteira virou setor de FCU em 2022, e comparou só esses.</w:t>
      </w:r>
    </w:p>
    <w:p>
      <w:pPr>
        <w:pStyle w:val="Heading3"/>
      </w:pPr>
      <w:r>
        <w:t xml:space="preserve">Transcrição — o resultado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"O conjunto de setores analisados corresponde a 77,9% dos setores de Favelas e Comunidades Urbanas de 2010, equivalentes a 46,5% dos setores de Favelas e Comunidades Urbanas de 2022. A análise comparativa mostrou que a população residente na área de estudo em 2010 era 8 793 856, que correspondia a 77,0% da população em Favelas e Comunidades Urbanas daquele ano. Em 2022, a população residente na mesma área investigada era 8 315 088, equivalente a 50,7% da população residente em Favelas e Comunidades Urbanas no mesmo ano. Esse resultado, que não representa a totalidade das áreas de Favelas e Comunidades Urbanas em 2010 e 2022, mostra uma redução de 5,4% no número de moradores em Favelas e Comunidades Urbanas que viviam na área delimitada pelo estudo."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Este é o argumento decisivo, e é contraintuitivo: mantida a área constante, a população em favela CAIU 5,4%. Guarde os dois números de cobertura, 77,9% e 46,5%, porque eles são a ressalva: o estudo cobre menos da metade dos setores de 2022, então também não autoriza dizer que a favelização diminuiu. A conclusão correta é que a comparação entre censos não sustenta afirmação em nenhuma das duas direções.</w:t>
      </w:r>
    </w:p>
    <w:p>
      <w:pPr>
        <w:pStyle w:val="Heading3"/>
      </w:pPr>
      <w:r>
        <w:t xml:space="preserve">Transcrição — o que ainda falta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"Um entendimento completo da variação da população em áreas de Favelas e Comunidades Urbanas entre 2010 e 2022 requer um estudo aprofundado que identifique as áreas classificadas como Favela e Comunidade Urbana em 2022 que já possuíam características que se enquadravam no conceito em 2010, denominado Aglomerado Subnormal, mas que não foram classificadas dessa maneira."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Guarde para a pergunta "isso não daria um estudo?". O próprio IBGE aponta a lacuna e diz que a continuidade depende de recurso. Serve como sugestão de trabalho futuro no artigo, e mostra que você leu além do dado.</w:t>
      </w:r>
    </w:p>
    <w:p>
      <w:pPr>
        <w:pStyle w:val="Heading2"/>
      </w:pPr>
      <w:r>
        <w:t xml:space="preserve">Página 75 — o total, e a nota 7</w:t>
      </w:r>
    </w:p>
    <w:p>
      <w:pPr>
        <w:pStyle w:val="Heading3"/>
      </w:pPr>
      <w:r>
        <w:t xml:space="preserve">Transcrição — o total oficial, no corpo do texto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"O mapeamento das Favelas e Comunidades Urbanas procedente do Censo Demográfico 2022 resultou na identificação de 12 348 áreas presentes em 656 Municípios brasileiros."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o denominador da sua tabela de representatividade no slide 37. Os seus 5.899 saem de 47,8% deste 12.348, e os 42 municípios saem de 6,4% destes 656.</w:t>
      </w:r>
    </w:p>
    <w:p>
      <w:pPr>
        <w:pStyle w:val="Heading3"/>
      </w:pPr>
      <w:r>
        <w:t xml:space="preserve">Transcrição — a nota de rodapé 7, a limitação que mais te afeta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"Como visto, além das 12 348 Favelas e Comunidades Urbanas classificadas em 656 Municípios, para as quais serão fornecidas informações resultantes da coleta do Censo Demográfico 2022, o IBGE identificou 2 298 Favelas e Comunidades Urbanas cujos quantitativos de domicílios, estimados previamente à coleta, variaram entre 21 e 50. Para essas áreas não serão disponibilizadas informações específicas, uma vez que elas não puderam ser definidas em setores censitários específicos de Favelas e Comunidades Urbanas. Esses critérios e procedimentos metodológicos estão descritos na seção Cartografia censitária para Favelas e Comunidades Urbanas."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a citação mais importante do anexo para o seu trabalho, e é a que sustenta o cartão de limitação do slide 37. O raciocínio a dizer em voz alta: como o critério da base é o setor censitário, e essas 2.298 favelas não têm setor próprio, os moradores delas caem em setores comuns. Logo a comparação favela versus cidade erra nos dois sentidos ao mesmo tempo — subestima a população favelada e contamina o grupo de comparação com ela. Diga "nos dois sentidos", porque é o que mostra que você entendeu a consequência e não só copiou a limitação.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Cite como "nota 7, p. 75". A mesma informação aparece antes, na nota 3 da página 7, dentro da Apresentação. Se ela abrir o PDF pela introdução e vir a nota 3, as duas estão certas: é o mesmo texto repetido.</w:t>
      </w:r>
    </w:p>
    <w:p>
      <w:pPr>
        <w:pStyle w:val="Heading2"/>
      </w:pPr>
      <w:r>
        <w:t xml:space="preserve">O que existe nessas páginas e não foi transcrito</w:t>
      </w:r>
    </w:p>
    <w:p>
      <w:pPr>
        <w:spacing w:before="0" w:after="160"/>
        <w:ind w:left="0"/>
      </w:pPr>
      <w:r>
        <w:rPr/>
        <w:t xml:space="preserve">Para você não ser pego de surpresa se ela olhar o PDF junto com você:</w:t>
      </w:r>
    </w:p>
    <w:p>
      <w:pPr>
        <w:spacing w:before="0" w:after="160"/>
        <w:ind w:left="0"/>
      </w:pPr>
      <w:r>
        <w:rPr/>
        <w:t xml:space="preserve">Na página 47, depois dos critérios, começa a seção "Procedimentos e inovações para a realização do Censo Demográfico 2022 em Favelas e Comunidades Urbanas", que trata dos processos de consulta à sociedade. Não toca no seu recorte.</w:t>
      </w:r>
    </w:p>
    <w:p>
      <w:pPr>
        <w:spacing w:before="0" w:after="160"/>
        <w:ind w:left="0"/>
      </w:pPr>
      <w:r>
        <w:rPr/>
        <w:t xml:space="preserve">No topo da página 73, antes da seção de comparabilidade, há um trecho sobre o Help Desk montado pelo IBGE para a rede de coleta. É operacional.</w:t>
      </w:r>
    </w:p>
    <w:p>
      <w:pPr>
        <w:spacing w:before="0" w:after="160"/>
        <w:ind w:left="0"/>
      </w:pPr>
      <w:r>
        <w:rPr/>
        <w:t xml:space="preserve">Na página 74, antes do resultado transcrito, há três marcadores descrevendo quais tipos de setor de 2010 foram considerados equivalentes aos de 2022: os que foram divididos, os que foram agregados e os que mantiveram a geometria. É o detalhe metodológico do estudo de área constante. Se perguntarem como o IBGE definiu "mesma área", é esta a resposta.</w:t>
      </w:r>
    </w:p>
    <w:p>
      <w:pPr>
        <w:spacing w:before="0" w:after="160"/>
        <w:ind w:left="0"/>
      </w:pPr>
      <w:r>
        <w:rPr/>
        <w:t xml:space="preserve">Na página 75, depois da nota 7, começa a análise de resultados, com os cartogramas de Cariacica (ES) e Campina Grande (PB) como exemplos de favelas grandes e contíguas contra muitas favelas pequenas dispersas. Há também a nota 8, que apenas remete de volta à seção de comparabilidade.</w:t>
      </w:r>
    </w:p>
    <w:p>
      <w:pPr>
        <w:spacing w:before="0" w:after="160"/>
        <w:ind w:left="0"/>
      </w:pPr>
      <w:r>
        <w:rPr>
          <w:i/>
          <w:color w:val="8C2F27"/>
        </w:rPr>
        <w:t xml:space="preserve">Se ela perguntar sobre qualquer uma dessas partes, a resposta honesta é que você não entrou nelas porque não tocavam no recorte do trabalho. É melhor do que improvisar.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56534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 w:eastAsia="Cambria"/>
      <w:color w:val="1A1A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mbria" w:hAnsi="Cambria"/>
      <w:b/>
      <w:bCs/>
      <w:color w:val="1A1A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mbria" w:hAnsi="Cambria"/>
      <w:b/>
      <w:bCs/>
      <w:color w:val="8C2F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