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4"/>
          <w:szCs w:val="44"/>
        </w:rPr>
        <w:t xml:space="preserve">Relatório de Análise Exploratória de Dados</w:t>
      </w:r>
    </w:p>
    <w:p>
      <w:pPr>
        <w:spacing w:after="480"/>
        <w:jc w:val="center"/>
      </w:pPr>
      <w:r>
        <w:rPr>
          <w:color w:val="2E75B6"/>
          <w:sz w:val="32"/>
          <w:szCs w:val="32"/>
        </w:rPr>
        <w:t xml:space="preserve">IVS intraurbano — Censo Demográfico 2022 / ELSI-Brasil</w:t>
      </w:r>
    </w:p>
    <w:p>
      <w:pPr>
        <w:pBdr>
          <w:top w:val="single" w:color="2E75B6" w:sz="12"/>
        </w:pBdr>
        <w:spacing w:after="200"/>
        <w:jc w:val="center"/>
      </w:pPr>
      <w:r>
        <w:t xml:space="preserve"> </w:t>
      </w:r>
    </w:p>
    <w:p>
      <w:pPr>
        <w:spacing w:after="80" w:before="2000"/>
        <w:jc w:val="center"/>
      </w:pPr>
      <w:r>
        <w:rPr>
          <w:b/>
          <w:bCs/>
          <w:sz w:val="26"/>
          <w:szCs w:val="26"/>
        </w:rPr>
        <w:t xml:space="preserve">Pedro Dias Soares</w:t>
      </w:r>
    </w:p>
    <w:p>
      <w:pPr>
        <w:spacing w:after="80"/>
        <w:jc w:val="center"/>
      </w:pPr>
      <w:r>
        <w:rPr>
          <w:sz w:val="22"/>
          <w:szCs w:val="22"/>
        </w:rPr>
        <w:t xml:space="preserve">Iniciação Científica — Fiocruz Minas / IRR</w:t>
      </w:r>
    </w:p>
    <w:p>
      <w:pPr>
        <w:spacing w:after="80"/>
        <w:jc w:val="center"/>
      </w:pPr>
      <w:r>
        <w:rPr>
          <w:i/>
          <w:iCs/>
          <w:sz w:val="22"/>
          <w:szCs w:val="22"/>
        </w:rPr>
        <w:t xml:space="preserve">Saúde Coletiva — Saúde Urbana e Epidemiologia Espacial</w:t>
      </w:r>
    </w:p>
    <w:p>
      <w:pPr>
        <w:spacing w:before="600"/>
        <w:jc w:val="center"/>
      </w:pPr>
      <w:r>
        <w:rPr>
          <w:sz w:val="22"/>
          <w:szCs w:val="22"/>
        </w:rPr>
        <w:t xml:space="preserve">12 de junho de 2026 (regerado sobre a metodologia V00001 consolidada em 22/05/2026)</w:t>
      </w:r>
    </w:p>
    <w:p>
      <w:r>
        <w:br w:type="page"/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Sumário Executivo</w:t>
      </w:r>
    </w:p>
    <w:p>
      <w:pPr>
        <w:spacing w:after="120" w:line="300"/>
        <w:jc w:val="both"/>
      </w:pPr>
      <w:r>
        <w:t xml:space="preserve">A análise exploratória foi conduzida sobre uma base de 109.032 setores censitários dos 70 municípios da amostra do ELSI-Brasil, extraídos do Censo Demográfico 2022. Após aplicar as regras de elegibilidade definidas pelo IVS-BH 2012 (Secretaria Municipal de Saúde de Belo Horizonte), 106.281 setores (97,5%) foram considerados aptos para a análise. As sete variáveis-componente do IVS foram calculadas em proporções brutas, com denominador domiciliar V00001 (Domicílios Particulares Permanentes Ocupados) — o equivalente no Censo 2022 do denominador padrão do IVS-BH 2012.</w:t>
      </w:r>
    </w:p>
    <w:p>
      <w:pPr>
        <w:spacing w:after="120" w:line="300"/>
        <w:jc w:val="both"/>
      </w:pPr>
      <w:r>
        <w:t xml:space="preserve">Os principais achados podem ser sintetizados em quatro grandes blocos: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Distribuições marcadamente assimétricas para saneamento. As medianas de inadequação de água, esgoto e lixo são iguais a zero — mais da metade dos setores ELSI tem acesso adequado em todas as três dimensões — mas a cauda à direita revela bolsões de vulnerabilidade extrema concentrados no Norte e em municípios pequenos do Nordeste e MG/PR rurais. Em Portel/PA, Placas/PA e Autazes/AM, mais de 95% dos setores apresentam alguma forma de saneamento inadequado.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Gradiente Norte→Sul replica o padrão histórico de desigualdade. A região Norte apresenta as piores condições em água (35,6% setores inadequados em média), esgoto (27,1%) e densidade habitacional (mediana de 3,20 pessoas por domicílio). Em contraste, Sul e Sudeste exibem proporções médias de inadequação em torno de 5% ou menos para água e esgoto (medianas iguais a zero). A renda média segue o mesmo eixo, com municípios do Nordeste e Norte abaixo de R$ 1.800 (mediana) versus São Caetano do Sul/SP em R$ 5.292.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Correlação forte e estruturada entre as variáveis socioeconômicas. A correlação de Spearman entre renda média e proporção de pessoas pretas, pardas e indígenas é de −0,81 — o maior valor absoluto observado entre todos os pares. Renda e analfabetismo têm correlação de −0,75, e raça/cor com analfabetismo de +0,62. As variáveis de saneamento se correlacionam menos entre si (0,14 a 0,45), mas todas se associam ao bloco socioeconômico. Esse padrão sustenta a hipótese de dois fatores latentes — saneamento e socioeconômico — recomendada pelo IVS-BH 2012.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Dados faltantes concentrados em grandes cidades. Cerca de 16% dos setores têm sigilo para analfabetismo (V00900/V00901), majoritariamente em São Caetano do Sul, Porto Alegre, Curitiba, Belo Horizonte, Rio de Janeiro e São Paulo — refletindo a regra do IBGE de suprimir microdados em setores com poucos residentes de 15 anos ou mais. As demais variáveis têm cobertura ≥ 99%.</w:t>
      </w:r>
    </w:p>
    <w:p>
      <w:pPr>
        <w:spacing w:after="120" w:line="300"/>
        <w:jc w:val="both"/>
      </w:pPr>
      <w:r>
        <w:t xml:space="preserve">A EDA confirma a viabilidade da construção do IVS sobre essa base e fornece evidência empírica das hipóteses centro-periferia que o estudo se propõe a quantificar. Recomenda-se prosseguir com a análise fatorial baseada em correlação de Spearman (dada a forte assimetria das variáveis de saneamento) e considerar normalização da renda por município, não global.</w:t>
      </w:r>
    </w:p>
    <w:p>
      <w:r>
        <w:br w:type="page"/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1. Introdução</w:t>
      </w:r>
    </w:p>
    <w:p>
      <w:pPr>
        <w:spacing w:after="120" w:line="300"/>
        <w:jc w:val="both"/>
      </w:pPr>
      <w:r>
        <w:t xml:space="preserve">Este relatório documenta a análise exploratória dos dados que servirão de base para a construção do Índice de Vulnerabilidade à Saúde (IVS) intraurbano para os 70 municípios participantes do ELSI-Brasil (Estudo Longitudinal da Saúde dos Idosos Brasileiros), com dados do Censo Demográfico 2022.</w:t>
      </w:r>
    </w:p>
    <w:p>
      <w:pPr>
        <w:spacing w:after="120" w:line="300"/>
        <w:jc w:val="both"/>
      </w:pPr>
      <w:r>
        <w:t xml:space="preserve">A EDA cumpre quatro funções, conforme o checklist FIOCRUZ (Módulo 2 do Curso de Análise de Dados): (i) caracterizar a estrutura e a qualidade dos dados, (ii) detectar padrões e outliers, (iii) escolher métricas descritivas adequadas à distribuição de cada variável e (iv) verificar pressupostos antes da modelagem subsequente — neste caso, a análise fatorial.</w:t>
      </w:r>
    </w:p>
    <w:p>
      <w:pPr>
        <w:spacing w:after="120" w:line="300"/>
        <w:jc w:val="both"/>
      </w:pPr>
      <w:r>
        <w:t xml:space="preserve">Todas as sete variáveis-componente do IVS-BH 2012 foram operacionalizadas para o Censo 2022 da seguinte forma: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900"/>
        <w:gridCol w:w="17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Dimensão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Numerador (Censo 2022)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Denominador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Saneamento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domicílios com água inadequada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V00112 a V00118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V00001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Saneamento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domicílios com esgoto inadequado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V00312 a V00316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V00001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Saneamento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domicílios com lixo inadequado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V00398 a V00402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V00001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Razão de moradores por domicílio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V00005 + V00006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V00001 + V00002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pessoas analfabetas (15+)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V00901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V00900 + V00901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Rendimento médio mensal (R$)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V06004 (direto)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Socioeconômica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pretos, pardos e indígenas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V01318 + V01320 + V01321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v0001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O denominador domiciliar V00001 (Domicílios Particulares Permanentes Ocupados) foi adotado por ser o equivalente no Censo 2022 do V002 (Dom_part_p) do Censo 2010, denominador padrão do IVS-BH 2012. Decisão consolidada na revisão metodológica de 22/05/2026: o V01042 do arquivo de parentesco é uma contagem de pessoas responsáveis, não de domicílios, e foi descartado como denominador. Validação empírica: com V00001 nenhuma proporção de saneamento ultrapassa 1,0.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2. Universo Amostral</w:t>
      </w:r>
    </w:p>
    <w:p>
      <w:pPr>
        <w:spacing w:after="120" w:line="300"/>
        <w:jc w:val="both"/>
      </w:pPr>
      <w:r>
        <w:t xml:space="preserve">O Notebook 01 (Extração e Filtragem ELSI) localizou os 70 municípios oficiais do ELSI-Brasil no arquivo básico do Censo 2022 por chave composta (código IBGE da UF + nome normalizado do município). Todos os 70 foram identificados, com a seguinte distribuição: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43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Região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Municípios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UFs envolvidas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Setores totais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Sudeste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MG, ES, RJ, SP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64.281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Nordeste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MA, PI, CE, RN, PB, PE, AL, SE, BA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20.628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PR, SC, RS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7.561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Centro-Oeste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MS, MT, GO, DF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10.171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AM, PA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6.391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 UFs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109.032</w:t>
            </w:r>
          </w:p>
        </w:tc>
      </w:tr>
    </w:tbl>
    <w:p>
      <w:pPr>
        <w:spacing w:after="120" w:line="300"/>
        <w:jc w:val="both"/>
      </w:pPr>
      <w:r>
        <w:t xml:space="preserve">A dominância do Sudeste reflete o desenho amostral do ELSI-Brasil, que contempla 26 municípios nessa região, incluindo as áreas metropolitanas de São Paulo, Rio de Janeiro e Belo Horizonte.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3. Tratamento e Elegibilidade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3.1 Sigilo do IBGE</w:t>
      </w:r>
    </w:p>
    <w:p>
      <w:pPr>
        <w:spacing w:after="120" w:line="300"/>
        <w:jc w:val="both"/>
      </w:pPr>
      <w:r>
        <w:t xml:space="preserve">O IBGE suprime células com marcador X em setores onde a contagem é suficientemente baixa para comprometer o anonimato (geralmente setores com menos de 5 domicílios particulares permanentes para indicadores domiciliares, e poucos indivíduos para indicadores pessoais). No Notebook 02, o marcador X foi convertido em NaN antes da conversão para tipos numéricos.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3.2 Separador decimal</w:t>
      </w:r>
    </w:p>
    <w:p>
      <w:pPr>
        <w:spacing w:after="120" w:line="300"/>
        <w:jc w:val="both"/>
      </w:pPr>
      <w:r>
        <w:t xml:space="preserve">A variável V06004 (rendimento médio mensal) é entregue pelo IBGE no padrão brasileiro, com vírgula como separador decimal (ex.: '2453,03'). O Notebook 02 substitui a vírgula por ponto antes da conversão numérica — uma correção crítica que recuperou 106.262 valores válidos (originalmente parseados como NaN em ~98% dos setores por um bug de parsing).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3.3 Classificação Dados_sig</w:t>
      </w:r>
    </w:p>
    <w:p>
      <w:pPr>
        <w:spacing w:after="120" w:line="300"/>
        <w:jc w:val="both"/>
      </w:pPr>
      <w:r>
        <w:t xml:space="preserve">Conforme as regras do IVS-BH 2012, cada setor recebeu uma classificação: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12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OK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Setor elegível para análise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97,48%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SIGILOSO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Variável-base (v0001 ou V00001) sigilosa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2.751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2,52%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COLETIVO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100% de domicílios coletivos (asilos, presídios)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ZERADO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População residente nula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0,00%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Total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109.032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A taxa de elegibilidade de 97,5% é excelente e compara favoravelmente com o IVS-BH original (que excluiu 2,7% dos setores em 2012). Não há setores 100% coletivos nem zerados — o desenho amostral do ELSI-Brasil concentra-se em áreas urbanas habitadas. As análises a seguir consideram somente os 106.281 setores OK.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4. Análise por Variável</w:t>
      </w:r>
    </w:p>
    <w:p>
      <w:pPr>
        <w:spacing w:after="120" w:line="300"/>
        <w:jc w:val="both"/>
      </w:pPr>
      <w:r>
        <w:t xml:space="preserve">Esta seção descreve a distribuição de cada uma das sete variáveis-componente do IVS para o conjunto de 70 municípios ELSI. Para cada variável reportam-se medidas de tendência central (média, mediana), dispersão (DP, CV, IQR), forma da distribuição (assimetria, curtose) e cobertura efetiva de dados.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4.1 Tabela consolidada — Descritivas globais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060"/>
        <w:gridCol w:w="1100"/>
        <w:gridCol w:w="1100"/>
        <w:gridCol w:w="1100"/>
        <w:gridCol w:w="880"/>
        <w:gridCol w:w="880"/>
        <w:gridCol w:w="540"/>
        <w:gridCol w:w="54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Média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Mediana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DP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P25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P75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Assim.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Curt.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0,083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0,221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0,017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+3,07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+8,46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0,231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0,023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+2,76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+6,52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0,264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0,071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+2,23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+3,68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2,70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2,48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2,93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+0,09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+3,90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89.527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0,041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0,013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0,052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+2,98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+17,7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 (R$)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106.262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4.141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2.546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4.124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1.735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4.755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+3,76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+49,9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106.279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0,530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0,576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0,229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0,356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0,708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−0,39</w:t>
            </w:r>
          </w:p>
        </w:tc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−0,81</w:t>
            </w:r>
          </w:p>
        </w:tc>
      </w:tr>
    </w:tbl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4.2 Saneamento — água, esgoto, lixo</w:t>
      </w:r>
    </w:p>
    <w:p>
      <w:pPr>
        <w:spacing w:after="120" w:line="300"/>
        <w:jc w:val="both"/>
      </w:pPr>
      <w:r>
        <w:t xml:space="preserve">As três variáveis de saneamento exibem distribuição extremamente assimétrica à direita. A maioria absoluta dos setores ELSI tem acesso adequado nas três dimensões (mediana = 0). Mas a cauda longa indica a existência de setores onde 100% dos domicílios têm acesso inadequado ou ausente, elevando as médias para 8–13% e produzindo coeficientes de variação superiores a 200% — refletindo a coexistência de dois regimes estatísticos distintos: a "norma urbana" próxima de zero e os "bolsões" próximos de um.</w:t>
      </w:r>
    </w:p>
    <w:p>
      <w:pPr>
        <w:spacing w:after="120" w:line="300"/>
        <w:jc w:val="both"/>
      </w:pPr>
      <w:r>
        <w:t xml:space="preserve">Padrão similar entre as três: 35 dos 70 municípios (50%) têm mais da metade dos setores com algum esgotamento inadequado; 34 (48,6%) idem para água. O lixo apresenta média mais alta (12,6%), indicando que a coleta inadequada é um problema mais disseminado mesmo em municípios bem-atendidos quanto a água e esgoto.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Para o artigo: reportar MEDIANA e IQR, não média e DP — a média é fortemente influenciada pelos bolsões de vulnerabilidade extrema.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4.3 Razão de moradores por domicílio</w:t>
      </w:r>
    </w:p>
    <w:p>
      <w:pPr>
        <w:spacing w:after="120" w:line="300"/>
        <w:jc w:val="both"/>
      </w:pPr>
      <w:r>
        <w:t xml:space="preserve">Variável de comportamento mais simétrico (assimetria +0,09) — média (2,70) e mediana (2,72) praticamente coincidem. A densidade média brasileira de moradores por domicílio é historicamente próxima de 3,0; o valor observado está dentro do esperado. A baixa variabilidade (CV = 14,8%) sugere que esta variável contribuirá com menos discriminação ao IVS do que as variáveis de saneamento, mas é homogeneamente informativa.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4.4 Analfabetismo (15+)</w:t>
      </w:r>
    </w:p>
    <w:p>
      <w:pPr>
        <w:spacing w:after="120" w:line="300"/>
        <w:jc w:val="both"/>
      </w:pPr>
      <w:r>
        <w:t xml:space="preserve">A cobertura efetiva de 84% (15,8% sigilo) reflete a supressão do IBGE em setores com poucos indivíduos de 15 anos ou mais. Com o denominador correto V00901 / (V00900 + V00901), a taxa fica naturalmente limitada a [0, 1] (máximo observado 84,2%, contra os valores espúrios maiores que 1 que a fórmula anterior V00901 / V00900 produzia). A mediana de 2,8% é compatível com a taxa nacional de analfabetismo — esperada inferior em territórios urbanos. A alta curtose (+17,7) indica a existência de setores com taxa de analfabetismo extremamente elevada, concentrados em pequenos municípios do Nordeste rural (Arara/PB mediana de 31,1%, Jaqueira/PE 24,9%, Água Preta/PE 24,2%).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4.5 Rendimento médio mensal</w:t>
      </w:r>
    </w:p>
    <w:p>
      <w:pPr>
        <w:spacing w:after="120" w:line="300"/>
        <w:jc w:val="both"/>
      </w:pPr>
      <w:r>
        <w:t xml:space="preserve">A renda apresenta a distribuição mais assimétrica entre todas as variáveis, com média (R$ 4.141) muito superior à mediana (R$ 2.546) — sinal clássico de concentração de renda. A cauda direita estende-se a valores extremos (R$ 170 mil), refletindo setores residenciais de altíssima renda nas áreas nobres das capitais.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Para o artigo, é mandatório usar mediana e IQR para reportar renda. O intervalo interquartil de R$ 3.020 já é, por si só, ilustrativo da heterogeneidade dentro das ELSI.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4.6 Raça/cor — pretos, pardos e indígenas (PPI)</w:t>
      </w:r>
    </w:p>
    <w:p>
      <w:pPr>
        <w:spacing w:after="120" w:line="300"/>
        <w:jc w:val="both"/>
      </w:pPr>
      <w:r>
        <w:t xml:space="preserve">Esta é a única variável com assimetria negativa (−0,39) e a única bem distribuída no intervalo [0,1]: a curtose negativa indica uma distribuição mais plana que a Normal. A mediana de 57,6% revela que, no conjunto ELSI, a maioria dos setores tem mais de metade da população classificada como preta, parda ou indígena. A discriminação regional é elevada — ver Seção 5.</w:t>
      </w:r>
    </w:p>
    <w:p>
      <w:pPr>
        <w:spacing w:after="100" w:before="200"/>
        <w:jc w:val="center"/>
      </w:pPr>
      <w:r>
        <w:drawing>
          <wp:inline distT="0" distB="0" distL="0" distR="0">
            <wp:extent cx="5715000" cy="3781425"/>
            <wp:effectExtent t="0" r="0" b="0" l="0"/>
            <wp:docPr id="1" name="histogramas.png" descr="Figura 1 — Histogramas das 7 variáveis-componente do IVS (setores OK, 70 municípios ELSI). Distribuições altamente assimétricas para saneamento e renda; razão de moradores e raça/cor mais simétricas." title="Figura 1 — Histogramas das 7 variáveis-componente do IVS (setores OK, 70 municípios ELSI). Distribuições altamente assimétricas para saneamento e renda; razão de moradores e raça/cor mais simétric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1 — Histogramas das 7 variáveis-componente do IVS (setores OK, 70 municípios ELSI). Distribuições altamente assimétricas para saneamento e renda; razão de moradores e raça/cor mais simétricas.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5. Análise Regional</w:t>
      </w:r>
    </w:p>
    <w:p>
      <w:pPr>
        <w:spacing w:after="120" w:line="300"/>
        <w:jc w:val="both"/>
      </w:pPr>
      <w:r>
        <w:t xml:space="preserve">A Tabela abaixo apresenta as medianas das sete variáveis estratificadas pelas cinco regiões geográficas do Brasil.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100"/>
        <w:gridCol w:w="1200"/>
        <w:gridCol w:w="1100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Região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Água inad.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Esgoto inad.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Lixo inad.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Razão mor.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Analfab.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Renda (R$)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PPI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0,199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0,082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3,20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1.774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0,774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Nordeste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2,79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0,053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1.693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0,737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Centro-Oeste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2,81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3.083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0,607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Sudeste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2,66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2.714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0,514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2,60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0,017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3.686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0,222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Valores são medianas. PPI = pretos, pardos e indígenas.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Interpretação substantiva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Norte e Nordeste concentram a precariedade. A Região Norte lidera tanto na inadequação de água (mediana de 20% dos setores) quanto na densidade habitacional (3,2 pessoas por domicílio). O Nordeste tem a pior renda (mediana R$ 1.693) e o pior analfabetismo (5,3%).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Sul é a região mais bem-atendida e mais homogeneamente branca. A renda mediana é a maior (R$ 3.686), a inadequação de saneamento é praticamente nula nas medianas, o analfabetismo é o menor (1,7%) e a proporção de pretos/pardos/indígenas é dramaticamente inferior (22,2%, contra 77,4% no Norte). Esse contraste de 55 pontos percentuais entre Norte e Sul para raça/cor é o maior gradiente regional observado entre todas as variáveis.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Centro-Oeste apresenta perfil dual. A renda mediana (R$ 3.083) é puxada fortemente para cima por Brasília/DF e Campo Grande/MS. A composição raça/cor (60,7%) está intermediária. As variáveis de saneamento ficam próximas do Sudeste.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Sudeste tem o maior contraste interno. Embora os indicadores agregados da região sejam bons, ela contém tanto municípios excelentes (São Caetano do Sul, com renda mediana de R$ 5.292) quanto periferias problemáticas.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4314825"/>
            <wp:effectExtent t="0" r="0" b="0" l="0"/>
            <wp:docPr id="1" name="boxplots_por_regiao.png" descr="Figura 2 — Boxplots das 7 variáveis estratificados por região. O contraste Norte vs. Sul é dramático em todas as variáveis, especialmente raça/cor (PPI)." title="Figura 2 — Boxplots das 7 variáveis estratificados por região. O contraste Norte vs. Sul é dramático em todas as variáveis, especialmente raça/cor (PPI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2 — Boxplots das 7 variáveis estratificados por região. O contraste Norte vs. Sul é dramático em todas as variáveis, especialmente raça/cor (PPI).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6. Heterogeneidade Municipal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6.1 Top-5 municípios com piores medianas em saneamento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900"/>
        <w:gridCol w:w="3000"/>
        <w:gridCol w:w="29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Água inadequada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Esgoto inadequado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Lixo inadequado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Portel/PA — 99,0%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Placas/PA — 98,7%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Portel/PA — 99,4%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Placas/PA — 97,1%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Portel/PA — 98,4%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Autazes/AM — 96,7%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Autazes/AM — 96,4%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Santa Maria do Oeste/PR — 98,3%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Salto/SP — 96,4%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Coroaci/MG — 95,7%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Urandi/BA — 98,2%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Placas/PA — 94,2%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Santa Maria do Oeste/PR — 93,8%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Japoatã/SE — 98,2%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R. do Doca Bezerra/MA — 91,4%</w:t>
            </w:r>
          </w:p>
        </w:tc>
      </w:tr>
    </w:tbl>
    <w:p>
      <w:pPr>
        <w:spacing w:after="120" w:line="300"/>
        <w:jc w:val="both"/>
      </w:pPr>
      <w:r>
        <w:t xml:space="preserve">Os municípios do Pará (Portel, Placas) e Amazonas (Autazes) aparecem sistematicamente entre os piores em todos os três quesitos. Coroaci/MG, Santa Maria do Oeste/PR, Urandi/BA e Japoatã/SE são pequenos municípios rurais cuja inadequação tende a ser próxima de 100% em quase todos os setores (atenção para o n pequeno, 29 a 47 setores).</w:t>
      </w:r>
    </w:p>
    <w:p>
      <w:pPr>
        <w:spacing w:after="120" w:line="300"/>
        <w:jc w:val="both"/>
      </w:pPr>
      <w:r>
        <w:t xml:space="preserve">A presença de Salto/SP no top-5 de lixo inadequado é surpreendente para um município paulista — pode indicar problema de classificação categórica nas variáveis V00398–V00402 que merece checagem (e.g., se "caçamba de serviço de limpeza" foi indevidamente contabilizada como inadequada).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6.2 Renda mediana — extremos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400"/>
        <w:gridCol w:w="44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Mais baixa (R$)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Mais alta (R$)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Portel/PA — 1.022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Caetano do Sul/SP — 5.292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Rosário/MA — 1.039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Curitiba/PR — 4.115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Água Preta/PE — 1.055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Porto Alegre/RS — 3.951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Jaqueira/PE — 1.073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Brasília/DF — 3.388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R. do Doca Bezerra/MA — 1.083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Campinas/SP — 3.375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A razão entre o município mais rico (São Caetano do Sul) e o mais pobre (Portel) é de 5,18 vezes — magnitude condizente com a desigualdade estrutural histórica do Brasil. Esses extremos serão fundamentais quando se discutir a normalização da renda: uma normalização min-max global comprime essa amplitude e trata Portel e São Caetano como pertencendo ao mesmo "mercado de renda" — claramente inadequado para análise intraurbana. A normalização por município é fortemente recomendada.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6.3 Outros padrões municipais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Maior razão de moradores por domicílio: Portel/PA (4,6) e Autazes/AM (3,7) — coerente com a precariedade habitacional dessas localidades.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Maior taxa de analfabetismo: Arara/PB (31,1%), Jaqueira/PE (24,9%), Água Preta/PE (24,2%) — municípios pequenos do Nordeste interior.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Maior proporção de pretos/pardos/indígenas: Autazes/AM (92,9%), Salvador/BA (88,9%), Rosário/MA (88,1%), Portel/PA (87,8%), Itajuípe/BA (84,5%).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7. Análise de Outliers (regra IQR)</w:t>
      </w:r>
    </w:p>
    <w:p>
      <w:pPr>
        <w:spacing w:after="120" w:line="300"/>
        <w:jc w:val="both"/>
      </w:pPr>
      <w:r>
        <w:t xml:space="preserve">A regra clássica do diagrama de caixa (Tukey, 1977) classifica como outlier qualquer valor fora do intervalo [Q1 − 1,5·IQR, Q3 + 1,5·IQR].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 outliers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% outliers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Interpretação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21.476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20,2%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Artefato da concentração em zero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21.158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19,9%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Artefato da concentração em zero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19.557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18,4%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Artefato da concentração em zero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10.850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10,2%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Outliers reais — cauda direita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4.696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5,2%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Setores de alta vulnerabilidade educacional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3.829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3,6%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Setores com superlotação extrema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0,0%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Distribuição bem-comportada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Os altos percentuais de "outliers" em água, esgoto e lixo (~20%) NÃO são erros nem aberrações estatísticas, mas consequência matemática direta da regra IQR aplicada a uma distribuição extremamente concentrada em zero: como Q1 = 0 e Q3 é muito próximo de zero (0,017 para água), qualquer valor moderado fica acima de Q3 + 1,5·IQR ≈ 0,04. Isso significa que a regra IQR não é apropriada para identificar valores aberrantes nessas variáveis — ela apenas redescobre o fato já conhecido de que as inadequações de saneamento têm distribuição bimodal.</w:t>
      </w:r>
    </w:p>
    <w:p>
      <w:pPr>
        <w:spacing w:after="120" w:line="300"/>
        <w:jc w:val="both"/>
      </w:pPr>
      <w:r>
        <w:t xml:space="preserve">Recomendação: NÃO excluir nenhum setor com base em outliers de saneamento. Os bolsões de inadequação extrema são o objeto principal do estudo, não ruído a remover. Para renda, os outliers superiores correspondem a setores de altíssima renda em áreas nobres das capitais e devem ser preservados; influenciarão a normalização e justificam o uso de mediana e IQR para descrição.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8. Análise de Dados Faltantes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8.1 Cobertura por variável (global)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tblHeader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 válidos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Cobertura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106.280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106.279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100,00%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106.262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99,98%</w:t>
            </w:r>
          </w:p>
        </w:tc>
      </w:tr>
      <w:t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89.527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84,24%</w:t>
            </w:r>
          </w:p>
        </w:tc>
      </w:tr>
    </w:tbl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8.2 Concentração de missing em grandes cidades (analfabetismo)</w:t>
      </w:r>
    </w:p>
    <w:p>
      <w:pPr>
        <w:spacing w:after="120" w:line="300"/>
        <w:jc w:val="both"/>
      </w:pPr>
      <w:r>
        <w:t xml:space="preserve">Os setores com sigilo em V00900/V00901 concentram-se em municípios densamente povoados — onde a regra do IBGE de suprimir setores com poucos indivíduos acaba afetando muitas microáreas. Os 10 municípios com maior taxa de missing para analfabetismo: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400"/>
        <w:gridCol w:w="2500"/>
      </w:tblGrid>
      <w:tr>
        <w:trPr>
          <w:tblHeader/>
        </w:trP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Município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UF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% missing analfab.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Caetano do Sul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29,7%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Porto Alegre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27,5%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Curitiba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23,1%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Pedro da Aldeia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RJ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22,7%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Belo Horizonte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MG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22,5%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Canoas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20,9%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Rio de Janeiro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RJ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20,0%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Campinas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19,9%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São Paulo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19,7%</w:t>
            </w:r>
          </w:p>
        </w:tc>
      </w:tr>
      <w:tr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Araçatuba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18,5%</w:t>
            </w:r>
          </w:p>
        </w:tc>
      </w:tr>
    </w:tbl>
    <w:p>
      <w:pPr>
        <w:spacing w:after="120" w:line="300"/>
        <w:jc w:val="both"/>
      </w:pPr>
      <w:r>
        <w:t xml:space="preserve">Inversamente, 11 municípios pequenos têm zero missing em todas as variáveis: Arara/PB, Coroaci/MG, Ibatiba/ES, Itajuípe/BA, Jaqueira/PE, Portel/PA, Salinas/MG, Santa Maria do Oeste/PR, São Raimundo do Doca Bezerra/MA, Urandi/BA e Água Preta/PE.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O sigilo do IBGE introduz um viés sistemático nas análises agregadas: setores pequenos (que tendem a ser de classes médias em vias urbanas tradicionais) são preferencialmente suprimidos. Discutir essa limitação na seção de Discussão do artigo.</w:t>
      </w:r>
    </w:p>
    <w:p>
      <w:pPr>
        <w:spacing w:after="100" w:before="200"/>
        <w:jc w:val="center"/>
      </w:pPr>
      <w:r>
        <w:drawing>
          <wp:inline distT="0" distB="0" distL="0" distR="0">
            <wp:extent cx="4000500" cy="5286375"/>
            <wp:effectExtent t="0" r="0" b="0" l="0"/>
            <wp:docPr id="1" name="missing_por_municipio.png" descr="Figura 3 — Mapa de calor: % de dados faltantes por município × variável. A coluna de pct_analfab destaca-se com tons mais escuros em grandes capitais; a coluna de renda_media é praticamente uniforme após a correção do separador decimal." title="Figura 3 — Mapa de calor: % de dados faltantes por município × variável. A coluna de pct_analfab destaca-se com tons mais escuros em grandes capitais; a coluna de renda_media é praticamente uniforme após a correção do separador decim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3 — Mapa de calor: % de dados faltantes por município × variável. A coluna de pct_analfab destaca-se com tons mais escuros em grandes capitais; a coluna de renda_media é praticamente uniforme após a correção do separador decimal.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9. Estrutura de Correlações</w:t>
      </w:r>
    </w:p>
    <w:p>
      <w:pPr>
        <w:spacing w:after="120" w:line="300"/>
        <w:jc w:val="both"/>
      </w:pPr>
      <w:r>
        <w:t xml:space="preserve">A matriz de correlação fornece a evidência empírica mais direta da estrutura latente que a análise fatorial buscará explicitar. São apresentados dois coeficientes — Pearson (paramétrico, mede associação linear) e Spearman (não-paramétrico, baseado em postos, robusto à assimetria). Dada a forte assimetria das variáveis de saneamento e renda, Spearman é mais informativo.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9.1 Matriz de correlação de Spearman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030"/>
        <w:gridCol w:w="1030"/>
        <w:gridCol w:w="1030"/>
        <w:gridCol w:w="1030"/>
        <w:gridCol w:w="1030"/>
        <w:gridCol w:w="1030"/>
        <w:gridCol w:w="102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água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esgoto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lixo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razão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analf.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renda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PPI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pct_agua_inad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−0,28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0,36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pct_esgoto_inad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0,23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−0,46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0,44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pct_lixo_inad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0,23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−0,04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0,19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−0,18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0,21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razao_moradores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−0,04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0,41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−0,44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0,46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pct_analfab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0,27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0,19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0,41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−0,75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0,62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renda_media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−0,28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−0,46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−0,18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−0,44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−0,75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−0,81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pct_raca_pretpardind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0,36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0,44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0,21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0,46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0,62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−0,81</w:t>
            </w:r>
          </w:p>
        </w:tc>
        <w:tc>
          <w:tcPr>
            <w:tcW w:type="dxa" w:w="1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1,00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Correlações de Spearman entre as 7 variáveis-componente do IVS.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9.2 Leitura substantiva</w:t>
      </w:r>
    </w:p>
    <w:p>
      <w:pPr>
        <w:spacing w:after="120" w:line="300"/>
        <w:jc w:val="both"/>
      </w:pPr>
      <w:r>
        <w:t xml:space="preserve">Eixo socioeconômico (dimensão dominante). As três correlações mais fortes são todas no triângulo renda × analfabetismo × raça/cor (PPI):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renda × PPI = −0,81 (a correlação mais forte do conjunto)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renda × analfabetismo = −0,75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analfabetismo × PPI = +0,62</w:t>
      </w:r>
    </w:p>
    <w:p>
      <w:pPr>
        <w:spacing w:after="120" w:line="300"/>
        <w:jc w:val="both"/>
      </w:pPr>
      <w:r>
        <w:t xml:space="preserve">Esse resultado é metodologicamente importante: ele sustenta a hipótese de raça/cor como proxy de vulnerabilidade socioeconômica estrutural, mencionada no Plano do Artigo (Tabela 5). A correlação de −0,81 entre PPI e renda média é o sinal empírico mais forte da desigualdade racial-econômica nos territórios do ELSI-Brasil e sustenta a inclusão da variável raça/cor no IVS apesar de ser uma variável categórica subjacente.</w:t>
      </w:r>
    </w:p>
    <w:p>
      <w:pPr>
        <w:spacing w:after="120" w:line="300"/>
        <w:jc w:val="both"/>
      </w:pPr>
      <w:r>
        <w:t xml:space="preserve">Densidade habitacional como mediadora. A razão de moradores correlaciona positivamente com PPI (+0,46) e com analfabetismo (+0,41), e negativamente com renda (−0,44). Embora não seja a variável mais discriminante, contribui de forma coerente para o vetor socioeconômico.</w:t>
      </w:r>
    </w:p>
    <w:p>
      <w:pPr>
        <w:spacing w:after="120" w:line="300"/>
        <w:jc w:val="both"/>
      </w:pPr>
      <w:r>
        <w:t xml:space="preserve">Eixo saneamento (dimensão secundária). Água, esgoto e lixo formam um bloco coerente, mas com correlações entre si mais modestas (0,14 a 0,45). A correlação esgoto × analfabetismo = +0,45 sugere que esgoto inadequado pode estar relacionado a contextos socioeconômicos vulneráveis — uma correlação cruzada entre dimensões.</w:t>
      </w:r>
    </w:p>
    <w:p>
      <w:pPr>
        <w:spacing w:after="120" w:line="300"/>
        <w:jc w:val="both"/>
      </w:pPr>
      <w:r>
        <w:t xml:space="preserve">Lixo é o componente mais autônomo. Suas correlações com as demais variáveis raramente excedem 0,20. Isso significa que o indicador de lixo trará informação distinta dos demais — possivelmente capturando uma dimensão de cobertura municipal de serviços de limpeza pública que não se reduz à pobreza individual.</w:t>
      </w:r>
    </w:p>
    <w:p>
      <w:pPr>
        <w:pStyle w:val="Heading2"/>
        <w:spacing w:after="180" w:before="360"/>
      </w:pPr>
      <w:r>
        <w:rPr>
          <w:b/>
          <w:bCs/>
          <w:color w:val="1F4E79"/>
          <w:sz w:val="28"/>
          <w:szCs w:val="28"/>
        </w:rPr>
        <w:t xml:space="preserve">9.3 Implicações para a análise fatorial</w:t>
      </w:r>
    </w:p>
    <w:p>
      <w:pPr>
        <w:spacing w:after="120" w:line="300"/>
        <w:jc w:val="both"/>
      </w:pPr>
      <w:r>
        <w:t xml:space="preserve">A estrutura de correlações é coerente com dois fatores latentes: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Fator 1 (socioeconômico): renda média (invertida), analfabetismo, raça/cor (PPI), razão de moradores. Esperam-se cargas fatoriais altas para estas quatro variáveis.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Fator 2 (saneamento): água inadequada, esgoto inadequado, lixo inadequado. Cargas fatoriais menores, mas coerentes.</w:t>
      </w:r>
    </w:p>
    <w:p>
      <w:pPr>
        <w:spacing w:after="120" w:line="300"/>
        <w:jc w:val="both"/>
      </w:pPr>
      <w:r>
        <w:t xml:space="preserve">O peso relativo do Fator 1 será provavelmente superior ao do Fator 2 — consistente com a divisão histórica do IVS-BH (~60% socioeconômico / ~40% saneamento). A confirmação dependerá da análise fatorial (PCA ou Análise Fatorial Exploratória) no Notebook 03.</w:t>
      </w:r>
    </w:p>
    <w:p>
      <w:pPr>
        <w:pBdr>
          <w:left w:val="single" w:color="BF8F00" w:sz="18" w:space="8"/>
        </w:pBdr>
        <w:shd w:fill="FFF2CC" w:val="clear"/>
        <w:spacing w:after="120" w:before="120"/>
        <w:ind w:left="200" w:right="200"/>
      </w:pPr>
      <w:r>
        <w:rPr>
          <w:i/>
          <w:iCs/>
        </w:rPr>
        <w:t xml:space="preserve">Recomendação técnica: usar a matriz de correlação de Spearman como entrada da análise fatorial, dado o desvio acentuado de normalidade das variáveis de saneamento e renda (assimetrias 2,2 a 4,7).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533650"/>
            <wp:effectExtent t="0" r="0" b="0" l="0"/>
            <wp:docPr id="1" name="matriz_correlacao.png" descr="Figura 4 — Matriz de correlação. Esquerda: Pearson. Direita: Spearman. O par renda × PPI destaca-se com o maior valor absoluto (−0,81 em Spearman)." title="Figura 4 — Matriz de correlação. Esquerda: Pearson. Direita: Spearman. O par renda × PPI destaca-se com o maior valor absoluto (−0,81 em Spearma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4 — Matriz de correlação. Esquerda: Pearson. Direita: Spearman. O par renda × PPI destaca-se com o maior valor absoluto (−0,81 em Spearman).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10. Implicações para a Construção do IVS</w:t>
      </w:r>
    </w:p>
    <w:p>
      <w:pPr>
        <w:spacing w:after="120" w:line="300"/>
        <w:jc w:val="both"/>
      </w:pPr>
      <w:r>
        <w:t xml:space="preserve">Esta EDA sustenta cinco recomendações práticas para a construção do índice nas etapas seguintes: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Reportar mediana e IQR (não média e DP) nas tabelas descritivas do artigo para todas as variáveis assimétricas (água, esgoto, lixo, renda, analfabetismo).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Normalizar renda por município, e não globalmente. A razão de 5,18× entre os extremos (Portel × São Caetano do Sul) confirma que a renda precisa ser interpretada relativamente ao mercado local de cada cidade, sob pena de comprimir indevidamente a variação intraurbana.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Usar correlação de Spearman como entrada da análise fatorial, em função da forte assimetria não-linear das variáveis.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Preservar os outliers de saneamento — não são erros, são justamente os bolsões de vulnerabilidade que o estudo se propõe a identificar. A regra IQR é inadequada como critério de exclusão para essas variáveis.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Considerar imputação ou exclusão pareada para o sigilo de analfabetismo. Excluir os ~16% de setores com sigilo poderia introduzir viés contra grandes cidades. Imputar a mediana municipal é uma opção metodologicamente defensável.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11. Limitações da Análise Exploratória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6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Limitação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Mitigação proposta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16% de sigilo em analfabetismo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Regra IBGE de supressão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Reportar transparentemente; considerar imputação por mediana municipal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Variáveis de saneamento bimodais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Realidade da cobertura nacional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Análises com mediana/IQR; análises fatoriais robustas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Salto/SP atípico em lixo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Possível classificação categórica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Validar com o dicionário do IBGE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Correlação 0,14 entre água e lixo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Heterogeneidade real entre serviços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Tratar como bloco saneamento mesmo assim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Falácia ecológica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Inerente ao delineamento ecológico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Reportar explicitamente na Discussão do artigo</w:t>
            </w:r>
          </w:p>
        </w:tc>
      </w:tr>
    </w:tbl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12.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Notebook 03 — Análise Fatorial. Aplicar PCA / Análise Fatorial Exploratória sobre a matriz de correlação de Spearman para extrair os pesos das variáveis e gerar o IVS contínuo (0–1).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Categorização em 4 faixas. Definir os pontos de corte (Baixo / Médio / Elevado / Muito Elevado) com base em quartis ou desvios da média, conforme metodologia IVS-BH.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Geoprocessamento. Construir os mapas temáticos do IVS por setor censitário no QGIS 3.x. Atenção aos 10 municípios pequenos (n &lt; 50 setores) onde o mapa será menos rico visualmente.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Revisão metodológica com a orientadora. Submeter as recomendações desta EDA (normalização por município, uso de Spearman, tratamento de sigilo) antes da execução do Notebook 03.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Iniciar a redação dos Resultados do artigo a partir das tabelas e figuras desta EDA — especialmente a Tabela 1 (descritivas por município) e a Figura 1 (matriz de correlação).</w:t>
      </w:r>
    </w:p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Anexos — Localização dos artefatos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400"/>
        <w:gridCol w:w="2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Base bruta filtrada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banco_de_dados/Base_ELSI_Bruta_Censo2022.csv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109k setores × 47 colunas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Descritivas globais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banco_de_dados/eda/descritivas_globais.csv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 variáveis × 12 estatísticas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Descritivas por município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banco_de_dados/eda/descritivas_por_municipio.csv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70 mun × 7 var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Descritivas por região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banco_de_dados/eda/descritivas_por_regiao.csv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5 reg × 7 var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Outliers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banco_de_dados/eda/outliers.csv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Regra IQR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Missing por município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banco_de_dados/eda/missing_por_municipio.csv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% faltante mun × var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Correlação Pearson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banco_de_dados/eda/correlacao_pearson.csv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Matriz 7×7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Correlação Spearman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banco_de_dados/eda/correlacao_spearman.csv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Matriz 7×7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Elegibilidade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banco_de_dados/eda/elegibilidade_setores.csv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Distribuição Dados_sig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Figuras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banco_de_dados/eda/figuras/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Histogramas, boxplots, missing, correlação</w:t>
            </w:r>
          </w:p>
        </w:tc>
      </w:tr>
    </w:tbl>
    <w:p>
      <w:pPr>
        <w:pStyle w:val="Heading1"/>
        <w:spacing w:after="240" w:before="480"/>
      </w:pPr>
      <w:r>
        <w:rPr>
          <w:b/>
          <w:bCs/>
          <w:color w:val="1F4E79"/>
          <w:sz w:val="36"/>
          <w:szCs w:val="36"/>
        </w:rPr>
        <w:t xml:space="preserve">Referências metodológicas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SMS-BH. Cálculo IVS 2012 — documento operacional do Índice de Vulnerabilidade da Saúde de Belo Horizonte.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FIOCRUZ — Campus Virtual. Curso de Análise de Dados, Módulo 2: Estatística Descritiva e Comunicação de Resultados.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Passarelli-Araujo, H. (2023). Mapeando as disparidades socioeconômicas de saúde urbana: um estudo comparativo entre seis capitais brasileiras. Revista Brasileira de Estudos de População, v. 40.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Tukey, J.W. (1977). Exploratory Data Analysis. Addison-Wesley.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color w:val="595959"/>
        <w:sz w:val="18"/>
        <w:szCs w:val="18"/>
      </w:rPr>
      <w:t xml:space="preserve">Pedro Dias Soares — Fiocruz Minas/IRR  •  15/05/2026  •  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i/>
        <w:iCs/>
        <w:color w:val="595959"/>
        <w:sz w:val="18"/>
        <w:szCs w:val="18"/>
      </w:rPr>
      <w:t xml:space="preserve">Relatório EDA — IVS ELSI-Brasil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3c4156a4acbb2fe50ce1fdd842a72479f507c7.png"/><Relationship Id="rId10" Type="http://schemas.openxmlformats.org/officeDocument/2006/relationships/image" Target="media/e064704bbc152923f01ee574c3c3fd10819c46c5.png"/><Relationship Id="rId11" Type="http://schemas.openxmlformats.org/officeDocument/2006/relationships/image" Target="media/81f0fb3d804cdb3ab7417dec94ce55f49d284c15.png"/><Relationship Id="rId12" Type="http://schemas.openxmlformats.org/officeDocument/2006/relationships/image" Target="media/e6b0060876256ab6b554ea953505416b4c90991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Análise Exploratória — IVS Censo 2022 / ELSI-Brasil</dc:title>
  <dc:creator>Pedro Dias Soares</dc:creator>
  <dc:description>Análise exploratória das 7 variáveis-componente do IVS para os 70 municípios do ELSI-Brasil</dc:description>
  <cp:lastModifiedBy>Un-named</cp:lastModifiedBy>
  <cp:revision>1</cp:revision>
  <dcterms:created xsi:type="dcterms:W3CDTF">2026-05-15T18:17:49.491Z</dcterms:created>
  <dcterms:modified xsi:type="dcterms:W3CDTF">2026-05-15T18:17:49.498Z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