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4E79"/>
          <w:sz w:val="44"/>
          <w:szCs w:val="44"/>
        </w:rPr>
        <w:t xml:space="preserve">Relatório de Análise Exploratória de Dados</w:t>
      </w:r>
    </w:p>
    <w:p>
      <w:pPr>
        <w:spacing w:after="480"/>
        <w:jc w:val="center"/>
      </w:pPr>
      <w:r>
        <w:rPr>
          <w:color w:val="2E75B6"/>
          <w:sz w:val="32"/>
          <w:szCs w:val="32"/>
        </w:rPr>
        <w:t xml:space="preserve">IVS intraurbano — Censo Demográfico 2022 / ELSI-Brasil</w:t>
      </w:r>
    </w:p>
    <w:p>
      <w:pPr>
        <w:pBdr>
          <w:top w:val="single" w:color="2E75B6" w:sz="12"/>
        </w:pBdr>
        <w:spacing w:after="200"/>
        <w:jc w:val="center"/>
      </w:pPr>
      <w:r>
        <w:t xml:space="preserve"> </w:t>
      </w:r>
    </w:p>
    <w:p>
      <w:pPr>
        <w:spacing w:after="80" w:before="2000"/>
        <w:jc w:val="center"/>
      </w:pPr>
      <w:r>
        <w:rPr>
          <w:b/>
          <w:bCs/>
          <w:sz w:val="26"/>
          <w:szCs w:val="26"/>
        </w:rPr>
        <w:t xml:space="preserve">Pedro Dias Soares</w:t>
      </w:r>
    </w:p>
    <w:p>
      <w:pPr>
        <w:spacing w:after="80"/>
        <w:jc w:val="center"/>
      </w:pPr>
      <w:r>
        <w:rPr>
          <w:sz w:val="22"/>
          <w:szCs w:val="22"/>
        </w:rPr>
        <w:t xml:space="preserve">Iniciação Científica — Fiocruz Minas / IRR</w:t>
      </w:r>
    </w:p>
    <w:p>
      <w:pPr>
        <w:spacing w:after="80"/>
        <w:jc w:val="center"/>
      </w:pPr>
      <w:r>
        <w:rPr>
          <w:i/>
          <w:iCs/>
          <w:sz w:val="22"/>
          <w:szCs w:val="22"/>
        </w:rPr>
        <w:t xml:space="preserve">Saúde Coletiva — Saúde Urbana e Epidemiologia Espacial</w:t>
      </w:r>
    </w:p>
    <w:p>
      <w:pPr>
        <w:spacing w:before="600"/>
        <w:jc w:val="center"/>
      </w:pPr>
      <w:r>
        <w:rPr>
          <w:sz w:val="22"/>
          <w:szCs w:val="22"/>
        </w:rPr>
        <w:t xml:space="preserve">12 de junho de 2026 (regerado sobre a metodologia V00001 consolidada em 22/05/2026)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F4E79"/>
          <w:sz w:val="36"/>
          <w:szCs w:val="36"/>
        </w:rPr>
        <w:t xml:space="preserve">Sumário Executivo</w:t>
      </w:r>
    </w:p>
    <w:p>
      <w:pPr>
        <w:spacing w:after="120" w:line="300"/>
        <w:jc w:val="both"/>
      </w:pPr>
      <w:r>
        <w:t xml:space="preserve">A análise exploratória foi conduzida sobre uma base de 109.032 setores censitários dos 70 municípios da amostra do ELSI-Brasil, extraídos do Censo Demográfico 2022. Após aplicar as regras de elegibilidade definidas pelo IVS-BH 2012 (Secretaria Municipal de Saúde de Belo Horizonte), 106.281 setores (97,5%) foram considerados aptos para a análise. As sete variáveis-componente do IVS foram calculadas em proporções brutas, com denominador domiciliar V00001 (Domicílios Particulares Permanentes Ocupados) — o equivalente no Censo 2022 do denominador padrão do IVS-BH 2012.</w:t>
      </w:r>
    </w:p>
    <w:p>
      <w:pPr>
        <w:spacing w:after="120" w:line="300"/>
        <w:jc w:val="both"/>
      </w:pPr>
      <w:r>
        <w:t xml:space="preserve">Os principais achados podem ser sintetizados em quatro grandes blocos: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Distribuições marcadamente assimétricas para saneamento. As medianas de inadequação de água, esgoto e lixo são iguais a zero — mais da metade dos setores ELSI tem acesso adequado em todas as três dimensões — mas a cauda à direita revela bolsões de vulnerabilidade extrema concentrados no Norte e em municípios pequenos do Nordeste e MG/PR rurais. Em Portel/PA, Placas/PA e Autazes/AM, mais de 95% dos setores apresentam alguma forma de saneamento inadequado.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Gradiente Norte→Sul replica o padrão histórico de desigualdade. A região Norte apresenta as piores condições em água (35,6% setores inadequados em média), esgoto (27,1%) e densidade habitacional (mediana de 3,20 pessoas por domicílio). Em contraste, Sul e Sudeste exibem proporções médias de inadequação em torno de 5% ou menos para água e esgoto (medianas iguais a zero). A renda média segue o mesmo eixo, com municípios do Nordeste e Norte abaixo de R$ 1.800 (mediana) versus São Caetano do Sul/SP em R$ 5.292.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Correlação forte e estruturada entre as variáveis socioeconômicas. A correlação de Spearman entre renda média e proporção de pessoas pretas, pardas e indígenas é de −0,81 — o maior valor absoluto observado entre todos os pares. Renda e analfabetismo têm correlação de −0,75, e raça/cor com analfabetismo de +0,63. As variáveis de saneamento se correlacionam menos entre si (0,15 a 0,45), mas todas se associam ao bloco socioeconômico. Esse padrão sustenta a hipótese de dois fatores latentes — saneamento e socioeconômico — recomendada pelo IVS-BH 2012.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Dados faltantes concentrados em grandes cidades. Cerca de 16% dos setores têm sigilo para analfabetismo (V00900/V00901), majoritariamente em São Caetano do Sul, Porto Alegre, Curitiba, Belo Horizonte, Rio de Janeiro e São Paulo — refletindo a regra do IBGE de suprimir microdados em setores com poucos residentes de 15 anos ou mais. As demais variáveis têm cobertura ≥ 99%.</w:t>
      </w:r>
    </w:p>
    <w:p>
      <w:pPr>
        <w:spacing w:after="120" w:line="300"/>
        <w:jc w:val="both"/>
      </w:pPr>
      <w:r>
        <w:t xml:space="preserve">A EDA confirma a viabilidade da construção do IVS sobre essa base e fornece evidência empírica das hipóteses centro-periferia que o estudo se propõe a quantificar. Recomenda-se prosseguir com a análise fatorial baseada em correlação de Spearman (dada a forte assimetria das variáveis de saneamento) e considerar normalização da renda por município, não global.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F4E79"/>
          <w:sz w:val="36"/>
          <w:szCs w:val="36"/>
        </w:rPr>
        <w:t xml:space="preserve">1. Introdução</w:t>
      </w:r>
    </w:p>
    <w:p>
      <w:pPr>
        <w:spacing w:after="120" w:line="300"/>
        <w:jc w:val="both"/>
      </w:pPr>
      <w:r>
        <w:t xml:space="preserve">Este relatório documenta a análise exploratória dos dados que servirão de base para a construção do Índice de Vulnerabilidade à Saúde (IVS) intraurbano para os 70 municípios participantes do ELSI-Brasil (Estudo Longitudinal da Saúde dos Idosos Brasileiros), com dados do Censo Demográfico 2022.</w:t>
      </w:r>
    </w:p>
    <w:p>
      <w:pPr>
        <w:spacing w:after="120" w:line="300"/>
        <w:jc w:val="both"/>
      </w:pPr>
      <w:r>
        <w:t xml:space="preserve">A EDA cumpre quatro funções, conforme o checklist FIOCRUZ (Módulo 2 do Curso de Análise de Dados): (i) caracterizar a estrutura e a qualidade dos dados, (ii) detectar padrões e outliers, (iii) escolher métricas descritivas adequadas à distribuição de cada variável e (iv) verificar pressupostos antes da modelagem subsequente — neste caso, a análise fatorial.</w:t>
      </w:r>
    </w:p>
    <w:p>
      <w:pPr>
        <w:spacing w:after="120" w:line="300"/>
        <w:jc w:val="both"/>
      </w:pPr>
      <w:r>
        <w:t xml:space="preserve">Todas as sete variáveis-componente do IVS-BH 2012 foram operacionalizadas para o Censo 2022 da seguinte forma: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2900"/>
        <w:gridCol w:w="1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Dimensão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Variável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Numerador (Censo 2022)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Denominador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Saneamento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% domicílios com água inadequada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V00112 a V00118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V00001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Saneamento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% domicílios com esgoto inadequado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V00312 a V00316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V00001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Saneamento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% domicílios com lixo inadequado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V00398 a V00402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V00001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Socioeconômica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Razão de moradores por domicílio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V00005 + V00006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V00001 + V00002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Socioeconômica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% pessoas analfabetas (15+)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V00901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V00900 + V00901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Socioeconômica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Rendimento médio mensal (R$)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V06004 (direto)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Socioeconômica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% pretos, pardos e indígenas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V01318 + V01320 + V01321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v0001</w:t>
            </w:r>
          </w:p>
        </w:tc>
      </w:tr>
    </w:tbl>
    <w:p>
      <w:pPr>
        <w:pBdr>
          <w:left w:val="single" w:color="BF8F00" w:sz="18" w:space="8"/>
        </w:pBdr>
        <w:shd w:fill="FFF2CC" w:val="clear"/>
        <w:spacing w:after="120" w:before="120"/>
        <w:ind w:left="200" w:right="200"/>
      </w:pPr>
      <w:r>
        <w:rPr>
          <w:i/>
          <w:iCs/>
        </w:rPr>
        <w:t xml:space="preserve">O denominador domiciliar V00001 (Domicílios Particulares Permanentes Ocupados) foi adotado por ser o equivalente no Censo 2022 do V002 (Dom_part_p) do Censo 2010, denominador padrão do IVS-BH 2012. Decisão consolidada na revisão metodológica de 22/05/2026: o V01042 do arquivo de parentesco é uma contagem de pessoas responsáveis, não de domicílios, e foi descartado como denominador. Validação empírica: com V00001 nenhuma proporção de saneamento ultrapassa 1,0.</w:t>
      </w:r>
    </w:p>
    <w:p>
      <w:pPr>
        <w:pStyle w:val="Heading1"/>
        <w:spacing w:after="240" w:before="480"/>
      </w:pPr>
      <w:r>
        <w:rPr>
          <w:b/>
          <w:bCs/>
          <w:color w:val="1F4E79"/>
          <w:sz w:val="36"/>
          <w:szCs w:val="36"/>
        </w:rPr>
        <w:t xml:space="preserve">2. Universo Amostral</w:t>
      </w:r>
    </w:p>
    <w:p>
      <w:pPr>
        <w:spacing w:after="120" w:line="300"/>
        <w:jc w:val="both"/>
      </w:pPr>
      <w:r>
        <w:t xml:space="preserve">O Notebook 01 (Extração e Filtragem ELSI) localizou os 70 municípios oficiais do ELSI-Brasil no arquivo básico do Censo 2022 por chave composta (código IBGE da UF + nome normalizado do município). Todos os 70 foram identificados, com a seguinte distribuição: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4360"/>
        <w:gridCol w:w="220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Região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Municípios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UFs envolvidas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Setores totais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Sudeste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MG, ES, RJ, SP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64.281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Nordeste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MA, PI, CE, RN, PB, PE, AL, SE, BA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20.628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PR, SC, RS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7.561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Centro-Oeste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MS, MT, GO, DF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10.171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Norte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AM, PA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6.391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70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22 UFs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109.032</w:t>
            </w:r>
          </w:p>
        </w:tc>
      </w:tr>
    </w:tbl>
    <w:p>
      <w:pPr>
        <w:spacing w:after="120" w:line="300"/>
        <w:jc w:val="both"/>
      </w:pPr>
      <w:r>
        <w:t xml:space="preserve">A dominância do Sudeste reflete o desenho amostral do ELSI-Brasil, que contempla 26 municípios nessa região, incluindo as áreas metropolitanas de São Paulo, Rio de Janeiro e Belo Horizonte.</w:t>
      </w:r>
    </w:p>
    <w:p>
      <w:pPr>
        <w:pStyle w:val="Heading1"/>
        <w:spacing w:after="240" w:before="480"/>
      </w:pPr>
      <w:r>
        <w:rPr>
          <w:b/>
          <w:bCs/>
          <w:color w:val="1F4E79"/>
          <w:sz w:val="36"/>
          <w:szCs w:val="36"/>
        </w:rPr>
        <w:t xml:space="preserve">3. Tratamento e Elegibilidade</w:t>
      </w:r>
    </w:p>
    <w:p>
      <w:pPr>
        <w:pStyle w:val="Heading2"/>
        <w:spacing w:after="180" w:before="360"/>
      </w:pPr>
      <w:r>
        <w:rPr>
          <w:b/>
          <w:bCs/>
          <w:color w:val="1F4E79"/>
          <w:sz w:val="28"/>
          <w:szCs w:val="28"/>
        </w:rPr>
        <w:t xml:space="preserve">3.1 Sigilo do IBGE</w:t>
      </w:r>
    </w:p>
    <w:p>
      <w:pPr>
        <w:spacing w:after="120" w:line="300"/>
        <w:jc w:val="both"/>
      </w:pPr>
      <w:r>
        <w:t xml:space="preserve">O IBGE suprime células com marcador X em setores onde a contagem é suficientemente baixa para comprometer o anonimato (geralmente setores com menos de 5 domicílios particulares permanentes para indicadores domiciliares, e poucos indivíduos para indicadores pessoais). No Notebook 02, o marcador X foi convertido em NaN antes da conversão para tipos numéricos.</w:t>
      </w:r>
    </w:p>
    <w:p>
      <w:pPr>
        <w:pStyle w:val="Heading2"/>
        <w:spacing w:after="180" w:before="360"/>
      </w:pPr>
      <w:r>
        <w:rPr>
          <w:b/>
          <w:bCs/>
          <w:color w:val="1F4E79"/>
          <w:sz w:val="28"/>
          <w:szCs w:val="28"/>
        </w:rPr>
        <w:t xml:space="preserve">3.2 Separador decimal</w:t>
      </w:r>
    </w:p>
    <w:p>
      <w:pPr>
        <w:spacing w:after="120" w:line="300"/>
        <w:jc w:val="both"/>
      </w:pPr>
      <w:r>
        <w:t xml:space="preserve">A variável V06004 (rendimento médio mensal) é entregue pelo IBGE no padrão brasileiro, com vírgula como separador decimal (ex.: '2453,03'). O Notebook 02 substitui a vírgula por ponto antes da conversão numérica — uma correção crítica que recuperou 106.262 valores válidos (originalmente parseados como NaN em ~98% dos setores por um bug de parsing).</w:t>
      </w:r>
    </w:p>
    <w:p>
      <w:pPr>
        <w:pStyle w:val="Heading2"/>
        <w:spacing w:after="180" w:before="360"/>
      </w:pPr>
      <w:r>
        <w:rPr>
          <w:b/>
          <w:bCs/>
          <w:color w:val="1F4E79"/>
          <w:sz w:val="28"/>
          <w:szCs w:val="28"/>
        </w:rPr>
        <w:t xml:space="preserve">3.3 Classificação Dados_sig</w:t>
      </w:r>
    </w:p>
    <w:p>
      <w:pPr>
        <w:spacing w:after="120" w:line="300"/>
        <w:jc w:val="both"/>
      </w:pPr>
      <w:r>
        <w:t xml:space="preserve">Conforme as regras do IVS-BH 2012, cada setor recebeu uma classificação: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1500"/>
        <w:gridCol w:w="12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Classe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Critério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OK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Setor elegível para análise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106.281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97,48%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SIGILOSO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Variável-base (v0001 ou V00001) sigilosa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2.751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2,52%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COLETIVO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100% de domicílios coletivos (asilos, presídios)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0,00%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ZERADO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População residente nula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0,00%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109.032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100,00%</w:t>
            </w:r>
          </w:p>
        </w:tc>
      </w:tr>
    </w:tbl>
    <w:p>
      <w:pPr>
        <w:pBdr>
          <w:left w:val="single" w:color="BF8F00" w:sz="18" w:space="8"/>
        </w:pBdr>
        <w:shd w:fill="FFF2CC" w:val="clear"/>
        <w:spacing w:after="120" w:before="120"/>
        <w:ind w:left="200" w:right="200"/>
      </w:pPr>
      <w:r>
        <w:rPr>
          <w:i/>
          <w:iCs/>
        </w:rPr>
        <w:t xml:space="preserve">A taxa de elegibilidade de 97,5% é excelente e compara favoravelmente com o IVS-BH original (que excluiu 2,7% dos setores em 2012). Não há setores 100% coletivos nem zerados — o desenho amostral do ELSI-Brasil concentra-se em áreas urbanas habitadas. As análises a seguir consideram somente os 106.281 setores OK.</w:t>
      </w:r>
    </w:p>
    <w:p>
      <w:pPr>
        <w:pStyle w:val="Heading1"/>
        <w:spacing w:after="240" w:before="480"/>
      </w:pPr>
      <w:r>
        <w:rPr>
          <w:b/>
          <w:bCs/>
          <w:color w:val="1F4E79"/>
          <w:sz w:val="36"/>
          <w:szCs w:val="36"/>
        </w:rPr>
        <w:t xml:space="preserve">4. Análise por Variável</w:t>
      </w:r>
    </w:p>
    <w:p>
      <w:pPr>
        <w:spacing w:after="120" w:line="300"/>
        <w:jc w:val="both"/>
      </w:pPr>
      <w:r>
        <w:t xml:space="preserve">Esta seção descreve a distribuição de cada uma das sete variáveis-componente do IVS para o conjunto de 70 municípios ELSI. Para cada variável reportam-se medidas de tendência central (média, mediana), dispersão (DP, CV, IQR), forma da distribuição (assimetria, curtose) e cobertura efetiva de dados.</w:t>
      </w:r>
    </w:p>
    <w:p>
      <w:pPr>
        <w:pStyle w:val="Heading2"/>
        <w:spacing w:after="180" w:before="360"/>
      </w:pPr>
      <w:r>
        <w:rPr>
          <w:b/>
          <w:bCs/>
          <w:color w:val="1F4E79"/>
          <w:sz w:val="28"/>
          <w:szCs w:val="28"/>
        </w:rPr>
        <w:t xml:space="preserve">4.1 Tabela consolidada — Descritivas globais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60"/>
        <w:gridCol w:w="1100"/>
        <w:gridCol w:w="1100"/>
        <w:gridCol w:w="1100"/>
        <w:gridCol w:w="880"/>
        <w:gridCol w:w="880"/>
        <w:gridCol w:w="540"/>
        <w:gridCol w:w="540"/>
      </w:tblGrid>
      <w:tr>
        <w:trPr>
          <w:tblHeader/>
        </w:trP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Variável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Média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Mediana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DP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P25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P75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Assim.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Curt.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pct_agua_inad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106.281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0,083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0,000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0,221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0,000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0,017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+3,07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+8,47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pct_esgoto_inad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106.280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0,092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0,000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0,231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0,000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0,023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+2,77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+6,54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pct_lixo_inad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106.281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0,126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0,000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0,264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0,000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0,071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+2,24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+3,70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razao_moradores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106.281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2,70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2,71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0,40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2,48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2,93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+0,08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+3,91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pct_analfab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89.527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0,039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0,028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0,041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0,013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0,052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+2,98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+17,7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renda_media (R$)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106.262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4.141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2.546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4.124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1.735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4.755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+3,76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+49,9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pct_raca_pretpardind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106.279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0,530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0,576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0,229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0,356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0,708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−0,39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−0,81</w:t>
            </w:r>
          </w:p>
        </w:tc>
      </w:tr>
    </w:tbl>
    <w:p>
      <w:pPr>
        <w:pStyle w:val="Heading2"/>
        <w:spacing w:after="180" w:before="360"/>
      </w:pPr>
      <w:r>
        <w:rPr>
          <w:b/>
          <w:bCs/>
          <w:color w:val="1F4E79"/>
          <w:sz w:val="28"/>
          <w:szCs w:val="28"/>
        </w:rPr>
        <w:t xml:space="preserve">4.2 Saneamento — água, esgoto, lixo</w:t>
      </w:r>
    </w:p>
    <w:p>
      <w:pPr>
        <w:spacing w:after="120" w:line="300"/>
        <w:jc w:val="both"/>
      </w:pPr>
      <w:r>
        <w:t xml:space="preserve">As três variáveis de saneamento exibem distribuição extremamente assimétrica à direita. A maioria absoluta dos setores ELSI tem acesso adequado nas três dimensões (mediana = 0). Mas a cauda longa indica a existência de setores onde 100% dos domicílios têm acesso inadequado ou ausente, elevando as médias para 8–13% e produzindo coeficientes de variação superiores a 200% — refletindo a coexistência de dois regimes estatísticos distintos: a "norma urbana" próxima de zero e os "bolsões" próximos de um.</w:t>
      </w:r>
    </w:p>
    <w:p>
      <w:pPr>
        <w:spacing w:after="120" w:line="300"/>
        <w:jc w:val="both"/>
      </w:pPr>
      <w:r>
        <w:t xml:space="preserve">Padrão similar entre as três: 35 dos 70 municípios (50%) têm mais da metade dos setores com algum esgotamento inadequado; 34 (48,6%) idem para água. O lixo apresenta média mais alta (12,6%), indicando que a coleta inadequada é um problema mais disseminado mesmo em municípios bem-atendidos quanto a água e esgoto.</w:t>
      </w:r>
    </w:p>
    <w:p>
      <w:pPr>
        <w:pBdr>
          <w:left w:val="single" w:color="BF8F00" w:sz="18" w:space="8"/>
        </w:pBdr>
        <w:shd w:fill="FFF2CC" w:val="clear"/>
        <w:spacing w:after="120" w:before="120"/>
        <w:ind w:left="200" w:right="200"/>
      </w:pPr>
      <w:r>
        <w:rPr>
          <w:i/>
          <w:iCs/>
        </w:rPr>
        <w:t xml:space="preserve">Para o artigo: reportar MEDIANA e IQR, não média e DP — a média é fortemente influenciada pelos bolsões de vulnerabilidade extrema.</w:t>
      </w:r>
    </w:p>
    <w:p>
      <w:pPr>
        <w:pStyle w:val="Heading2"/>
        <w:spacing w:after="180" w:before="360"/>
      </w:pPr>
      <w:r>
        <w:rPr>
          <w:b/>
          <w:bCs/>
          <w:color w:val="1F4E79"/>
          <w:sz w:val="28"/>
          <w:szCs w:val="28"/>
        </w:rPr>
        <w:t xml:space="preserve">4.3 Razão de moradores por domicílio</w:t>
      </w:r>
    </w:p>
    <w:p>
      <w:pPr>
        <w:spacing w:after="120" w:line="300"/>
        <w:jc w:val="both"/>
      </w:pPr>
      <w:r>
        <w:t xml:space="preserve">Variável de comportamento mais simétrico (assimetria +0,08) — média (2,70) e mediana (2,71) praticamente coincidem. A densidade média brasileira de moradores por domicílio é historicamente próxima de 3,0; o valor observado está dentro do esperado. A baixa variabilidade (CV = 14,8%) sugere que esta variável contribuirá com menos discriminação ao IVS do que as variáveis de saneamento, mas é homogeneamente informativa.</w:t>
      </w:r>
    </w:p>
    <w:p>
      <w:pPr>
        <w:pStyle w:val="Heading2"/>
        <w:spacing w:after="180" w:before="360"/>
      </w:pPr>
      <w:r>
        <w:rPr>
          <w:b/>
          <w:bCs/>
          <w:color w:val="1F4E79"/>
          <w:sz w:val="28"/>
          <w:szCs w:val="28"/>
        </w:rPr>
        <w:t xml:space="preserve">4.4 Analfabetismo (15+)</w:t>
      </w:r>
    </w:p>
    <w:p>
      <w:pPr>
        <w:spacing w:after="120" w:line="300"/>
        <w:jc w:val="both"/>
      </w:pPr>
      <w:r>
        <w:t xml:space="preserve">A cobertura efetiva de 84% (15,8% sigilo) reflete a supressão do IBGE em setores com poucos indivíduos de 15 anos ou mais. Com o denominador correto V00901 / (V00900 + V00901), a taxa fica naturalmente limitada a [0, 1] (máximo observado 84,2%, contra os valores espúrios maiores que 1 que a fórmula anterior V00901 / V00900 produzia). A mediana de 2,8% é compatível com a taxa nacional de analfabetismo — esperada inferior em territórios urbanos. A alta curtose (+17,7) indica a existência de setores com taxa de analfabetismo extremamente elevada, concentrados em pequenos municípios do Nordeste rural (Arara/PB mediana de 31,1%, Jaqueira/PE 24,9%, Água Preta/PE 24,2%).</w:t>
      </w:r>
    </w:p>
    <w:p>
      <w:pPr>
        <w:pStyle w:val="Heading2"/>
        <w:spacing w:after="180" w:before="360"/>
      </w:pPr>
      <w:r>
        <w:rPr>
          <w:b/>
          <w:bCs/>
          <w:color w:val="1F4E79"/>
          <w:sz w:val="28"/>
          <w:szCs w:val="28"/>
        </w:rPr>
        <w:t xml:space="preserve">4.5 Rendimento médio mensal</w:t>
      </w:r>
    </w:p>
    <w:p>
      <w:pPr>
        <w:spacing w:after="120" w:line="300"/>
        <w:jc w:val="both"/>
      </w:pPr>
      <w:r>
        <w:t xml:space="preserve">A renda apresenta a distribuição mais assimétrica entre todas as variáveis, com média (R$ 4.141) muito superior à mediana (R$ 2.546) — sinal clássico de concentração de renda. A cauda direita estende-se a valores extremos (R$ 170 mil), refletindo setores residenciais de altíssima renda nas áreas nobres das capitais.</w:t>
      </w:r>
    </w:p>
    <w:p>
      <w:pPr>
        <w:pBdr>
          <w:left w:val="single" w:color="BF8F00" w:sz="18" w:space="8"/>
        </w:pBdr>
        <w:shd w:fill="FFF2CC" w:val="clear"/>
        <w:spacing w:after="120" w:before="120"/>
        <w:ind w:left="200" w:right="200"/>
      </w:pPr>
      <w:r>
        <w:rPr>
          <w:i/>
          <w:iCs/>
        </w:rPr>
        <w:t xml:space="preserve">Para o artigo, é mandatório usar mediana e IQR para reportar renda. O intervalo interquartil de R$ 3.020 já é, por si só, ilustrativo da heterogeneidade dentro das ELSI.</w:t>
      </w:r>
    </w:p>
    <w:p>
      <w:pPr>
        <w:pStyle w:val="Heading2"/>
        <w:spacing w:after="180" w:before="360"/>
      </w:pPr>
      <w:r>
        <w:rPr>
          <w:b/>
          <w:bCs/>
          <w:color w:val="1F4E79"/>
          <w:sz w:val="28"/>
          <w:szCs w:val="28"/>
        </w:rPr>
        <w:t xml:space="preserve">4.6 Raça/cor — pretos, pardos e indígenas (PPI)</w:t>
      </w:r>
    </w:p>
    <w:p>
      <w:pPr>
        <w:spacing w:after="120" w:line="300"/>
        <w:jc w:val="both"/>
      </w:pPr>
      <w:r>
        <w:t xml:space="preserve">Esta é a única variável com assimetria negativa (−0,39) e a única bem distribuída no intervalo [0,1]: a curtose negativa indica uma distribuição mais plana que a Normal. A mediana de 57,6% revela que, no conjunto ELSI, a maioria dos setores tem mais de metade da população classificada como preta, parda ou indígena. A discriminação regional é elevada — ver Seção 5.</w:t>
      </w:r>
    </w:p>
    <w:p>
      <w:pPr>
        <w:spacing w:after="100" w:before="200"/>
        <w:jc w:val="center"/>
      </w:pPr>
      <w:r>
        <w:drawing>
          <wp:inline distT="0" distB="0" distL="0" distR="0">
            <wp:extent cx="5715000" cy="3781425"/>
            <wp:effectExtent t="0" r="0" b="0" l="0"/>
            <wp:docPr id="1" name="histogramas.png" descr="Figura 1 — Histogramas das 7 variáveis-componente do IVS (setores OK, 70 municípios ELSI). Distribuições altamente assimétricas para saneamento e renda; razão de moradores e raça/cor mais simétricas." title="Figura 1 — Histogramas das 7 variáveis-componente do IVS (setores OK, 70 municípios ELSI). Distribuições altamente assimétricas para saneamento e renda; razão de moradores e raça/cor mais simétric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Figura 1 — Histogramas das 7 variáveis-componente do IVS (setores OK, 70 municípios ELSI). Distribuições altamente assimétricas para saneamento e renda; razão de moradores e raça/cor mais simétricas.</w:t>
      </w:r>
    </w:p>
    <w:p>
      <w:pPr>
        <w:pStyle w:val="Heading1"/>
        <w:spacing w:after="240" w:before="480"/>
      </w:pPr>
      <w:r>
        <w:rPr>
          <w:b/>
          <w:bCs/>
          <w:color w:val="1F4E79"/>
          <w:sz w:val="36"/>
          <w:szCs w:val="36"/>
        </w:rPr>
        <w:t xml:space="preserve">5. Análise Regional</w:t>
      </w:r>
    </w:p>
    <w:p>
      <w:pPr>
        <w:spacing w:after="120" w:line="300"/>
        <w:jc w:val="both"/>
      </w:pPr>
      <w:r>
        <w:t xml:space="preserve">A Tabela abaixo apresenta as medianas das sete variáveis estratificadas pelas cinco regiões geográficas do Brasil.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100"/>
        <w:gridCol w:w="1200"/>
        <w:gridCol w:w="1100"/>
        <w:gridCol w:w="1100"/>
        <w:gridCol w:w="1100"/>
        <w:gridCol w:w="1100"/>
        <w:gridCol w:w="1100"/>
      </w:tblGrid>
      <w:tr>
        <w:trPr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Região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Água inad.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Esgoto inad.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Lixo inad.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Razão mor.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Analfab.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Renda (R$)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PPI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Norte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0,199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0,082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0,000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3,20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0,030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1.774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0,774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Nordeste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0,011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0,000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0,000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2,79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0,053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1.693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0,737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Centro-Oeste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0,000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0,000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0,000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2,81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0,028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3.083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0,607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Sudeste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0,000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0,000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0,000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2,66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0,024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2.714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0,514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0,000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0,000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0,000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2,60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0,017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3.686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0,222</w:t>
            </w:r>
          </w:p>
        </w:tc>
      </w:tr>
    </w:tbl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Valores são medianas. PPI = pretos, pardos e indígenas.</w:t>
      </w:r>
    </w:p>
    <w:p>
      <w:pPr>
        <w:pStyle w:val="Heading2"/>
        <w:spacing w:after="180" w:before="360"/>
      </w:pPr>
      <w:r>
        <w:rPr>
          <w:b/>
          <w:bCs/>
          <w:color w:val="1F4E79"/>
          <w:sz w:val="28"/>
          <w:szCs w:val="28"/>
        </w:rPr>
        <w:t xml:space="preserve">Interpretação substantiva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Norte e Nordeste concentram a precariedade. A Região Norte lidera tanto na inadequação de água (mediana de 20% dos setores) quanto na densidade habitacional (3,2 pessoas por domicílio). O Nordeste tem a pior renda (mediana R$ 1.693) e o pior analfabetismo (5,3%).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Sul é a região mais bem-atendida e mais homogeneamente branca. A renda mediana é a maior (R$ 3.686), a inadequação de saneamento é praticamente nula nas medianas, o analfabetismo é o menor (1,7%) e a proporção de pretos/pardos/indígenas é dramaticamente inferior (22,2%, contra 77,4% no Norte). Esse contraste de 55 pontos percentuais entre Norte e Sul para raça/cor é o maior gradiente regional observado entre todas as variáveis.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Centro-Oeste apresenta perfil dual. A renda mediana (R$ 3.083) é puxada fortemente para cima por Brasília/DF e Campo Grande/MS. A composição raça/cor (60,7%) está intermediária. As variáveis de saneamento ficam próximas do Sudeste.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Sudeste tem o maior contraste interno. Embora os indicadores agregados da região sejam bons, ela contém tanto municípios excelentes (São Caetano do Sul, com renda mediana de R$ 5.292) quanto periferias problemáticas.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4314825"/>
            <wp:effectExtent t="0" r="0" b="0" l="0"/>
            <wp:docPr id="1" name="boxplots_por_regiao.png" descr="Figura 2 — Boxplots das 7 variáveis estratificados por região. O contraste Norte vs. Sul é dramático em todas as variáveis, especialmente raça/cor (PPI)." title="Figura 2 — Boxplots das 7 variáveis estratificados por região. O contraste Norte vs. Sul é dramático em todas as variáveis, especialmente raça/cor (PPI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Figura 2 — Boxplots das 7 variáveis estratificados por região. O contraste Norte vs. Sul é dramático em todas as variáveis, especialmente raça/cor (PPI).</w:t>
      </w:r>
    </w:p>
    <w:p>
      <w:pPr>
        <w:pStyle w:val="Heading1"/>
        <w:spacing w:after="240" w:before="480"/>
      </w:pPr>
      <w:r>
        <w:rPr>
          <w:b/>
          <w:bCs/>
          <w:color w:val="1F4E79"/>
          <w:sz w:val="36"/>
          <w:szCs w:val="36"/>
        </w:rPr>
        <w:t xml:space="preserve">6. Heterogeneidade Municipal</w:t>
      </w:r>
    </w:p>
    <w:p>
      <w:pPr>
        <w:pStyle w:val="Heading2"/>
        <w:spacing w:after="180" w:before="360"/>
      </w:pPr>
      <w:r>
        <w:rPr>
          <w:b/>
          <w:bCs/>
          <w:color w:val="1F4E79"/>
          <w:sz w:val="28"/>
          <w:szCs w:val="28"/>
        </w:rPr>
        <w:t xml:space="preserve">6.1 Top-5 municípios com piores medianas em saneamento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900"/>
        <w:gridCol w:w="3000"/>
        <w:gridCol w:w="2900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Água inadequada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Esgoto inadequado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Lixo inadequado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Portel/PA — 99,0%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Placas/PA — 98,7%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Portel/PA — 99,4%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Placas/PA — 97,1%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Portel/PA — 98,4%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Autazes/AM — 96,7%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Autazes/AM — 96,4%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Santa Maria do Oeste/PR — 98,3%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Salto/SP — 96,4%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Coroaci/MG — 95,7%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Urandi/BA — 98,2%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Placas/PA — 94,2%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Santa Maria do Oeste/PR — 93,8%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Japoatã/SE — 98,2%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São R. do Doca Bezerra/MA — 91,4%</w:t>
            </w:r>
          </w:p>
        </w:tc>
      </w:tr>
    </w:tbl>
    <w:p>
      <w:pPr>
        <w:spacing w:after="120" w:line="300"/>
        <w:jc w:val="both"/>
      </w:pPr>
      <w:r>
        <w:t xml:space="preserve">Os municípios do Pará (Portel, Placas) e Amazonas (Autazes) aparecem sistematicamente entre os piores em todos os três quesitos. Coroaci/MG, Santa Maria do Oeste/PR, Urandi/BA e Japoatã/SE são pequenos municípios rurais cuja inadequação tende a ser próxima de 100% em quase todos os setores (atenção para o n pequeno, 29 a 47 setores).</w:t>
      </w:r>
    </w:p>
    <w:p>
      <w:pPr>
        <w:spacing w:after="120" w:line="300"/>
        <w:jc w:val="both"/>
      </w:pPr>
      <w:r>
        <w:t xml:space="preserve">A presença de Salto/SP no top-5 de lixo inadequado é surpreendente para um município paulista — pode indicar problema de classificação categórica nas variáveis V00398–V00402 que merece checagem (e.g., se "caçamba de serviço de limpeza" foi indevidamente contabilizada como inadequada).</w:t>
      </w:r>
    </w:p>
    <w:p>
      <w:pPr>
        <w:pStyle w:val="Heading2"/>
        <w:spacing w:after="180" w:before="360"/>
      </w:pPr>
      <w:r>
        <w:rPr>
          <w:b/>
          <w:bCs/>
          <w:color w:val="1F4E79"/>
          <w:sz w:val="28"/>
          <w:szCs w:val="28"/>
        </w:rPr>
        <w:t xml:space="preserve">6.2 Renda mediana — extremos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400"/>
        <w:gridCol w:w="4400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Mais baixa (R$)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Mais alta (R$)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Portel/PA — 1.022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São Caetano do Sul/SP — 5.292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Rosário/MA — 1.039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Curitiba/PR — 4.115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Água Preta/PE — 1.055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Porto Alegre/RS — 3.951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Jaqueira/PE — 1.073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Brasília/DF — 3.388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São R. do Doca Bezerra/MA — 1.083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Campinas/SP — 3.375</w:t>
            </w:r>
          </w:p>
        </w:tc>
      </w:tr>
    </w:tbl>
    <w:p>
      <w:pPr>
        <w:pBdr>
          <w:left w:val="single" w:color="BF8F00" w:sz="18" w:space="8"/>
        </w:pBdr>
        <w:shd w:fill="FFF2CC" w:val="clear"/>
        <w:spacing w:after="120" w:before="120"/>
        <w:ind w:left="200" w:right="200"/>
      </w:pPr>
      <w:r>
        <w:rPr>
          <w:i/>
          <w:iCs/>
        </w:rPr>
        <w:t xml:space="preserve">A razão entre o município mais rico (São Caetano do Sul) e o mais pobre (Portel) é de 5,18 vezes — magnitude condizente com a desigualdade estrutural histórica do Brasil. Esses extremos serão fundamentais quando se discutir a normalização da renda: uma normalização min-max global comprime essa amplitude e trata Portel e São Caetano como pertencendo ao mesmo "mercado de renda" — claramente inadequado para análise intraurbana. A normalização por município é fortemente recomendada.</w:t>
      </w:r>
    </w:p>
    <w:p>
      <w:pPr>
        <w:pStyle w:val="Heading2"/>
        <w:spacing w:after="180" w:before="360"/>
      </w:pPr>
      <w:r>
        <w:rPr>
          <w:b/>
          <w:bCs/>
          <w:color w:val="1F4E79"/>
          <w:sz w:val="28"/>
          <w:szCs w:val="28"/>
        </w:rPr>
        <w:t xml:space="preserve">6.3 Outros padrões municipais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Maior razão de moradores por domicílio: Portel/PA (4,6) e Autazes/AM (3,7) — coerente com a precariedade habitacional dessas localidades.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Maior taxa de analfabetismo: Arara/PB (31,1%), Jaqueira/PE (24,9%), Água Preta/PE (24,2%) — municípios pequenos do Nordeste interior.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Maior proporção de pretos/pardos/indígenas: Autazes/AM (92,9%), Salvador/BA (88,9%), Rosário/MA (88,1%), Portel/PA (87,8%), Itajuípe/BA (84,5%).</w:t>
      </w:r>
    </w:p>
    <w:p>
      <w:pPr>
        <w:pStyle w:val="Heading1"/>
        <w:spacing w:after="240" w:before="480"/>
      </w:pPr>
      <w:r>
        <w:rPr>
          <w:b/>
          <w:bCs/>
          <w:color w:val="1F4E79"/>
          <w:sz w:val="36"/>
          <w:szCs w:val="36"/>
        </w:rPr>
        <w:t xml:space="preserve">7. Análise de Outliers (regra IQR)</w:t>
      </w:r>
    </w:p>
    <w:p>
      <w:pPr>
        <w:spacing w:after="120" w:line="300"/>
        <w:jc w:val="both"/>
      </w:pPr>
      <w:r>
        <w:t xml:space="preserve">A regra clássica do diagrama de caixa (Tukey, 1977) classifica como outlier qualquer valor fora do intervalo [Q1 − 1,5·IQR, Q3 + 1,5·IQR].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Variável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 outliers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% outliers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Interpretação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pct_agua_inad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21.476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20,2%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Artefato da concentração em zero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pct_esgoto_inad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21.158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19,9%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Artefato da concentração em zero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pct_lixo_inad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19.557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18,4%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Artefato da concentração em zero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renda_media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10.850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10,2%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Outliers reais — cauda direita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pct_analfab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4.696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5,3%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Setores de alta vulnerabilidade educacional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razao_moradores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3.829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3,6%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Setores com superlotação extrema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pct_raca_pretpardind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0,0%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Distribuição bem-comportada</w:t>
            </w:r>
          </w:p>
        </w:tc>
      </w:tr>
    </w:tbl>
    <w:p>
      <w:pPr>
        <w:pBdr>
          <w:left w:val="single" w:color="BF8F00" w:sz="18" w:space="8"/>
        </w:pBdr>
        <w:shd w:fill="FFF2CC" w:val="clear"/>
        <w:spacing w:after="120" w:before="120"/>
        <w:ind w:left="200" w:right="200"/>
      </w:pPr>
      <w:r>
        <w:rPr>
          <w:i/>
          <w:iCs/>
        </w:rPr>
        <w:t xml:space="preserve">Os altos percentuais de "outliers" em água, esgoto e lixo (~20%) NÃO são erros nem aberrações estatísticas, mas consequência matemática direta da regra IQR aplicada a uma distribuição extremamente concentrada em zero: como Q1 = 0 e Q3 é muito próximo de zero (0,017 para água), qualquer valor moderado fica acima de Q3 + 1,5·IQR ≈ 0,04. Isso significa que a regra IQR não é apropriada para identificar valores aberrantes nessas variáveis — ela apenas redescobre o fato já conhecido de que as inadequações de saneamento têm distribuição bimodal.</w:t>
      </w:r>
    </w:p>
    <w:p>
      <w:pPr>
        <w:spacing w:after="120" w:line="300"/>
        <w:jc w:val="both"/>
      </w:pPr>
      <w:r>
        <w:t xml:space="preserve">Recomendação: NÃO excluir nenhum setor com base em outliers de saneamento. Os bolsões de inadequação extrema são o objeto principal do estudo, não ruído a remover. Para renda, os outliers superiores correspondem a setores de altíssima renda em áreas nobres das capitais e devem ser preservados; influenciarão a normalização e justificam o uso de mediana e IQR para descrição.</w:t>
      </w:r>
    </w:p>
    <w:p>
      <w:pPr>
        <w:pStyle w:val="Heading1"/>
        <w:spacing w:after="240" w:before="480"/>
      </w:pPr>
      <w:r>
        <w:rPr>
          <w:b/>
          <w:bCs/>
          <w:color w:val="1F4E79"/>
          <w:sz w:val="36"/>
          <w:szCs w:val="36"/>
        </w:rPr>
        <w:t xml:space="preserve">8. Análise de Dados Faltantes</w:t>
      </w:r>
    </w:p>
    <w:p>
      <w:pPr>
        <w:pStyle w:val="Heading2"/>
        <w:spacing w:after="180" w:before="360"/>
      </w:pPr>
      <w:r>
        <w:rPr>
          <w:b/>
          <w:bCs/>
          <w:color w:val="1F4E79"/>
          <w:sz w:val="28"/>
          <w:szCs w:val="28"/>
        </w:rPr>
        <w:t xml:space="preserve">8.1 Cobertura por variável (global)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500"/>
        <w:gridCol w:w="2500"/>
      </w:tblGrid>
      <w:tr>
        <w:trPr>
          <w:tblHeader/>
        </w:trP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Variável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 válidos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Cobertura</w:t>
            </w:r>
          </w:p>
        </w:tc>
      </w:tr>
      <w:t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pct_agua_inad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106.281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100,00%</w:t>
            </w:r>
          </w:p>
        </w:tc>
      </w:tr>
      <w:t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pct_lixo_inad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106.281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100,00%</w:t>
            </w:r>
          </w:p>
        </w:tc>
      </w:tr>
      <w:t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razao_moradores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106.281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100,00%</w:t>
            </w:r>
          </w:p>
        </w:tc>
      </w:tr>
      <w:t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pct_esgoto_inad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106.280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100,00%</w:t>
            </w:r>
          </w:p>
        </w:tc>
      </w:tr>
      <w:t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pct_raca_pretpardind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106.279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100,00%</w:t>
            </w:r>
          </w:p>
        </w:tc>
      </w:tr>
      <w:t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renda_media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106.262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99,98%</w:t>
            </w:r>
          </w:p>
        </w:tc>
      </w:tr>
      <w:t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pct_analfab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89.527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84,24%</w:t>
            </w:r>
          </w:p>
        </w:tc>
      </w:tr>
    </w:tbl>
    <w:p>
      <w:pPr>
        <w:pStyle w:val="Heading2"/>
        <w:spacing w:after="180" w:before="360"/>
      </w:pPr>
      <w:r>
        <w:rPr>
          <w:b/>
          <w:bCs/>
          <w:color w:val="1F4E79"/>
          <w:sz w:val="28"/>
          <w:szCs w:val="28"/>
        </w:rPr>
        <w:t xml:space="preserve">8.2 Concentração de missing em grandes cidades (analfabetismo)</w:t>
      </w:r>
    </w:p>
    <w:p>
      <w:pPr>
        <w:spacing w:after="120" w:line="300"/>
        <w:jc w:val="both"/>
      </w:pPr>
      <w:r>
        <w:t xml:space="preserve">Os setores com sigilo em V00900/V00901 concentram-se em municípios densamente povoados — onde a regra do IBGE de suprimir setores com poucos indivíduos acaba afetando muitas microáreas. Os 10 municípios com maior taxa de missing para analfabetismo: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400"/>
        <w:gridCol w:w="2500"/>
      </w:tblGrid>
      <w:tr>
        <w:trPr>
          <w:tblHeader/>
        </w:trPr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Município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UF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% missing analfab.</w:t>
            </w:r>
          </w:p>
        </w:tc>
      </w:tr>
      <w:tr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São Caetano do Sul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SP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29,7%</w:t>
            </w:r>
          </w:p>
        </w:tc>
      </w:tr>
      <w:tr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Porto Alegre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27,5%</w:t>
            </w:r>
          </w:p>
        </w:tc>
      </w:tr>
      <w:tr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Curitiba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23,1%</w:t>
            </w:r>
          </w:p>
        </w:tc>
      </w:tr>
      <w:tr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São Pedro da Aldeia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RJ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22,7%</w:t>
            </w:r>
          </w:p>
        </w:tc>
      </w:tr>
      <w:tr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Belo Horizonte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MG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22,5%</w:t>
            </w:r>
          </w:p>
        </w:tc>
      </w:tr>
      <w:tr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Canoas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20,9%</w:t>
            </w:r>
          </w:p>
        </w:tc>
      </w:tr>
      <w:tr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Rio de Janeiro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RJ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20,0%</w:t>
            </w:r>
          </w:p>
        </w:tc>
      </w:tr>
      <w:tr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Campinas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SP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19,9%</w:t>
            </w:r>
          </w:p>
        </w:tc>
      </w:tr>
      <w:tr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São Paulo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SP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19,7%</w:t>
            </w:r>
          </w:p>
        </w:tc>
      </w:tr>
      <w:tr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Araçatuba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SP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18,5%</w:t>
            </w:r>
          </w:p>
        </w:tc>
      </w:tr>
    </w:tbl>
    <w:p>
      <w:pPr>
        <w:spacing w:after="120" w:line="300"/>
        <w:jc w:val="both"/>
      </w:pPr>
      <w:r>
        <w:t xml:space="preserve">Inversamente, 11 municípios pequenos têm zero missing em todas as variáveis: Arara/PB, Coroaci/MG, Ibatiba/ES, Itajuípe/BA, Jaqueira/PE, Portel/PA, Salinas/MG, Santa Maria do Oeste/PR, São Raimundo do Doca Bezerra/MA, Urandi/BA e Água Preta/PE.</w:t>
      </w:r>
    </w:p>
    <w:p>
      <w:pPr>
        <w:pBdr>
          <w:left w:val="single" w:color="BF8F00" w:sz="18" w:space="8"/>
        </w:pBdr>
        <w:shd w:fill="FFF2CC" w:val="clear"/>
        <w:spacing w:after="120" w:before="120"/>
        <w:ind w:left="200" w:right="200"/>
      </w:pPr>
      <w:r>
        <w:rPr>
          <w:i/>
          <w:iCs/>
        </w:rPr>
        <w:t xml:space="preserve">O sigilo do IBGE introduz um viés sistemático nas análises agregadas: setores pequenos (que tendem a ser de classes médias em vias urbanas tradicionais) são preferencialmente suprimidos. Discutir essa limitação na seção de Discussão do artigo.</w:t>
      </w:r>
    </w:p>
    <w:p>
      <w:pPr>
        <w:spacing w:after="100" w:before="200"/>
        <w:jc w:val="center"/>
      </w:pPr>
      <w:r>
        <w:drawing>
          <wp:inline distT="0" distB="0" distL="0" distR="0">
            <wp:extent cx="4000500" cy="5286375"/>
            <wp:effectExtent t="0" r="0" b="0" l="0"/>
            <wp:docPr id="1" name="missing_por_municipio.png" descr="Figura 3 — Mapa de calor: % de dados faltantes por município × variável. A coluna de pct_analfab destaca-se com tons mais escuros em grandes capitais; a coluna de renda_media é praticamente uniforme após a correção do separador decimal." title="Figura 3 — Mapa de calor: % de dados faltantes por município × variável. A coluna de pct_analfab destaca-se com tons mais escuros em grandes capitais; a coluna de renda_media é praticamente uniforme após a correção do separador decim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Figura 3 — Mapa de calor: % de dados faltantes por município × variável. A coluna de pct_analfab destaca-se com tons mais escuros em grandes capitais; a coluna de renda_media é praticamente uniforme após a correção do separador decimal.</w:t>
      </w:r>
    </w:p>
    <w:p>
      <w:pPr>
        <w:pStyle w:val="Heading1"/>
        <w:spacing w:after="240" w:before="480"/>
      </w:pPr>
      <w:r>
        <w:rPr>
          <w:b/>
          <w:bCs/>
          <w:color w:val="1F4E79"/>
          <w:sz w:val="36"/>
          <w:szCs w:val="36"/>
        </w:rPr>
        <w:t xml:space="preserve">9. Estrutura de Correlações</w:t>
      </w:r>
    </w:p>
    <w:p>
      <w:pPr>
        <w:spacing w:after="120" w:line="300"/>
        <w:jc w:val="both"/>
      </w:pPr>
      <w:r>
        <w:t xml:space="preserve">A matriz de correlação fornece a evidência empírica mais direta da estrutura latente que a análise fatorial buscará explicitar. São apresentados dois coeficientes — Pearson (paramétrico, mede associação linear) e Spearman (não-paramétrico, baseado em postos, robusto à assimetria). Dada a forte assimetria das variáveis de saneamento e renda, Spearman é mais informativo.</w:t>
      </w:r>
    </w:p>
    <w:p>
      <w:pPr>
        <w:pStyle w:val="Heading2"/>
        <w:spacing w:after="180" w:before="360"/>
      </w:pPr>
      <w:r>
        <w:rPr>
          <w:b/>
          <w:bCs/>
          <w:color w:val="1F4E79"/>
          <w:sz w:val="28"/>
          <w:szCs w:val="28"/>
        </w:rPr>
        <w:t xml:space="preserve">9.1 Matriz de correlação de Spearman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30"/>
        <w:gridCol w:w="1030"/>
        <w:gridCol w:w="1030"/>
        <w:gridCol w:w="1030"/>
        <w:gridCol w:w="1030"/>
        <w:gridCol w:w="1030"/>
        <w:gridCol w:w="1020"/>
      </w:tblGrid>
      <w:tr>
        <w:trPr>
          <w:tblHeader/>
        </w:trP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água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esgoto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lixo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razão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analf.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renda</w:t>
            </w:r>
          </w:p>
        </w:tc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PPI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pct_agua_inad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1,00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0,45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0,15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0,27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0,27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−0,28</w:t>
            </w:r>
          </w:p>
        </w:tc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0,36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pct_esgoto_inad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0,45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1,00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0,23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0,35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0,45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−0,46</w:t>
            </w:r>
          </w:p>
        </w:tc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0,44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pct_lixo_inad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0,15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0,23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1,00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−0,04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0,19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−0,18</w:t>
            </w:r>
          </w:p>
        </w:tc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0,21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razao_moradores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0,27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0,35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−0,04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1,00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0,41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−0,44</w:t>
            </w:r>
          </w:p>
        </w:tc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0,46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pct_analfab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0,27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0,45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0,19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0,41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1,00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−0,75</w:t>
            </w:r>
          </w:p>
        </w:tc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0,63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renda_media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−0,28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−0,46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−0,18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−0,44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−0,75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1,00</w:t>
            </w:r>
          </w:p>
        </w:tc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−0,81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pct_raca_pretpardind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0,36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0,44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0,21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0,46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0,63</w:t>
            </w:r>
          </w:p>
        </w:tc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−0,81</w:t>
            </w:r>
          </w:p>
        </w:tc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1,00</w:t>
            </w:r>
          </w:p>
        </w:tc>
      </w:tr>
    </w:tbl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Correlações de Spearman entre as 7 variáveis-componente do IVS.</w:t>
      </w:r>
    </w:p>
    <w:p>
      <w:pPr>
        <w:pStyle w:val="Heading2"/>
        <w:spacing w:after="180" w:before="360"/>
      </w:pPr>
      <w:r>
        <w:rPr>
          <w:b/>
          <w:bCs/>
          <w:color w:val="1F4E79"/>
          <w:sz w:val="28"/>
          <w:szCs w:val="28"/>
        </w:rPr>
        <w:t xml:space="preserve">9.2 Leitura substantiva</w:t>
      </w:r>
    </w:p>
    <w:p>
      <w:pPr>
        <w:spacing w:after="120" w:line="300"/>
        <w:jc w:val="both"/>
      </w:pPr>
      <w:r>
        <w:t xml:space="preserve">Eixo socioeconômico (dimensão dominante). As três correlações mais fortes são todas no triângulo renda × analfabetismo × raça/cor (PPI):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renda × PPI = −0,81 (a correlação mais forte do conjunto)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renda × analfabetismo = −0,75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analfabetismo × PPI = +0,63</w:t>
      </w:r>
    </w:p>
    <w:p>
      <w:pPr>
        <w:spacing w:after="120" w:line="300"/>
        <w:jc w:val="both"/>
      </w:pPr>
      <w:r>
        <w:t xml:space="preserve">Esse resultado é metodologicamente importante: ele sustenta a hipótese de raça/cor como proxy de vulnerabilidade socioeconômica estrutural, mencionada no Plano do Artigo (Tabela 5). A correlação de −0,81 entre PPI e renda média é o sinal empírico mais forte da desigualdade racial-econômica nos territórios do ELSI-Brasil e sustenta a inclusão da variável raça/cor no IVS apesar de ser uma variável categórica subjacente.</w:t>
      </w:r>
    </w:p>
    <w:p>
      <w:pPr>
        <w:spacing w:after="120" w:line="300"/>
        <w:jc w:val="both"/>
      </w:pPr>
      <w:r>
        <w:t xml:space="preserve">Densidade habitacional como mediadora. A razão de moradores correlaciona positivamente com PPI (+0,46) e com analfabetismo (+0,41), e negativamente com renda (−0,44). Embora não seja a variável mais discriminante, contribui de forma coerente para o vetor socioeconômico.</w:t>
      </w:r>
    </w:p>
    <w:p>
      <w:pPr>
        <w:spacing w:after="120" w:line="300"/>
        <w:jc w:val="both"/>
      </w:pPr>
      <w:r>
        <w:t xml:space="preserve">Eixo saneamento (dimensão secundária). Água, esgoto e lixo formam um bloco coerente, mas com correlações entre si mais modestas (0,15 a 0,45). A correlação esgoto × analfabetismo = +0,45 sugere que esgoto inadequado pode estar relacionado a contextos socioeconômicos vulneráveis — uma correlação cruzada entre dimensões.</w:t>
      </w:r>
    </w:p>
    <w:p>
      <w:pPr>
        <w:spacing w:after="120" w:line="300"/>
        <w:jc w:val="both"/>
      </w:pPr>
      <w:r>
        <w:t xml:space="preserve">Lixo é o componente mais autônomo. Suas correlações com as demais variáveis raramente excedem 0,20. Isso significa que o indicador de lixo trará informação distinta dos demais — possivelmente capturando uma dimensão de cobertura municipal de serviços de limpeza pública que não se reduz à pobreza individual.</w:t>
      </w:r>
    </w:p>
    <w:p>
      <w:pPr>
        <w:pStyle w:val="Heading2"/>
        <w:spacing w:after="180" w:before="360"/>
      </w:pPr>
      <w:r>
        <w:rPr>
          <w:b/>
          <w:bCs/>
          <w:color w:val="1F4E79"/>
          <w:sz w:val="28"/>
          <w:szCs w:val="28"/>
        </w:rPr>
        <w:t xml:space="preserve">9.3 Implicações para a análise fatorial</w:t>
      </w:r>
    </w:p>
    <w:p>
      <w:pPr>
        <w:spacing w:after="120" w:line="300"/>
        <w:jc w:val="both"/>
      </w:pPr>
      <w:r>
        <w:t xml:space="preserve">A estrutura de correlações é coerente com dois fatores latentes: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Fator 1 (socioeconômico): renda média (invertida), analfabetismo, raça/cor (PPI), razão de moradores. Esperam-se cargas fatoriais altas para estas quatro variáveis.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Fator 2 (saneamento): água inadequada, esgoto inadequado, lixo inadequado. Cargas fatoriais menores, mas coerentes.</w:t>
      </w:r>
    </w:p>
    <w:p>
      <w:pPr>
        <w:spacing w:after="120" w:line="300"/>
        <w:jc w:val="both"/>
      </w:pPr>
      <w:r>
        <w:t xml:space="preserve">O peso relativo do Fator 1 será provavelmente superior ao do Fator 2 — consistente com a divisão histórica do IVS-BH (~60% socioeconômico / ~40% saneamento). A confirmação dependerá da análise fatorial (PCA ou Análise Fatorial Exploratória) no Notebook 03.</w:t>
      </w:r>
    </w:p>
    <w:p>
      <w:pPr>
        <w:pBdr>
          <w:left w:val="single" w:color="BF8F00" w:sz="18" w:space="8"/>
        </w:pBdr>
        <w:shd w:fill="FFF2CC" w:val="clear"/>
        <w:spacing w:after="120" w:before="120"/>
        <w:ind w:left="200" w:right="200"/>
      </w:pPr>
      <w:r>
        <w:rPr>
          <w:i/>
          <w:iCs/>
        </w:rPr>
        <w:t xml:space="preserve">Recomendação técnica: usar a matriz de correlação de Spearman como entrada da análise fatorial, dado o desvio acentuado de normalidade das variáveis de saneamento e renda (assimetrias 2,2 a 4,7).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2533650"/>
            <wp:effectExtent t="0" r="0" b="0" l="0"/>
            <wp:docPr id="1" name="matriz_correlacao.png" descr="Figura 4 — Matriz de correlação. Esquerda: Pearson. Direita: Spearman. O par renda × PPI destaca-se com o maior valor absoluto (−0,81 em Spearman)." title="Figura 4 — Matriz de correlação. Esquerda: Pearson. Direita: Spearman. O par renda × PPI destaca-se com o maior valor absoluto (−0,81 em Spearman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Figura 4 — Matriz de correlação. Esquerda: Pearson. Direita: Spearman. O par renda × PPI destaca-se com o maior valor absoluto (−0,81 em Spearman).</w:t>
      </w:r>
    </w:p>
    <w:p>
      <w:pPr>
        <w:pStyle w:val="Heading1"/>
        <w:spacing w:after="240" w:before="480"/>
      </w:pPr>
      <w:r>
        <w:rPr>
          <w:b/>
          <w:bCs/>
          <w:color w:val="1F4E79"/>
          <w:sz w:val="36"/>
          <w:szCs w:val="36"/>
        </w:rPr>
        <w:t xml:space="preserve">10. Implicações para a Construção do IVS</w:t>
      </w:r>
    </w:p>
    <w:p>
      <w:pPr>
        <w:spacing w:after="120" w:line="300"/>
        <w:jc w:val="both"/>
      </w:pPr>
      <w:r>
        <w:t xml:space="preserve">Esta EDA sustenta cinco recomendações práticas para a construção do índice nas etapas seguintes: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Reportar mediana e IQR (não média e DP) nas tabelas descritivas do artigo para todas as variáveis assimétricas (água, esgoto, lixo, renda, analfabetismo).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Normalizar renda por município, e não globalmente. A razão de 5,18× entre os extremos (Portel × São Caetano do Sul) confirma que a renda precisa ser interpretada relativamente ao mercado local de cada cidade, sob pena de comprimir indevidamente a variação intraurbana.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Usar correlação de Spearman como entrada da análise fatorial, em função da forte assimetria não-linear das variáveis.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Preservar os outliers de saneamento — não são erros, são justamente os bolsões de vulnerabilidade que o estudo se propõe a identificar. A regra IQR é inadequada como critério de exclusão para essas variáveis.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Considerar imputação ou exclusão pareada para o sigilo de analfabetismo. Excluir os ~16% de setores com sigilo poderia introduzir viés contra grandes cidades. Imputar a mediana municipal é uma opção metodologicamente defensável.</w:t>
      </w:r>
    </w:p>
    <w:p>
      <w:pPr>
        <w:pStyle w:val="Heading1"/>
        <w:spacing w:after="240" w:before="480"/>
      </w:pPr>
      <w:r>
        <w:rPr>
          <w:b/>
          <w:bCs/>
          <w:color w:val="1F4E79"/>
          <w:sz w:val="36"/>
          <w:szCs w:val="36"/>
        </w:rPr>
        <w:t xml:space="preserve">11. Limitações da Análise Exploratória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00"/>
        <w:gridCol w:w="36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Limitação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Origem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Mitigação proposta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16% de sigilo em analfabetismo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Regra IBGE de supressão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Reportar transparentemente; considerar imputação por mediana municipal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Variáveis de saneamento bimodais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Realidade da cobertura nacional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Análises com mediana/IQR; análises fatoriais robustas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Salto/SP atípico em lixo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Possível classificação categórica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Validar com o dicionário do IBGE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Correlação 0,15 entre água e lixo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Heterogeneidade real entre serviços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Tratar como bloco saneamento mesmo assim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Falácia ecológica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Inerente ao delineamento ecológico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Reportar explicitamente na Discussão do artigo</w:t>
            </w:r>
          </w:p>
        </w:tc>
      </w:tr>
    </w:tbl>
    <w:p>
      <w:pPr>
        <w:pStyle w:val="Heading1"/>
        <w:spacing w:after="240" w:before="480"/>
      </w:pPr>
      <w:r>
        <w:rPr>
          <w:b/>
          <w:bCs/>
          <w:color w:val="1F4E79"/>
          <w:sz w:val="36"/>
          <w:szCs w:val="36"/>
        </w:rPr>
        <w:t xml:space="preserve">12. Próximos Passos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Notebook 03 — Análise Fatorial. Aplicar PCA / Análise Fatorial Exploratória sobre a matriz de correlação de Spearman para extrair os pesos das variáveis e gerar o IVS contínuo (0–1).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Categorização em 4 faixas. Definir os pontos de corte (Baixo / Médio / Elevado / Muito Elevado) com base em quartis ou desvios da média, conforme metodologia IVS-BH.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Geoprocessamento. Construir os mapas temáticos do IVS por setor censitário no QGIS 3.x. Atenção aos 10 municípios pequenos (n &lt; 50 setores) onde o mapa será menos rico visualmente.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Revisão metodológica com a orientadora. Submeter as recomendações desta EDA (normalização por município, uso de Spearman, tratamento de sigilo) antes da execução do Notebook 03.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Iniciar a redação dos Resultados do artigo a partir das tabelas e figuras desta EDA — especialmente a Tabela 1 (descritivas por município) e a Figura 1 (matriz de correlação).</w:t>
      </w:r>
    </w:p>
    <w:p>
      <w:pPr>
        <w:pStyle w:val="Heading1"/>
        <w:spacing w:after="240" w:before="480"/>
      </w:pPr>
      <w:r>
        <w:rPr>
          <w:b/>
          <w:bCs/>
          <w:color w:val="1F4E79"/>
          <w:sz w:val="36"/>
          <w:szCs w:val="36"/>
        </w:rPr>
        <w:t xml:space="preserve">Anexos — Localização dos artefatos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400"/>
        <w:gridCol w:w="246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Arquivo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Caminho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Base bruta filtrada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banco_de_dados/Base_ELSI_Bruta_Censo2022.csv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109k setores × 47 colunas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Descritivas globais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banco_de_dados/eda/descritivas_globais.csv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7 variáveis × 12 estatísticas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Descritivas por município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banco_de_dados/eda/descritivas_por_municipio.csv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70 mun × 7 var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Descritivas por região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banco_de_dados/eda/descritivas_por_regiao.csv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5 reg × 7 var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Outliers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banco_de_dados/eda/outliers.csv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Regra IQR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Missing por município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banco_de_dados/eda/missing_por_municipio.csv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% faltante mun × var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Correlação Pearson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banco_de_dados/eda/correlacao_pearson.csv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Matriz 7×7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Correlação Spearman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banco_de_dados/eda/correlacao_spearman.csv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Matriz 7×7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Elegibilidade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banco_de_dados/eda/elegibilidade_setores.csv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Distribuição Dados_sig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Figuras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banco_de_dados/eda/figuras/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Histogramas, boxplots, missing, correlação</w:t>
            </w:r>
          </w:p>
        </w:tc>
      </w:tr>
    </w:tbl>
    <w:p>
      <w:pPr>
        <w:pStyle w:val="Heading1"/>
        <w:spacing w:after="240" w:before="480"/>
      </w:pPr>
      <w:r>
        <w:rPr>
          <w:b/>
          <w:bCs/>
          <w:color w:val="1F4E79"/>
          <w:sz w:val="36"/>
          <w:szCs w:val="36"/>
        </w:rPr>
        <w:t xml:space="preserve">Referências metodológicas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SMS-BH. Cálculo IVS 2012 — documento operacional do Índice de Vulnerabilidade da Saúde de Belo Horizonte.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FIOCRUZ — Campus Virtual. Curso de Análise de Dados, Módulo 2: Estatística Descritiva e Comunicação de Resultados.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Passarelli-Araujo, H. (2023). Mapeando as disparidades socioeconômicas de saúde urbana: um estudo comparativo entre seis capitais brasileiras. Revista Brasileira de Estudos de População, v. 40.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Tukey, J.W. (1977). Exploratory Data Analysis. Addison-Wesley.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jc w:val="center"/>
    </w:pPr>
    <w:r>
      <w:rPr>
        <w:color w:val="595959"/>
        <w:sz w:val="18"/>
        <w:szCs w:val="18"/>
      </w:rPr>
      <w:t xml:space="preserve">Pedro Dias Soares — Fiocruz Minas/IRR  •  15/05/2026  •  Página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jc w:val="right"/>
    </w:pPr>
    <w:r>
      <w:rPr>
        <w:i/>
        <w:iCs/>
        <w:color w:val="595959"/>
        <w:sz w:val="18"/>
        <w:szCs w:val="18"/>
      </w:rPr>
      <w:t xml:space="preserve">Relatório EDA — IVS ELSI-Brasil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03c4156a4acbb2fe50ce1fdd842a72479f507c7.png"/><Relationship Id="rId10" Type="http://schemas.openxmlformats.org/officeDocument/2006/relationships/image" Target="media/e064704bbc152923f01ee574c3c3fd10819c46c5.png"/><Relationship Id="rId11" Type="http://schemas.openxmlformats.org/officeDocument/2006/relationships/image" Target="media/81f0fb3d804cdb3ab7417dec94ce55f49d284c15.png"/><Relationship Id="rId12" Type="http://schemas.openxmlformats.org/officeDocument/2006/relationships/image" Target="media/e6b0060876256ab6b554ea953505416b4c90991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Análise Exploratória — IVS Censo 2022 / ELSI-Brasil</dc:title>
  <dc:creator>Pedro Dias Soares</dc:creator>
  <dc:description>Análise exploratória das 7 variáveis-componente do IVS para os 70 municípios do ELSI-Brasil</dc:description>
  <cp:lastModifiedBy>Un-named</cp:lastModifiedBy>
  <cp:revision>1</cp:revision>
  <dcterms:created xsi:type="dcterms:W3CDTF">2026-05-15T18:17:49.491Z</dcterms:created>
  <dcterms:modified xsi:type="dcterms:W3CDTF">2026-05-15T18:17:49.498Z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