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RELATÓRIO DE AVALIAÇÃO</w:t>
      </w:r>
    </w:p>
    <w:p>
      <w:pPr>
        <w:pBdr>
          <w:bottom w:val="single" w:color="2E75B6" w:sz="10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Notebook 02 — Análise Exploratória e Inferencial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Projeto de Mineração de Dados em Saúde · PNS 2019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Artrite e Reumatismo em Idosos Brasileiros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Pesquisador: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 Dias Soares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Orientador: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Prof. Dr. Luis Enrique Zárate — PUC Minas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Periódico-alvo: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of Health Informatics (JHI/SBIS)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 de dados: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Microdados PNS 2019 — IBGE (293.726 registros)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Data: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</w:rPr>
        <w:t xml:space="preserve">1. Visão Geral da Execução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Notebook 02 foi executado com sucesso: todos os 11 produtos previstos foram gerados sem erros de runtime. Os filtros de integridade da entrevista (V0015 = 1 e M001 = 1) funcionaram corretamente, resultando em 22.728 registros válidos dos 43.554 idosos originais (52,2% de aproveitamento). O dataset bivariado final conta com 494 casos de Artrite Pura e 4.332 Saudáveis, gerando um desbalanceamento de 1:8,7 — o que justifica a aplicação do Random Under Sampler (RUS) no Notebook 03.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Produtos gerados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válidos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Artrite Pura (n)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Desbalanceamento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36"/>
                <w:szCs w:val="36"/>
              </w:rPr>
              <w:t xml:space="preserve">11 / 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6"/>
                <w:szCs w:val="16"/>
              </w:rPr>
              <w:t xml:space="preserve">Todos os outputs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6"/>
                <w:szCs w:val="36"/>
              </w:rPr>
              <w:t xml:space="preserve">22.728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de 43.554 totais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6"/>
                <w:szCs w:val="36"/>
              </w:rPr>
              <w:t xml:space="preserve">494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vs. 4.332 saudáveis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36"/>
                <w:szCs w:val="36"/>
              </w:rPr>
              <w:t xml:space="preserve">1 : 8,7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6"/>
                <w:szCs w:val="16"/>
              </w:rPr>
              <w:t xml:space="preserve">Justifica RUS (NB03)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</w:rPr>
        <w:t xml:space="preserve">2. Resultados Científicos — Qualidade e Plausibilidade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resultados obtidos são em geral coerentes com a literatura nacional e internacional sobre artrite e reumatismo em idosos. Destacam-se dois achados contraintuitivos que requerem interpretação cuidadosa na seção de Discussão do artigo.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Análise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Prevalência global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17,71%  (IC 95%: 17,21–18,21%)
n = 22.728 registros válidos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PLAUSÍVEL — Consistente com a literatura brasileira (15–20% em idosos segundo MS/2023).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Prevalência por sexo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Feminino: 25,11%  |  Masculino: 8,60%
z = −32,426 · p &lt; 0,001 ***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EXCELENTE — Razão ~3:1 esperada; artrite reumatoide é 3× mais frequente em mulheres.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Prevalência por faixa etária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60–69: 16,6%  →  70–79: 18,4%  →  80+: 20,5%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PLAUSÍVEL — Tendência crescente com a idade; coerente com processo degenerativo.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IMC — bivariada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Artrite: md 25,3 vs Saudável: md 24,8
Mann-Whitney U · p = 0,006 **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SIGNIFICATIVO — Sobrecarga mecânica articular; literatura confirma associação IMC–artrose.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Frutas — bivariada (!)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Artrite: md 6 vs Saudável: md 5
p = 0,001 ** — artrite consome MAIS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ATENÇÃO — Contraintuitivo. Provável viés de resposta pós-diagnóstico (busca por hábitos saudáveis após descoberta da doença). Discutir na seção Discussão.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Refrigerante — bivariada (!)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Artrite: md 1 vs Saudável: md 2
p = 0,012 * — artrite consome MENOS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ATENÇÃO — Mesmo viés possível. Reportar com cautela; pode ser limitação do desenho transversal.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 — bivariada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χ² = 91,67 · p &lt; 0,001 ***
65% mulheres (Artrite) vs 42% (Saudável)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EXCELENTE — Variável mais discriminativa; essencial no modelo 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Plano de saúde — bivariada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χ² = 7,83 · p = 0,005 **
Artrite: 11,3% vs Saudável: 7,6%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SIGNIFICATIVO — Artrite tem mais plano de saúde, provavelmente por busca ativa de diagnóstico.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Kruskal-Wallis — 4 bases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Idade: H = 175,6 ***
IMC: H = 413,9 ***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CORRETO — Post-hoc Dunn com Bonferroni executado adequadamente.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Correlação Spearman (pairwise)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 par com |ρ| &gt; 0,50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RESULTADO VÁLIDO — Baixa multicolinearidade. Favorece o ML (sem variáveis redundantes). Interpretar explicitamente no artigo.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Resultados que merecem destaque 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Prevalência global de 17,71%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 IC 95% estreito (17,21–18,21%) — dado citável diretamente na Introdução do artigo.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Diferença por sexo massiva: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feminino 25,11% vs masculino 8,60%, z = −32,4, p &lt; 0,001***. Razão ~3:1 esperada para artrite reumatoide.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IMC significativamente maior no grupo Artrite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(p = 0,006**) — associação com sobrecarga mecânica bem documentada.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Ausência de multicolinearidade severa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(nenhum par |ρ| &gt; 0,50) — favorece a interpretabilidade dos modelos de ML.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Resultados contraintuitivos — análise obrigatória no artigo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Dois resultados contradizem a hipótese inflamatória original do estudo: o grupo Artrite consome mais frutas (p = 0,001**) e menos refrigerante (p = 0,012*) que os Saudáveis. A explicação mais provável é o viés de resposta pós-diagnóstico: após o diagnóstico de artrite, o paciente tende a modificar os hábitos alimentares em busca de melhora — fenômeno documentado na literatura como "reverse causation" em estudos transversais.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achado é uma limitação inerente ao delineamento transversal da PNS 2019 (exposição e desfecho medidos simultaneamente) e deve ser explicitamente discutido. Ironicamente, fortalece a justificativa para o uso de ML: algoritmos não-lineares como Random Forest e AdaBoost capturam padrões complexos que a correlação simples não consegue separar.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</w:rPr>
        <w:t xml:space="preserve">3. Problemas Identificados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análise identificou 8 problemas distribuídos em três níveis de severidade. Os dois problemas críticos devem ser corrigidos antes de qualquer revisão do orientador, pois afetam diretamente a validade das tabelas para o artigo.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000"/>
        <w:gridCol w:w="2200"/>
        <w:gridCol w:w="15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Tabela 2-B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Q092 (Depressão) = 100% "Não" em ambos os grupos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Variável inútil como preditor. Excluída por design no NB01 (artrite pura = sem comorbidades). Gera impressão falsa de análise bivariada no artigo.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Remover Q092 de VARS_QUAL ou adicionar nota explícita: "excluída por critério de inclusão — constante nesta amostra".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Tabela 2-B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 2-B sem p-valor (qui-quadrado)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guia exige: Variável | n(Artrite) | %(Artrite) | n(Saudável) | %(Saudável) | p-valor. Sem o teste, a tabela não é comparativa — é apenas descritiva.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Adicionar loop de χ² por variável qualitativa, ou mover p-valor da Tab 2-C para compor a Tab 2-B corretamente.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6"/>
                <w:szCs w:val="16"/>
              </w:rPr>
              <w:t xml:space="preserve">MODERADO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Tabela 3-A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 3-A incompleta — apenas Idade e IMC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Guia exige também: % Feminino, % Hipertensão, % Diabetes, dias exercício e dias ultraprocessados por base. Tabela insuficiente para o artigo.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Expandir SQL_BASES para incluir C006, Q00201, Q03001, P035, P02501 e adicionar loop para variáveis qualitativas (χ² entre 4 bases).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6"/>
                <w:szCs w:val="16"/>
              </w:rPr>
              <w:t xml:space="preserve">MODERADO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Tabelas 2-A e 2-C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Variável P04501 (TV/sedentarismo) ausente das análises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Prevista no guia como preditora de sedentarismo. A base formatada provavelmente armazena como texto (ex.: "3 horas") — pd.to_numeric converte para NaN silenciosamente.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o tipo em sqlite3. Se texto, converter com regex: str.extract(r'(\d+)').astype(float) antes da conversão numérica.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6"/>
                <w:szCs w:val="16"/>
              </w:rPr>
              <w:t xml:space="preserve">MODERADO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SQL / VARS_QUAL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Variáveis previstas no plano ausentes da análise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N001 (autoavaliação saúde), VDF004 (renda) na bivariada, P02001, P023, P01601 e P02602 estão no guia CAPTO mas não são analisadas.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Expandir SQL_COMPLETO, VARS_QUAL e VARS_QUANT. N001 e VDF004 já são carregados no SQL mas não entram nas análises bivariadas.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MENOR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Tabelas 2-A / 2-B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 "long" (uma linha por grupo) — inadequado para o artigo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padrão JHI exige formato "wide": colunas Artrite e Saudável paralelas com p-valor ("Tabela 1" de artigos científicos).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Aplicar .pivot_table() ou reformular o loop para gerar uma linha por variável com colunas Artrite/Saudável.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MENOR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Célula tab2c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 95% via bootstrap não documentado no código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Metodologicamente correto, mas o artigo precisa descrever o método. Sem referência o revisor pode questionar.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Adicionar docstring: "Bootstrap percentílico 500 amostras — IC 95% da diferença de medianas (Efron &amp; Tibshirani, 1993)".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MENOR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Gráfico 2-B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Proporção por coluna em vez de por linha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barra mostra % dentro da categoria (ex.: % da artrite que é mulher), não % do grupo que pertence à categoria. A interpretação do leitor é oposta ao esperado.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Trocar tabela.div(tabela.sum(axis=1), axis=0) por tabela.div(tabela.sum(axis=0), axis=1) — normalizar por grupo, não por categoria.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</w:rPr>
        <w:t xml:space="preserve">4. Conformidade com o Guia de Análises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notebook cobre integralmente as Fases 2 e 3 do Guia de Análises. Dois itens estão parcialmente implementados (Tabela 2-B sem p-valor e Tabela 3-A incompleta). As Fases 1 (pré-processamento), 4 (ML) e 5 (Feature Importance) estão previstas para o Notebook 03.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80"/>
        <w:gridCol w:w="448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 previsto no guia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 · Tab 2-A — Univariada quantitativa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Gerada com Média, DP, Mediana, Q1-Q3, Shapiro-Wilk.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 · Tab 2-B — Univariada qualitativa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PARCIAL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Gerada (n e %), porém sem p-valor do qui-quadrado. Incompleta para JHI.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 · Tab 2-C — Bivariada completa + IC 95%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 Mann-Whitney U e χ² com IC 95% bootstrap. Completa.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 · Tab 2-D — Pares com |ρ| &gt; 0,50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Correlação pairwise Spearman implementada. Nenhum par &gt; 0,50.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2.A · Gráfico 2-A — Box plots quantitativas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Gerado com paleta padronizada e ordem correta de grupos.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2.B · Gráfico 2-B — Barras qualitativas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PARCIAL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Gerado, porém proporção calculada por coluna (ver problema). Eixo Y correto (0–100%).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2.D · Gráfico 2-D — Heatmap Spearman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Gerado com matriz pairwise. Triangulo inferior, escala RdBu.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Normalidade antes dos testes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Shapiro-Wilk aplicado. Todas as variáveis não-normais → Mann-Whitney U correto.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 · Tab 3-A — Comparação das 4 bases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PARCIAL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Só Idade e IMC. Faltam: % Feminino, Hipertensão, Diabetes, exercício, ultraprocessados.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 · Tab 3-B — Prevalência por subgrupo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Sexo, Faixa etária, Escolaridade, Renda — com IC 95% e Teste 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3.A · Gráfico 3-A — Box plots 4 bases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Kruskal-Wallis + Dunn/Bonferroni. Quatro bases corretas.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3.B · Gráfico 3-B — Prevalência c/ IC 95%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Barras horizontais com barras de erro e linha de referência global.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Filtros de integridade V0015 + M001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631"/>
                <w:sz w:val="18"/>
                <w:szCs w:val="18"/>
              </w:rPr>
              <w:t xml:space="preserve">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22.728 de 43.554 aproveitados. Safety valve implementado.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Produtos não cobertos neste notebook (previstos para NB03)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1 — Tabelas 1-A (Missing data), 1-B (Outliers), 1-C (IMC categorizado), 1-D (distribuição pós-RUS)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4 — Regressão Logística (OR brutos e ajustados) · Forest plot · Otimização de hiperparâmetros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4 — Validação cruzada 10-fold · Métricas no conjunto de teste · Teste-T entre modelos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5 — Feature Importance por algoritmo (DT, RF, AdaBoost) · Extração de regras · Dimensão CAPTO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</w:rPr>
        <w:t xml:space="preserve">5. Qualidade Técnica do Código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código demonstra maturidade técnica nas soluções de robustez implementadas, especialmente nos filtros de integridade e no tratamento de formatos variáveis da PNS. Os pontos a melhorar são principalmente de cobertura de variáveis, não de correção técnica.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Pontos positivos do código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Pontos a melhorar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Safety valve em filtrar_v0015() e filtrar_m001() — evita zerar o df por formato inesperado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Correlação pairwise Spearman (min_periods=30) — sem dropna() global que eliminava todas as linhas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Guard if not tab2d.empty antes de sort_values() — corrige KeyError em lista vazia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Bootstrap IC 95% da diferença de medianas (500 amostras) — mais robusto que fórmula paramétrica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RANDOM_STATE = 42 documentado — garante reprodutibilidade dos testes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Fallback se banco .db não encontrado — notebook não quebra sem 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salvar_fig() e salvar_tab() centralizados — DRY, facilita manutenção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6631"/>
                <w:sz w:val="18"/>
                <w:szCs w:val="18"/>
              </w:rPr>
              <w:t xml:space="preserve">✓  Filtros V0015/M001 com múltiplos formatos: int, float, '1', '01', 'Realizada'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⚠  P04501 (TV) sem tratamento para texto formatado — bug silencioso, variável some da análise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⚠  N001 (autoavaliação saúde) carregado no SQL mas nunca usado nas análises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⚠  VDF004 (renda) convertido numericamente mas ausente da bivariada e de VARS_QUANT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⚠  Gráfico 2-B: proporção por coluna vs. por grupo — interpretação invertida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⚠  Tabela 2-B sem coluna de p-valor — incompleto para o padrão JHI/SBIS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5A00"/>
                <w:sz w:val="18"/>
                <w:szCs w:val="18"/>
              </w:rPr>
              <w:t xml:space="preserve">⚠  Bootstrap não referenciado com citação — Efron &amp; Tibshirani (1993) obrigatório no artigo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</w:rPr>
        <w:t xml:space="preserve">6. Prioridades antes do Notebook 03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 correções abaixo estão ordenadas por impacto no artigo final. Os itens 1 e 2 são obrigatórios; os demais melhoram substancialmente a qualidade analítica e a completude frente ao guia.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4800"/>
        <w:gridCol w:w="264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6"/>
                <w:szCs w:val="16"/>
              </w:rPr>
              <w:t xml:space="preserve">CRÍTICO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Remover Q092 de VARS_QUAL ou documentar como constante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Variável inútil, distorce a Tabela 2-B no artigo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6"/>
                <w:szCs w:val="16"/>
              </w:rPr>
              <w:t xml:space="preserve">CRÍTICO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Adicionar p-valor (χ²) à Tabela 2-B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Obrigatório pelo guia e pelo padrão JHI para tabela comparativa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6"/>
                <w:szCs w:val="16"/>
              </w:rPr>
              <w:t xml:space="preserve">MODERADO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Investigar e corrigir P04501 (TV) — converter texto formatado para numérico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Variável de sedentarismo relevante para o modelo CAPTO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6"/>
                <w:szCs w:val="16"/>
              </w:rPr>
              <w:t xml:space="preserve">MODERADO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Expandir Tabela 3-A — incluir % Feminino, Hipertensão, Diabetes, exercício, ultraprocessados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SQL_BASES precisa ser ampliado; usar χ² para variáveis qualitativas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6"/>
                <w:szCs w:val="16"/>
              </w:rPr>
              <w:t xml:space="preserve">MODERADO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Incluir N001 (autoavaliação saúde) e VDF004 (renda) nas análises bivariadas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Ambos já estão no SQL; só precisam entrar em VARS_QUAL/VARS_QUANT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MENOR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Reformatar Tabelas 2-A e 2-B para formato "wide" antes do artigo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.pivot_table() ou pivot_wider — padrão Tabela 1 de artigos JHI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MENOR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Corrigir proporção do Gráfico 2-B (normalizar por grupo, não por categoria)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Trocar axis=1 por axis=0 na divisão do crosstab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MENOR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Discutir resultados contraintuitivos de Frutas e Refrigerante na Discussão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Viés de resposta pós-diagnóstico — limitação inerente ao desenho transversal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</w:rPr>
        <w:t xml:space="preserve">7. Conclusão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Notebook 02 está em bom estado: funcional, sem erros de runtime e com resultados científicos plausíveis. A prevalência de 17,71% de artrite em idosos brasileiros é um dado robusto, citável no artigo. A diferença massiva por sexo (z = −32,4, p &lt; 0,001***) e a associação com IMC (p = 0,006**) são os achados mais sólidos para embasar a seleção de atributos do modelo CAPTO.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Antes de avançar para o Notebook 03, dois pontos críticos devem ser resolvidos: (1) remover ou documentar a variável Q092 que é constante nesta amostra por design, e (2) adicionar o qui-quadrado à Tabela 2-B para que ela atenda o padrão JHI. As demais correções ampliam a cobertura de variáveis previstas no guia CAPTO e melhoram a qualidade das visualizações.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desbalanceamento de 1:8,7 entre as classes (494 Artrite Pura vs 4.332 Saudáveis) está adequadamente dimensionado para a aplicação do Random Under Sampler no treino. A ausência de multicolinearidade severa entre as preditoras (nenhum par |ρ| &gt; 0,50) é um resultado positivo que deve ser reportado na seção de Materiais e Métodos do artigo.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8"/>
        </w:pBd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color w:val="404040"/>
          <w:sz w:val="16"/>
          <w:szCs w:val="16"/>
        </w:rPr>
        <w:t xml:space="preserve">Relatório gerado por assistente de pesquisa IA (Claude — Anthropic)  |  Baseado em: Notebook 02 executado · Guia de Análises PNS 2019 · Plano de Artigo Científico (Pedro Dias Soares)  |  PUC Minas — Prof. Dr. Luis Enrique Zárate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color w:val="404040"/>
        <w:sz w:val="16"/>
        <w:szCs w:val="16"/>
      </w:rPr>
      <w:t xml:space="preserve">Análise Exploratória e Inferencial — Mineração de Dados em Saúde</w:t>
    </w:r>
    <w:r>
      <w:t xml:space="preserve">	</w:t>
    </w:r>
    <w:r>
      <w:rPr>
        <w:rFonts w:ascii="Arial" w:cs="Arial" w:eastAsia="Arial" w:hAnsi="Arial"/>
        <w:b w:val="false"/>
        <w:bCs w:val="false"/>
        <w:color w:val="404040"/>
        <w:sz w:val="16"/>
        <w:szCs w:val="16"/>
      </w:rPr>
      <w:t xml:space="preserve">Pág.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Avaliação — Notebook 02 · PNS 2019</w:t>
    </w:r>
    <w:r>
      <w:t xml:space="preserve">	</w:t>
    </w:r>
    <w:r>
      <w:rPr>
        <w:rFonts w:ascii="Arial" w:cs="Arial" w:eastAsia="Arial" w:hAnsi="Arial"/>
        <w:b w:val="false"/>
        <w:bCs w:val="false"/>
        <w:color w:val="404040"/>
        <w:sz w:val="18"/>
        <w:szCs w:val="18"/>
      </w:rPr>
      <w:t xml:space="preserve">Pedro Dias Soares · PUC Minas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2026-05-11T22:38:52.234Z</dcterms:created>
  <dcterms:modified xsi:type="dcterms:W3CDTF">2026-05-11T22:38:52.236Z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