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Pr>
          <w:rFonts w:ascii="Arial" w:hAnsi="Arial" w:cs="Arial"/>
          <w:b/>
          <w:bCs/>
          <w:sz w:val="24"/>
          <w:szCs w:val="24"/>
        </w:rPr>
        <w:fldChar w:fldCharType="begin"/>
      </w:r>
      <w:r>
        <w:rPr>
          <w:rFonts w:ascii="Arial" w:hAnsi="Arial" w:cs="Arial"/>
          <w:b/>
          <w:bCs/>
          <w:sz w:val="24"/>
          <w:szCs w:val="24"/>
        </w:rPr>
        <w:instrText xml:space="preserve"> MERGEFIELD nome_vendedor </w:instrText>
      </w:r>
      <w:r>
        <w:rPr>
          <w:rFonts w:ascii="Arial" w:hAnsi="Arial" w:cs="Arial"/>
          <w:b/>
          <w:bCs/>
          <w:sz w:val="24"/>
          <w:szCs w:val="24"/>
        </w:rPr>
        <w:fldChar w:fldCharType="separate"/>
      </w:r>
      <w:r w:rsidR="00846231" w:rsidRPr="001A01A7">
        <w:rPr>
          <w:rFonts w:ascii="Arial" w:hAnsi="Arial" w:cs="Arial"/>
          <w:b/>
          <w:bCs/>
          <w:noProof/>
          <w:sz w:val="24"/>
          <w:szCs w:val="24"/>
        </w:rPr>
        <w:t>Lucas Silva</w:t>
      </w:r>
      <w:r>
        <w:rPr>
          <w:rFonts w:ascii="Arial" w:hAnsi="Arial" w:cs="Arial"/>
          <w:b/>
          <w:bCs/>
          <w:sz w:val="24"/>
          <w:szCs w:val="24"/>
        </w:rPr>
        <w:fldChar w:fldCharType="end"/>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Pr>
          <w:rFonts w:ascii="Arial" w:hAnsi="Arial" w:cs="Arial"/>
          <w:bCs/>
          <w:sz w:val="24"/>
          <w:szCs w:val="24"/>
        </w:rPr>
        <w:fldChar w:fldCharType="begin"/>
      </w:r>
      <w:r>
        <w:rPr>
          <w:rFonts w:ascii="Arial" w:hAnsi="Arial" w:cs="Arial"/>
          <w:bCs/>
          <w:sz w:val="24"/>
          <w:szCs w:val="24"/>
        </w:rPr>
        <w:instrText xml:space="preserve"> MERGEFIELD elaborador_proposta </w:instrText>
      </w:r>
      <w:r>
        <w:rPr>
          <w:rFonts w:ascii="Arial" w:hAnsi="Arial" w:cs="Arial"/>
          <w:bCs/>
          <w:sz w:val="24"/>
          <w:szCs w:val="24"/>
        </w:rPr>
        <w:fldChar w:fldCharType="separate"/>
      </w:r>
      <w:r w:rsidR="00846231" w:rsidRPr="001A01A7">
        <w:rPr>
          <w:rFonts w:ascii="Arial" w:hAnsi="Arial" w:cs="Arial"/>
          <w:bCs/>
          <w:noProof/>
          <w:sz w:val="24"/>
          <w:szCs w:val="24"/>
        </w:rPr>
        <w:t>Ruan Casas</w:t>
      </w:r>
      <w:r>
        <w:rPr>
          <w:rFonts w:ascii="Arial" w:hAnsi="Arial" w:cs="Arial"/>
          <w:bCs/>
          <w:sz w:val="24"/>
          <w:szCs w:val="24"/>
        </w:rPr>
        <w:fldChar w:fldCharType="end"/>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Pr>
          <w:rFonts w:ascii="Arial" w:hAnsi="Arial" w:cs="Arial"/>
          <w:b/>
          <w:bCs/>
          <w:sz w:val="24"/>
          <w:szCs w:val="24"/>
        </w:rPr>
        <w:fldChar w:fldCharType="begin"/>
      </w:r>
      <w:r w:rsidRPr="005630EA">
        <w:rPr>
          <w:rFonts w:ascii="Arial" w:hAnsi="Arial" w:cs="Arial"/>
          <w:b/>
          <w:bCs/>
          <w:sz w:val="24"/>
          <w:szCs w:val="24"/>
        </w:rPr>
        <w:instrText xml:space="preserve"> MERGEFIELD cod_prop </w:instrText>
      </w:r>
      <w:r>
        <w:rPr>
          <w:rFonts w:ascii="Arial" w:hAnsi="Arial" w:cs="Arial"/>
          <w:b/>
          <w:bCs/>
          <w:sz w:val="24"/>
          <w:szCs w:val="24"/>
        </w:rPr>
        <w:fldChar w:fldCharType="separate"/>
      </w:r>
      <w:r w:rsidR="00846231" w:rsidRPr="001A01A7">
        <w:rPr>
          <w:rFonts w:ascii="Arial" w:hAnsi="Arial" w:cs="Arial"/>
          <w:b/>
          <w:bCs/>
          <w:noProof/>
          <w:sz w:val="24"/>
          <w:szCs w:val="24"/>
        </w:rPr>
        <w:t>4068</w:t>
      </w:r>
      <w:r>
        <w:rPr>
          <w:rFonts w:ascii="Arial" w:hAnsi="Arial" w:cs="Arial"/>
          <w:b/>
          <w:bCs/>
          <w:sz w:val="24"/>
          <w:szCs w:val="24"/>
        </w:rPr>
        <w:fldChar w:fldCharType="end"/>
      </w:r>
      <w:r w:rsidRPr="005630EA">
        <w:rPr>
          <w:rFonts w:ascii="Arial" w:hAnsi="Arial" w:cs="Arial"/>
          <w:b/>
          <w:bCs/>
          <w:sz w:val="24"/>
          <w:szCs w:val="24"/>
        </w:rPr>
        <w:t xml:space="preserve"> </w:t>
      </w:r>
      <w:r>
        <w:rPr>
          <w:rFonts w:ascii="Arial" w:hAnsi="Arial" w:cs="Arial"/>
          <w:b/>
          <w:bCs/>
          <w:sz w:val="24"/>
          <w:szCs w:val="24"/>
        </w:rPr>
        <w:t xml:space="preserve">REV - </w:t>
      </w:r>
      <w:r>
        <w:rPr>
          <w:rFonts w:ascii="Arial" w:eastAsia="Arial" w:hAnsi="Arial"/>
          <w:sz w:val="20"/>
          <w:szCs w:val="20"/>
        </w:rPr>
        <w:fldChar w:fldCharType="begin"/>
      </w:r>
      <w:r>
        <w:rPr>
          <w:rFonts w:ascii="Arial" w:eastAsia="Arial" w:hAnsi="Arial"/>
          <w:sz w:val="20"/>
          <w:szCs w:val="20"/>
        </w:rPr>
        <w:instrText xml:space="preserve"> MERGEFIELD n_rev </w:instrText>
      </w:r>
      <w:r w:rsidRPr="0062480B">
        <w:rPr>
          <w:rFonts w:ascii="Arial" w:eastAsia="Arial" w:hAnsi="Arial"/>
          <w:sz w:val="20"/>
          <w:szCs w:val="20"/>
        </w:rPr>
        <w:instrText>\# "#</w:instrText>
      </w:r>
      <w:r>
        <w:rPr>
          <w:rFonts w:ascii="Arial" w:eastAsia="Arial" w:hAnsi="Arial"/>
          <w:sz w:val="20"/>
          <w:szCs w:val="20"/>
        </w:rPr>
        <w:instrText>#</w:instrText>
      </w:r>
      <w:r w:rsidRPr="0062480B">
        <w:rPr>
          <w:rFonts w:ascii="Arial" w:eastAsia="Arial" w:hAnsi="Arial"/>
          <w:sz w:val="20"/>
          <w:szCs w:val="20"/>
        </w:rPr>
        <w:instrText>"</w:instrText>
      </w:r>
      <w:r>
        <w:rPr>
          <w:rFonts w:ascii="Arial" w:eastAsia="Arial" w:hAnsi="Arial"/>
          <w:sz w:val="20"/>
          <w:szCs w:val="20"/>
        </w:rPr>
        <w:instrText xml:space="preserve"> </w:instrText>
      </w:r>
      <w:r>
        <w:rPr>
          <w:rFonts w:ascii="Arial" w:eastAsia="Arial" w:hAnsi="Arial"/>
          <w:sz w:val="20"/>
          <w:szCs w:val="20"/>
        </w:rPr>
        <w:fldChar w:fldCharType="separate"/>
      </w:r>
      <w:r w:rsidR="00846231">
        <w:rPr>
          <w:rFonts w:ascii="Arial" w:eastAsia="Arial" w:hAnsi="Arial"/>
          <w:noProof/>
          <w:sz w:val="20"/>
          <w:szCs w:val="20"/>
        </w:rPr>
        <w:t xml:space="preserve">  </w:t>
      </w:r>
      <w:r>
        <w:rPr>
          <w:rFonts w:ascii="Arial" w:eastAsia="Arial" w:hAnsi="Arial"/>
          <w:sz w:val="20"/>
          <w:szCs w:val="20"/>
        </w:rPr>
        <w:fldChar w:fldCharType="end"/>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Pr>
          <w:rFonts w:ascii="Arial" w:hAnsi="Arial" w:cs="Arial"/>
          <w:b/>
          <w:bCs/>
          <w:sz w:val="24"/>
          <w:szCs w:val="24"/>
        </w:rPr>
        <w:fldChar w:fldCharType="begin"/>
      </w:r>
      <w:r>
        <w:rPr>
          <w:rFonts w:ascii="Arial" w:hAnsi="Arial" w:cs="Arial"/>
          <w:b/>
          <w:bCs/>
          <w:sz w:val="24"/>
          <w:szCs w:val="24"/>
        </w:rPr>
        <w:instrText xml:space="preserve"> MERGEFIELD nome_cliente </w:instrText>
      </w:r>
      <w:r>
        <w:rPr>
          <w:rFonts w:ascii="Arial" w:hAnsi="Arial" w:cs="Arial"/>
          <w:b/>
          <w:bCs/>
          <w:sz w:val="24"/>
          <w:szCs w:val="24"/>
        </w:rPr>
        <w:fldChar w:fldCharType="separate"/>
      </w:r>
      <w:r w:rsidR="00846231" w:rsidRPr="001A01A7">
        <w:rPr>
          <w:rFonts w:ascii="Arial" w:hAnsi="Arial" w:cs="Arial"/>
          <w:b/>
          <w:bCs/>
          <w:noProof/>
          <w:sz w:val="24"/>
          <w:szCs w:val="24"/>
        </w:rPr>
        <w:t>MIP ENGENHARIA LTDA.</w:t>
      </w:r>
      <w:r>
        <w:rPr>
          <w:rFonts w:ascii="Arial" w:hAnsi="Arial" w:cs="Arial"/>
          <w:b/>
          <w:bCs/>
          <w:sz w:val="24"/>
          <w:szCs w:val="24"/>
        </w:rPr>
        <w:fldChar w:fldCharType="end"/>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Pr>
          <w:rFonts w:ascii="Arial" w:hAnsi="Arial" w:cs="Arial"/>
          <w:sz w:val="24"/>
          <w:szCs w:val="24"/>
        </w:rPr>
        <w:fldChar w:fldCharType="begin"/>
      </w:r>
      <w:r>
        <w:rPr>
          <w:rFonts w:ascii="Arial" w:hAnsi="Arial" w:cs="Arial"/>
          <w:sz w:val="24"/>
          <w:szCs w:val="24"/>
        </w:rPr>
        <w:instrText xml:space="preserve"> MERGEFIELD contato_cliente </w:instrText>
      </w:r>
      <w:r>
        <w:rPr>
          <w:rFonts w:ascii="Arial" w:hAnsi="Arial" w:cs="Arial"/>
          <w:sz w:val="24"/>
          <w:szCs w:val="24"/>
        </w:rPr>
        <w:fldChar w:fldCharType="separate"/>
      </w:r>
      <w:r w:rsidR="00846231" w:rsidRPr="001A01A7">
        <w:rPr>
          <w:rFonts w:ascii="Arial" w:hAnsi="Arial" w:cs="Arial"/>
          <w:noProof/>
          <w:sz w:val="24"/>
          <w:szCs w:val="24"/>
        </w:rPr>
        <w:t>Luciano Salazar</w:t>
      </w:r>
      <w:r>
        <w:rPr>
          <w:rFonts w:ascii="Arial" w:hAnsi="Arial" w:cs="Arial"/>
          <w:sz w:val="24"/>
          <w:szCs w:val="24"/>
        </w:rPr>
        <w:fldChar w:fldCharType="end"/>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Pr>
          <w:rFonts w:ascii="Arial" w:hAnsi="Arial" w:cs="Arial"/>
          <w:sz w:val="24"/>
          <w:szCs w:val="24"/>
        </w:rPr>
        <w:fldChar w:fldCharType="begin"/>
      </w:r>
      <w:r>
        <w:rPr>
          <w:rFonts w:ascii="Arial" w:hAnsi="Arial" w:cs="Arial"/>
          <w:sz w:val="24"/>
          <w:szCs w:val="24"/>
        </w:rPr>
        <w:instrText xml:space="preserve"> MERGEFIELD email_cliente </w:instrText>
      </w:r>
      <w:r>
        <w:rPr>
          <w:rFonts w:ascii="Arial" w:hAnsi="Arial" w:cs="Arial"/>
          <w:sz w:val="24"/>
          <w:szCs w:val="24"/>
        </w:rPr>
        <w:fldChar w:fldCharType="separate"/>
      </w:r>
      <w:r w:rsidR="00846231" w:rsidRPr="001A01A7">
        <w:rPr>
          <w:rFonts w:ascii="Arial" w:hAnsi="Arial" w:cs="Arial"/>
          <w:noProof/>
          <w:sz w:val="24"/>
          <w:szCs w:val="24"/>
        </w:rPr>
        <w:t>luciano.salazar@mip.com.br</w:t>
      </w:r>
      <w:r>
        <w:rPr>
          <w:rFonts w:ascii="Arial" w:hAnsi="Arial" w:cs="Arial"/>
          <w:sz w:val="24"/>
          <w:szCs w:val="24"/>
        </w:rPr>
        <w:fldChar w:fldCharType="end"/>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Pr>
          <w:rFonts w:ascii="Arial" w:hAnsi="Arial" w:cs="Arial"/>
          <w:sz w:val="24"/>
          <w:szCs w:val="24"/>
        </w:rPr>
        <w:fldChar w:fldCharType="begin"/>
      </w:r>
      <w:r>
        <w:rPr>
          <w:rFonts w:ascii="Arial" w:hAnsi="Arial" w:cs="Arial"/>
          <w:sz w:val="24"/>
          <w:szCs w:val="24"/>
        </w:rPr>
        <w:instrText xml:space="preserve"> MERGEFIELD dpto_solicitante </w:instrText>
      </w:r>
      <w:r>
        <w:rPr>
          <w:rFonts w:ascii="Arial" w:hAnsi="Arial" w:cs="Arial"/>
          <w:sz w:val="24"/>
          <w:szCs w:val="24"/>
        </w:rPr>
        <w:fldChar w:fldCharType="separate"/>
      </w:r>
      <w:r w:rsidR="00846231" w:rsidRPr="001A01A7">
        <w:rPr>
          <w:rFonts w:ascii="Arial" w:hAnsi="Arial" w:cs="Arial"/>
          <w:noProof/>
          <w:sz w:val="24"/>
          <w:szCs w:val="24"/>
        </w:rPr>
        <w:t>0</w:t>
      </w:r>
      <w:r>
        <w:rPr>
          <w:rFonts w:ascii="Arial" w:hAnsi="Arial" w:cs="Arial"/>
          <w:sz w:val="24"/>
          <w:szCs w:val="24"/>
        </w:rPr>
        <w:fldChar w:fldCharType="end"/>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Pr>
          <w:rFonts w:ascii="Arial" w:hAnsi="Arial" w:cs="Arial"/>
          <w:sz w:val="24"/>
          <w:szCs w:val="24"/>
        </w:rPr>
        <w:fldChar w:fldCharType="begin"/>
      </w:r>
      <w:r>
        <w:rPr>
          <w:rFonts w:ascii="Arial" w:hAnsi="Arial" w:cs="Arial"/>
          <w:sz w:val="24"/>
          <w:szCs w:val="24"/>
        </w:rPr>
        <w:instrText xml:space="preserve"> MERGEFIELD local_obra </w:instrText>
      </w:r>
      <w:r>
        <w:rPr>
          <w:rFonts w:ascii="Arial" w:hAnsi="Arial" w:cs="Arial"/>
          <w:sz w:val="24"/>
          <w:szCs w:val="24"/>
        </w:rPr>
        <w:fldChar w:fldCharType="separate"/>
      </w:r>
      <w:r w:rsidR="00846231" w:rsidRPr="001A01A7">
        <w:rPr>
          <w:rFonts w:ascii="Arial" w:hAnsi="Arial" w:cs="Arial"/>
          <w:noProof/>
          <w:sz w:val="24"/>
          <w:szCs w:val="24"/>
        </w:rPr>
        <w:t>SISTEMA DE BENEFICIAMENTO DA UNIDADE DA CSN CASA DE PEDRA - CONGONHAS/MG</w:t>
      </w:r>
      <w:r>
        <w:rPr>
          <w:rFonts w:ascii="Arial" w:hAnsi="Arial" w:cs="Arial"/>
          <w:sz w:val="24"/>
          <w:szCs w:val="24"/>
        </w:rPr>
        <w:fldChar w:fldCharType="end"/>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Pr>
          <w:rFonts w:ascii="Arial" w:hAnsi="Arial" w:cs="Arial"/>
          <w:sz w:val="24"/>
          <w:szCs w:val="24"/>
        </w:rPr>
        <w:fldChar w:fldCharType="begin"/>
      </w:r>
      <w:r>
        <w:rPr>
          <w:rFonts w:ascii="Arial" w:hAnsi="Arial" w:cs="Arial"/>
          <w:sz w:val="24"/>
          <w:szCs w:val="24"/>
        </w:rPr>
        <w:instrText xml:space="preserve"> MERGEFIELD cnpj_texto </w:instrText>
      </w:r>
      <w:r>
        <w:rPr>
          <w:rFonts w:ascii="Arial" w:hAnsi="Arial" w:cs="Arial"/>
          <w:sz w:val="24"/>
          <w:szCs w:val="24"/>
        </w:rPr>
        <w:fldChar w:fldCharType="separate"/>
      </w:r>
      <w:r w:rsidR="00846231" w:rsidRPr="001A01A7">
        <w:rPr>
          <w:rFonts w:ascii="Arial" w:hAnsi="Arial" w:cs="Arial"/>
          <w:noProof/>
          <w:sz w:val="24"/>
          <w:szCs w:val="24"/>
        </w:rPr>
        <w:t>33.193.996/0001-58</w:t>
      </w:r>
      <w:r>
        <w:rPr>
          <w:rFonts w:ascii="Arial" w:hAnsi="Arial" w:cs="Arial"/>
          <w:sz w:val="24"/>
          <w:szCs w:val="24"/>
        </w:rPr>
        <w:fldChar w:fldCharType="end"/>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visita técnica.</w:t>
      </w:r>
    </w:p>
    <w:p w14:paraId="6C00CC1C" w14:textId="77777777" w:rsidR="002B29F2" w:rsidRPr="002B29F2" w:rsidRDefault="002B29F2" w:rsidP="00931F5A">
      <w:pPr>
        <w:pStyle w:val="PargrafodaLista"/>
        <w:spacing w:after="0" w:line="240" w:lineRule="auto"/>
        <w:ind w:left="1068"/>
        <w:jc w:val="both"/>
      </w:pPr>
    </w:p>
    <w:p w14:paraId="50933C9D" w14:textId="4861D3A2"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limpeza química em regime pressurizado e flushing primário em tubulações de sistemas hidráulico e lubrificante, com as respectivas medidas</w:t>
      </w:r>
    </w:p>
    <w:p w14:paraId="3B893138" w14:textId="77777777" w:rsidR="00B53ACD" w:rsidRPr="00581895" w:rsidRDefault="00B53ACD" w:rsidP="00B53ACD">
      <w:pPr>
        <w:pStyle w:val="PargrafodaLista"/>
        <w:spacing w:after="0" w:line="240" w:lineRule="auto"/>
        <w:ind w:left="1068"/>
        <w:jc w:val="both"/>
      </w:pPr>
    </w:p>
    <w:p w14:paraId="1932178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flushing secundário em aproximadamente litros de óleo;</w:t>
      </w:r>
    </w:p>
    <w:p w14:paraId="31BE2669" w14:textId="77777777" w:rsidR="00B53ACD" w:rsidRPr="00581895" w:rsidRDefault="00B53ACD" w:rsidP="00B53ACD">
      <w:pPr>
        <w:pStyle w:val="PargrafodaLista"/>
        <w:rPr>
          <w:rFonts w:ascii="Arial" w:hAnsi="Arial" w:cs="Arial"/>
          <w:sz w:val="20"/>
          <w:szCs w:val="20"/>
        </w:rPr>
      </w:pPr>
    </w:p>
    <w:p w14:paraId="66D447B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 xml:space="preserve"> Serviço especializado em mão de obra e execução técnica na manutenção e filtragem absoluta em aproximadamente litros de óleo;</w:t>
      </w:r>
    </w:p>
    <w:p w14:paraId="78D0DCF9" w14:textId="77777777" w:rsidR="00B53ACD" w:rsidRPr="00581895" w:rsidRDefault="00B53ACD" w:rsidP="00B53ACD">
      <w:pPr>
        <w:pStyle w:val="PargrafodaLista"/>
        <w:rPr>
          <w:rFonts w:ascii="Arial" w:hAnsi="Arial" w:cs="Arial"/>
          <w:sz w:val="20"/>
          <w:szCs w:val="20"/>
        </w:rPr>
      </w:pPr>
    </w:p>
    <w:p w14:paraId="7FBA28F3"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desidratação em aproximadamente litros de óleo;</w:t>
      </w:r>
    </w:p>
    <w:p w14:paraId="23C1F315" w14:textId="77777777" w:rsidR="00B53ACD" w:rsidRPr="00581895" w:rsidRDefault="00B53ACD" w:rsidP="00B53ACD">
      <w:pPr>
        <w:pStyle w:val="PargrafodaLista"/>
        <w:rPr>
          <w:rFonts w:ascii="Arial" w:hAnsi="Arial" w:cs="Arial"/>
          <w:sz w:val="20"/>
          <w:szCs w:val="20"/>
        </w:rPr>
      </w:pPr>
    </w:p>
    <w:p w14:paraId="62972965"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teste hidrostático;</w:t>
      </w:r>
    </w:p>
    <w:p w14:paraId="5C1BED71" w14:textId="77777777" w:rsidR="00B53ACD" w:rsidRPr="00581895" w:rsidRDefault="00B53ACD" w:rsidP="00B53ACD">
      <w:pPr>
        <w:pStyle w:val="PargrafodaLista"/>
        <w:rPr>
          <w:rFonts w:ascii="Arial" w:hAnsi="Arial" w:cs="Arial"/>
          <w:sz w:val="20"/>
          <w:szCs w:val="20"/>
        </w:rPr>
      </w:pPr>
    </w:p>
    <w:p w14:paraId="3670FB84"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limpeza interna de reservatório;</w:t>
      </w:r>
    </w:p>
    <w:p w14:paraId="276DCD46" w14:textId="77777777" w:rsidR="00B53ACD" w:rsidRPr="00581895" w:rsidRDefault="00B53ACD" w:rsidP="00B53ACD">
      <w:pPr>
        <w:pStyle w:val="PargrafodaLista"/>
        <w:rPr>
          <w:rFonts w:ascii="Arial" w:hAnsi="Arial" w:cs="Arial"/>
          <w:sz w:val="20"/>
          <w:szCs w:val="20"/>
        </w:rPr>
      </w:pPr>
    </w:p>
    <w:p w14:paraId="3A68B37F"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drenagem e abastecimento de óleo;</w:t>
      </w:r>
    </w:p>
    <w:p w14:paraId="5DBAEA66" w14:textId="77777777" w:rsidR="00B53ACD" w:rsidRPr="00581895" w:rsidRDefault="00B53ACD" w:rsidP="00B53ACD">
      <w:pPr>
        <w:pStyle w:val="PargrafodaLista"/>
        <w:rPr>
          <w:rFonts w:ascii="Arial" w:hAnsi="Arial" w:cs="Arial"/>
          <w:sz w:val="20"/>
          <w:szCs w:val="20"/>
        </w:rPr>
      </w:pPr>
    </w:p>
    <w:p w14:paraId="0D57BA11" w14:textId="1E78C104" w:rsidR="00B30E23" w:rsidRPr="00B30E23" w:rsidRDefault="00B30E23"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desgaseificação em...</w:t>
      </w:r>
    </w:p>
    <w:p w14:paraId="7989DF96" w14:textId="77777777" w:rsidR="00B30E23" w:rsidRPr="00B30E23" w:rsidRDefault="00B30E23" w:rsidP="00B30E23">
      <w:pPr>
        <w:pStyle w:val="PargrafodaLista"/>
        <w:rPr>
          <w:rFonts w:ascii="Arial" w:hAnsi="Arial" w:cs="Arial"/>
          <w:sz w:val="20"/>
          <w:szCs w:val="20"/>
        </w:rPr>
      </w:pPr>
    </w:p>
    <w:p w14:paraId="66BF2E08" w14:textId="17A76EF0"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serviço de pré engenharia – Estudo detalhado antes da execução:</w:t>
      </w:r>
    </w:p>
    <w:p w14:paraId="4F55E716" w14:textId="77777777" w:rsidR="00B53ACD" w:rsidRDefault="00B53ACD" w:rsidP="00B53ACD">
      <w:pPr>
        <w:pStyle w:val="PargrafodaLista"/>
      </w:pPr>
    </w:p>
    <w:p w14:paraId="2D8F0C56"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lastRenderedPageBreak/>
        <w:t>Levantamento de dados e necessidade do cliente;</w:t>
      </w:r>
    </w:p>
    <w:p w14:paraId="63D914CF"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de desenhos e elaboração de fluxogramas do processo a ser realizado;</w:t>
      </w:r>
    </w:p>
    <w:p w14:paraId="1A0033AD"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e identificação de utilidades necessárias;</w:t>
      </w:r>
    </w:p>
    <w:p w14:paraId="14CB2B99"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Se necessário, definição de fabricação de provisórios necessários com antecedência;</w:t>
      </w:r>
    </w:p>
    <w:p w14:paraId="28F947D0" w14:textId="6DD7B84F" w:rsidR="00B53ACD" w:rsidRPr="002B29F2" w:rsidRDefault="00B53ACD" w:rsidP="002B29F2">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Identificação e preparação quanto aos processos internos e as documentações, ambientais, segurança, meio ambiente e qualidade.</w:t>
      </w: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MÃO DE OBRA E EQUIPE TÉCNICA</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Disponibilização de equipe técnica especializada para execução dos serviços contratados</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7E14FF3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75A2B55F"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EQUIPAMENTOS E FERRAMENTAS</w:t>
            </w:r>
          </w:p>
        </w:tc>
      </w:tr>
      <w:tr w:rsidR="00B53ACD" w14:paraId="4F99502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68FA4A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FAC0251" w14:textId="77777777" w:rsidR="00B53ACD" w:rsidRPr="00FD72A9" w:rsidRDefault="00B53ACD" w:rsidP="00EF3D5A">
            <w:pPr>
              <w:spacing w:before="120" w:after="0" w:line="360" w:lineRule="auto"/>
              <w:jc w:val="both"/>
              <w:rPr>
                <w:rFonts w:ascii="Arial" w:eastAsia="Times New Roman" w:hAnsi="Arial" w:cs="Arial"/>
                <w:color w:val="000000"/>
                <w:sz w:val="16"/>
                <w:szCs w:val="16"/>
                <w:lang w:eastAsia="pt-BR"/>
              </w:rPr>
            </w:pPr>
            <w:r w:rsidRPr="00FD72A9">
              <w:rPr>
                <w:rFonts w:ascii="Arial" w:eastAsia="Times New Roman" w:hAnsi="Arial" w:cs="Arial"/>
                <w:color w:val="000000"/>
                <w:sz w:val="16"/>
                <w:szCs w:val="16"/>
                <w:lang w:eastAsia="pt-BR"/>
              </w:rPr>
              <w:t xml:space="preserve">Fornecimento de equipamentos necessários à execução, incluindo: </w:t>
            </w:r>
          </w:p>
          <w:p w14:paraId="14E1B5FE"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limpeza química</w:t>
            </w:r>
          </w:p>
          <w:p w14:paraId="320F9F9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pneumática</w:t>
            </w:r>
          </w:p>
          <w:p w14:paraId="1C699D2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primário</w:t>
            </w:r>
          </w:p>
          <w:p w14:paraId="1ABD9C7C"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filtragem absoluta/transferência</w:t>
            </w:r>
          </w:p>
          <w:p w14:paraId="7728FBF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secundário</w:t>
            </w:r>
          </w:p>
          <w:p w14:paraId="7A561D8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 xml:space="preserve">termovácuo, </w:t>
            </w:r>
          </w:p>
          <w:p w14:paraId="54B86B56"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centrífuga</w:t>
            </w:r>
          </w:p>
          <w:p w14:paraId="41FA963D"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trafo 440/380</w:t>
            </w:r>
          </w:p>
          <w:p w14:paraId="45626D6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teste hidrostático</w:t>
            </w:r>
          </w:p>
          <w:p w14:paraId="6C0B56E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run out</w:t>
            </w:r>
          </w:p>
          <w:p w14:paraId="0A11403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R</w:t>
            </w:r>
            <w:r w:rsidRPr="00FD72A9">
              <w:rPr>
                <w:rFonts w:ascii="Arial" w:eastAsia="Times New Roman" w:hAnsi="Arial" w:cs="Arial"/>
                <w:color w:val="000000"/>
                <w:sz w:val="16"/>
                <w:szCs w:val="16"/>
                <w:lang w:eastAsia="pt-BR"/>
              </w:rPr>
              <w:t xml:space="preserve">eservatórios para armazenamento </w:t>
            </w:r>
            <w:r>
              <w:rPr>
                <w:rFonts w:ascii="Arial" w:eastAsia="Times New Roman" w:hAnsi="Arial" w:cs="Arial"/>
                <w:color w:val="000000"/>
                <w:sz w:val="16"/>
                <w:szCs w:val="16"/>
                <w:lang w:eastAsia="pt-BR"/>
              </w:rPr>
              <w:t xml:space="preserve">(IBC 1000l) </w:t>
            </w:r>
            <w:r w:rsidRPr="00FD72A9">
              <w:rPr>
                <w:rFonts w:ascii="Arial" w:eastAsia="Times New Roman" w:hAnsi="Arial" w:cs="Arial"/>
                <w:color w:val="000000"/>
                <w:sz w:val="16"/>
                <w:szCs w:val="16"/>
                <w:lang w:eastAsia="pt-BR"/>
              </w:rPr>
              <w:t>temporário de efluente e óleo</w:t>
            </w:r>
          </w:p>
          <w:p w14:paraId="52D89036"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Kittiwake</w:t>
            </w:r>
          </w:p>
          <w:p w14:paraId="59213D7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contador eletrônico de partículas a laser</w:t>
            </w:r>
          </w:p>
          <w:p w14:paraId="6B409E07" w14:textId="77777777" w:rsidR="00B53ACD" w:rsidRPr="00A50C1C"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hidrojato 20k/40k</w:t>
            </w:r>
          </w:p>
        </w:tc>
        <w:tc>
          <w:tcPr>
            <w:tcW w:w="2607" w:type="dxa"/>
            <w:tcBorders>
              <w:top w:val="single" w:sz="4" w:space="0" w:color="auto"/>
              <w:left w:val="single" w:sz="4" w:space="0" w:color="auto"/>
              <w:bottom w:val="single" w:sz="4" w:space="0" w:color="auto"/>
              <w:right w:val="single" w:sz="4" w:space="0" w:color="auto"/>
            </w:tcBorders>
            <w:noWrap/>
            <w:vAlign w:val="bottom"/>
          </w:tcPr>
          <w:p w14:paraId="28FB668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291A04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7A43BA9" w14:textId="77777777" w:rsidR="00B53ACD" w:rsidRPr="00E766DE"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MATERIAIS E CONSUMÍVEIS E UTILIDADES</w:t>
            </w:r>
          </w:p>
        </w:tc>
      </w:tr>
      <w:tr w:rsidR="00B53ACD" w14:paraId="7DF0E5E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7BEB47D"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A1EDA1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Fornecimento de todos os insumos operacionais, incluindo filtros, produtos químicos, manômetros, mangueiras e demais consumíveis necessários à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tcPr>
          <w:p w14:paraId="6CA12AB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10CC0C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1DB0C1EF" w14:textId="77777777" w:rsidR="00B53ACD" w:rsidRPr="00EB3C87"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 xml:space="preserve">LOGÍSTICA </w:t>
            </w:r>
          </w:p>
        </w:tc>
      </w:tr>
      <w:tr w:rsidR="00B53ACD" w14:paraId="188B5C0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14C225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60CDC56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Pr>
                <w:rFonts w:ascii="Arial" w:eastAsia="Times New Roman" w:hAnsi="Arial" w:cs="Arial"/>
                <w:sz w:val="16"/>
                <w:szCs w:val="16"/>
                <w:lang w:eastAsia="pt-BR"/>
              </w:rPr>
              <w:t>Um v</w:t>
            </w:r>
            <w:r w:rsidRPr="00BC3365">
              <w:rPr>
                <w:rFonts w:ascii="Arial" w:eastAsia="Times New Roman" w:hAnsi="Arial" w:cs="Arial"/>
                <w:sz w:val="16"/>
                <w:szCs w:val="16"/>
                <w:lang w:eastAsia="pt-BR"/>
              </w:rPr>
              <w:t xml:space="preserve">eículo com combustível para translado </w:t>
            </w:r>
            <w:r>
              <w:rPr>
                <w:rFonts w:ascii="Arial" w:eastAsia="Times New Roman" w:hAnsi="Arial" w:cs="Arial"/>
                <w:sz w:val="16"/>
                <w:szCs w:val="16"/>
                <w:lang w:eastAsia="pt-BR"/>
              </w:rPr>
              <w:t xml:space="preserve">de </w:t>
            </w:r>
            <w:r w:rsidRPr="00BC3365">
              <w:rPr>
                <w:rFonts w:ascii="Arial" w:eastAsia="Times New Roman" w:hAnsi="Arial" w:cs="Arial"/>
                <w:sz w:val="16"/>
                <w:szCs w:val="16"/>
                <w:lang w:eastAsia="pt-BR"/>
              </w:rPr>
              <w:t>hotel</w:t>
            </w:r>
            <w:r>
              <w:rPr>
                <w:rFonts w:ascii="Arial" w:eastAsia="Times New Roman" w:hAnsi="Arial" w:cs="Arial"/>
                <w:sz w:val="16"/>
                <w:szCs w:val="16"/>
                <w:lang w:eastAsia="pt-BR"/>
              </w:rPr>
              <w:t>/</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 xml:space="preserve"> e </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w:t>
            </w:r>
            <w:r w:rsidRPr="00BC3365">
              <w:rPr>
                <w:rFonts w:ascii="Arial" w:eastAsia="Times New Roman" w:hAnsi="Arial" w:cs="Arial"/>
                <w:sz w:val="16"/>
                <w:szCs w:val="16"/>
                <w:lang w:eastAsia="pt-BR"/>
              </w:rPr>
              <w:t>hotel;</w:t>
            </w:r>
          </w:p>
        </w:tc>
        <w:tc>
          <w:tcPr>
            <w:tcW w:w="2607" w:type="dxa"/>
            <w:tcBorders>
              <w:top w:val="single" w:sz="4" w:space="0" w:color="auto"/>
              <w:left w:val="single" w:sz="4" w:space="0" w:color="auto"/>
              <w:bottom w:val="single" w:sz="4" w:space="0" w:color="auto"/>
              <w:right w:val="single" w:sz="4" w:space="0" w:color="auto"/>
            </w:tcBorders>
            <w:noWrap/>
            <w:vAlign w:val="bottom"/>
          </w:tcPr>
          <w:p w14:paraId="511B1F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463E86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556636"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283EE2E9"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w:t>
            </w: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Realização de </w:t>
            </w:r>
            <w:r w:rsidRPr="00350B0E">
              <w:rPr>
                <w:rFonts w:ascii="Arial" w:eastAsia="Times New Roman" w:hAnsi="Arial" w:cs="Arial"/>
                <w:b/>
                <w:bCs/>
                <w:sz w:val="16"/>
                <w:szCs w:val="16"/>
                <w:lang w:eastAsia="pt-BR"/>
              </w:rPr>
              <w:t>01 (um)</w:t>
            </w:r>
            <w:r w:rsidRPr="00F72E7A">
              <w:rPr>
                <w:rFonts w:ascii="Arial" w:eastAsia="Times New Roman" w:hAnsi="Arial" w:cs="Arial"/>
                <w:sz w:val="16"/>
                <w:szCs w:val="16"/>
                <w:lang w:eastAsia="pt-BR"/>
              </w:rPr>
              <w:t xml:space="preserve"> evento de mobilização e desmobilização de equipamentos e equipe técnica;</w:t>
            </w:r>
          </w:p>
        </w:tc>
        <w:tc>
          <w:tcPr>
            <w:tcW w:w="2607" w:type="dxa"/>
            <w:tcBorders>
              <w:top w:val="single" w:sz="4" w:space="0" w:color="auto"/>
              <w:left w:val="single" w:sz="4" w:space="0" w:color="auto"/>
              <w:bottom w:val="single" w:sz="4" w:space="0" w:color="auto"/>
              <w:right w:val="single" w:sz="4" w:space="0" w:color="auto"/>
            </w:tcBorders>
            <w:noWrap/>
            <w:vAlign w:val="bottom"/>
          </w:tcPr>
          <w:p w14:paraId="0F93CE7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0F75CF9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7D743A1"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184A68A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Hospedagem da equipe </w:t>
            </w:r>
            <w:r>
              <w:rPr>
                <w:rFonts w:ascii="Arial" w:eastAsia="Times New Roman" w:hAnsi="Arial" w:cs="Arial"/>
                <w:sz w:val="16"/>
                <w:szCs w:val="16"/>
                <w:lang w:eastAsia="pt-BR"/>
              </w:rPr>
              <w:t xml:space="preserve">Filtrovali </w:t>
            </w:r>
            <w:r w:rsidRPr="00F72E7A">
              <w:rPr>
                <w:rFonts w:ascii="Arial" w:eastAsia="Times New Roman" w:hAnsi="Arial" w:cs="Arial"/>
                <w:sz w:val="16"/>
                <w:szCs w:val="16"/>
                <w:lang w:eastAsia="pt-BR"/>
              </w:rPr>
              <w:t>em acomodações individuais (duplas), com infraestrutura mínima incluindo internet, televisão e ar-condicionado;</w:t>
            </w:r>
          </w:p>
        </w:tc>
        <w:tc>
          <w:tcPr>
            <w:tcW w:w="2607" w:type="dxa"/>
            <w:tcBorders>
              <w:top w:val="single" w:sz="4" w:space="0" w:color="auto"/>
              <w:left w:val="single" w:sz="4" w:space="0" w:color="auto"/>
              <w:bottom w:val="single" w:sz="4" w:space="0" w:color="auto"/>
              <w:right w:val="single" w:sz="4" w:space="0" w:color="auto"/>
            </w:tcBorders>
            <w:noWrap/>
            <w:vAlign w:val="bottom"/>
          </w:tcPr>
          <w:p w14:paraId="799CCD1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B67CFB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A8B53C"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243D842F"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 fora das dependências da obra e fora do horário de expediente;</w:t>
            </w:r>
          </w:p>
        </w:tc>
        <w:tc>
          <w:tcPr>
            <w:tcW w:w="2607" w:type="dxa"/>
            <w:tcBorders>
              <w:top w:val="single" w:sz="4" w:space="0" w:color="auto"/>
              <w:left w:val="single" w:sz="4" w:space="0" w:color="auto"/>
              <w:bottom w:val="single" w:sz="4" w:space="0" w:color="auto"/>
              <w:right w:val="single" w:sz="4" w:space="0" w:color="auto"/>
            </w:tcBorders>
            <w:noWrap/>
            <w:vAlign w:val="bottom"/>
          </w:tcPr>
          <w:p w14:paraId="6704BA3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1B61D50A"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hideMark/>
          </w:tcPr>
          <w:p w14:paraId="1898076E" w14:textId="77777777" w:rsidR="00B53ACD" w:rsidRPr="00CA3DC3" w:rsidRDefault="00B53ACD" w:rsidP="00EF3D5A">
            <w:pPr>
              <w:spacing w:before="120" w:after="0" w:line="240" w:lineRule="auto"/>
              <w:jc w:val="both"/>
              <w:rPr>
                <w:rFonts w:ascii="Arial" w:eastAsia="Times New Roman" w:hAnsi="Arial" w:cs="Arial"/>
                <w:b/>
                <w:bCs/>
                <w:color w:val="000000"/>
                <w:sz w:val="16"/>
                <w:szCs w:val="16"/>
                <w:lang w:eastAsia="pt-BR"/>
              </w:rPr>
            </w:pPr>
            <w:r w:rsidRPr="00CA3DC3">
              <w:rPr>
                <w:rFonts w:ascii="Arial" w:eastAsia="Times New Roman" w:hAnsi="Arial" w:cs="Arial"/>
                <w:b/>
                <w:bCs/>
                <w:color w:val="000000"/>
                <w:sz w:val="16"/>
                <w:szCs w:val="16"/>
                <w:lang w:eastAsia="pt-BR"/>
              </w:rPr>
              <w:t>SEGURANÇA, DOCUMENTAÇÃO E FORMALIDADE</w:t>
            </w:r>
          </w:p>
        </w:tc>
      </w:tr>
      <w:tr w:rsidR="00B53ACD" w14:paraId="042B3C2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3369E74"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316975FF"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CD56E3">
              <w:rPr>
                <w:rFonts w:ascii="Arial" w:eastAsia="Times New Roman" w:hAnsi="Arial" w:cs="Arial"/>
                <w:color w:val="000000"/>
                <w:sz w:val="16"/>
                <w:szCs w:val="16"/>
                <w:lang w:eastAsia="pt-BR"/>
              </w:rPr>
              <w:t>Responsabilidade pelos encargos trabalhistas, previdenciários, tributos e demais obrigações legais incidentes sobre a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35E097C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922F1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9AE967B"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9CFB405" w14:textId="01C074A1"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0019610F">
              <w:rPr>
                <w:rFonts w:ascii="Arial" w:eastAsia="Times New Roman" w:hAnsi="Arial" w:cs="Arial"/>
                <w:color w:val="000000"/>
                <w:sz w:val="16"/>
                <w:szCs w:val="16"/>
                <w:lang w:eastAsia="pt-BR"/>
              </w:rPr>
              <w:t>PGR</w:t>
            </w:r>
            <w:r>
              <w:rPr>
                <w:rFonts w:ascii="Arial" w:eastAsia="Times New Roman" w:hAnsi="Arial" w:cs="Arial"/>
                <w:color w:val="000000"/>
                <w:sz w:val="16"/>
                <w:szCs w:val="16"/>
                <w:lang w:eastAsia="pt-BR"/>
              </w:rPr>
              <w:t>, PCMSO e LTCAT modelo padrão indicado pela clínica ocupacional da Contratada;</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0039D4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1D2504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4256A23"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7A658E56"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922A45">
              <w:rPr>
                <w:rFonts w:ascii="Arial" w:eastAsia="Times New Roman" w:hAnsi="Arial" w:cs="Arial"/>
                <w:color w:val="000000"/>
                <w:sz w:val="16"/>
                <w:szCs w:val="16"/>
                <w:lang w:eastAsia="pt-BR"/>
              </w:rPr>
              <w:t>Fornecimento de Equipamentos de Proteção Individual (EPIs) aos colaboradores, em conformidade com as FISPQs aplicáveis;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251280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82FE4E"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C5DFF32"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0D13E76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186648">
              <w:rPr>
                <w:rFonts w:ascii="Arial" w:eastAsia="Times New Roman" w:hAnsi="Arial" w:cs="Arial"/>
                <w:color w:val="000000"/>
                <w:sz w:val="16"/>
                <w:szCs w:val="16"/>
                <w:lang w:eastAsia="pt-BR"/>
              </w:rPr>
              <w:t>Execução dos serviços em conformidade com os padrões técnicos definidos pela Contratante, fabricantes dos equipamentos e normas técnicas vigentes;</w:t>
            </w:r>
          </w:p>
        </w:tc>
        <w:tc>
          <w:tcPr>
            <w:tcW w:w="2607" w:type="dxa"/>
            <w:tcBorders>
              <w:top w:val="single" w:sz="4" w:space="0" w:color="auto"/>
              <w:left w:val="single" w:sz="4" w:space="0" w:color="auto"/>
              <w:bottom w:val="single" w:sz="4" w:space="0" w:color="auto"/>
              <w:right w:val="single" w:sz="4" w:space="0" w:color="auto"/>
            </w:tcBorders>
            <w:noWrap/>
            <w:vAlign w:val="bottom"/>
          </w:tcPr>
          <w:p w14:paraId="4FA008E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FFB2E0"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62D57F"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A536D7"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Disponibilização de seguro de vida e plano de saúde com cobertura nacional para toda a equipe envolvida</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6835977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LOGÍSTICA </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 </w:t>
            </w:r>
            <w:r w:rsidRPr="00F72E7A">
              <w:rPr>
                <w:rFonts w:ascii="Arial" w:hAnsi="Arial" w:cs="Arial"/>
                <w:sz w:val="16"/>
                <w:szCs w:val="16"/>
                <w:lang w:eastAsia="pt-BR"/>
              </w:rPr>
              <w:t>Disponibilização de recursos para carga, descarga e movimentação dos equipamentos dentro do canteiro de obras, incluindo, quando aplicável, caminhão munck, guindastes, empilhadeiras, ponte rolante ou grua, conforme necessidade operacional;</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6CFBCC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4CB0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7CD19B6" w14:textId="77777777" w:rsidR="00B53ACD" w:rsidRPr="00A50C1C" w:rsidRDefault="00B53ACD" w:rsidP="00EF3D5A">
            <w:pPr>
              <w:spacing w:before="120" w:after="0" w:line="360" w:lineRule="auto"/>
              <w:rPr>
                <w:rFonts w:ascii="Arial" w:hAnsi="Arial" w:cs="Arial"/>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w:t>
            </w:r>
            <w:r>
              <w:rPr>
                <w:rFonts w:ascii="Arial" w:eastAsia="Times New Roman" w:hAnsi="Arial" w:cs="Arial"/>
                <w:color w:val="000000"/>
                <w:sz w:val="16"/>
                <w:szCs w:val="16"/>
                <w:lang w:eastAsia="pt-BR"/>
              </w:rPr>
              <w:t>, durante a jornada de trabalho,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 xml:space="preserve">dentro </w:t>
            </w:r>
            <w:r w:rsidRPr="00F72E7A">
              <w:rPr>
                <w:rFonts w:ascii="Arial" w:eastAsia="Times New Roman" w:hAnsi="Arial" w:cs="Arial"/>
                <w:color w:val="000000"/>
                <w:sz w:val="16"/>
                <w:szCs w:val="16"/>
                <w:lang w:eastAsia="pt-BR"/>
              </w:rPr>
              <w:t>d</w:t>
            </w:r>
            <w:r>
              <w:rPr>
                <w:rFonts w:ascii="Arial" w:eastAsia="Times New Roman" w:hAnsi="Arial" w:cs="Arial"/>
                <w:color w:val="000000"/>
                <w:sz w:val="16"/>
                <w:szCs w:val="16"/>
                <w:lang w:eastAsia="pt-BR"/>
              </w:rPr>
              <w:t>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site conforme turno (almoço/janta)</w:t>
            </w:r>
            <w:r w:rsidRPr="00F72E7A">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126063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36F6DAE"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89CC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MÃO DE OBRA E EQUIPE TÉCNICA</w:t>
            </w:r>
          </w:p>
        </w:tc>
      </w:tr>
      <w:tr w:rsidR="00B53ACD" w14:paraId="38BFA01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4CF7F87"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75C5DA5"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Disponibilização de </w:t>
            </w:r>
            <w:r w:rsidRPr="00F72E7A">
              <w:rPr>
                <w:rFonts w:ascii="Arial" w:eastAsia="Times New Roman" w:hAnsi="Arial" w:cs="Arial"/>
                <w:b/>
                <w:bCs/>
                <w:sz w:val="16"/>
                <w:szCs w:val="16"/>
                <w:lang w:eastAsia="pt-BR"/>
              </w:rPr>
              <w:t>02 (dois) colaboradores</w:t>
            </w:r>
            <w:r w:rsidRPr="00F72E7A">
              <w:rPr>
                <w:rFonts w:ascii="Arial" w:eastAsia="Times New Roman" w:hAnsi="Arial" w:cs="Arial"/>
                <w:sz w:val="16"/>
                <w:szCs w:val="16"/>
                <w:lang w:eastAsia="pt-BR"/>
              </w:rPr>
              <w:t xml:space="preserve"> para acompanhamento e apoio nas atividades de montagem de peças, mangueiras, tubulações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0D8169A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E6AE1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D3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A4E2E6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eletricista habilitado para realização de ligações elétricas, instalações provisórias e pequenos reparos em equipamentos, quando previamente autorizados pela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64563972"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7A4C41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EB0B25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BB6B09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técnico de segurança do trabalho, quando exigido pelas condições da obra ou diretrizes da 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6AA1436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4D180D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1703FDE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F3136D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Execução de serviços de caldeiraria necessários à fabricação, adequação e instalação de conexões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6E1132A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0AA80B"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47C2D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EQUIPAMENTOS E FERRAMENTAS</w:t>
            </w:r>
          </w:p>
        </w:tc>
      </w:tr>
      <w:tr w:rsidR="00B53ACD" w14:paraId="641A68B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3DD841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42134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 xml:space="preserve">Fornecimento de materiais para montagem dos provisórios, incluindo </w:t>
            </w:r>
            <w:r>
              <w:rPr>
                <w:rFonts w:ascii="Arial" w:eastAsia="Times New Roman" w:hAnsi="Arial" w:cs="Arial"/>
                <w:color w:val="000000"/>
                <w:sz w:val="16"/>
                <w:szCs w:val="16"/>
                <w:lang w:eastAsia="pt-BR"/>
              </w:rPr>
              <w:t xml:space="preserve">pedaços de </w:t>
            </w:r>
            <w:r w:rsidRPr="00B444C3">
              <w:rPr>
                <w:rFonts w:ascii="Arial" w:eastAsia="Times New Roman" w:hAnsi="Arial" w:cs="Arial"/>
                <w:color w:val="000000"/>
                <w:sz w:val="16"/>
                <w:szCs w:val="16"/>
                <w:lang w:eastAsia="pt-BR"/>
              </w:rPr>
              <w:t>tubos, flanges, juntas, parafusos, porcas e válvulas;</w:t>
            </w:r>
          </w:p>
        </w:tc>
        <w:tc>
          <w:tcPr>
            <w:tcW w:w="2576" w:type="dxa"/>
            <w:tcBorders>
              <w:top w:val="single" w:sz="4" w:space="0" w:color="auto"/>
              <w:left w:val="single" w:sz="4" w:space="0" w:color="auto"/>
              <w:bottom w:val="single" w:sz="4" w:space="0" w:color="auto"/>
              <w:right w:val="single" w:sz="4" w:space="0" w:color="auto"/>
            </w:tcBorders>
            <w:noWrap/>
            <w:vAlign w:val="bottom"/>
          </w:tcPr>
          <w:p w14:paraId="38F6835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6986D2D"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4301DD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24F536B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bacias de contenção em obra para reservatórios, equipamentos e/ou materiais, quando necessário;</w:t>
            </w:r>
          </w:p>
        </w:tc>
        <w:tc>
          <w:tcPr>
            <w:tcW w:w="2576" w:type="dxa"/>
            <w:tcBorders>
              <w:top w:val="single" w:sz="4" w:space="0" w:color="auto"/>
              <w:left w:val="single" w:sz="4" w:space="0" w:color="auto"/>
              <w:bottom w:val="single" w:sz="4" w:space="0" w:color="auto"/>
              <w:right w:val="single" w:sz="4" w:space="0" w:color="auto"/>
            </w:tcBorders>
            <w:noWrap/>
            <w:vAlign w:val="bottom"/>
          </w:tcPr>
          <w:p w14:paraId="6E3FF49F"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contenções para pequenos vazamentos</w:t>
            </w:r>
          </w:p>
        </w:tc>
      </w:tr>
      <w:tr w:rsidR="00B53ACD" w14:paraId="6645CB6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0A12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0CC686D"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extensões elétricas para alimentação dos equipamentos,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3CCED81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cabos com aproximadamente 20 metros</w:t>
            </w:r>
          </w:p>
        </w:tc>
      </w:tr>
      <w:tr w:rsidR="00B53ACD" w14:paraId="066FF7D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E99A8FB"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7F4684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sala e/ou contêiner próximo à frente de trabalho, com estrutura mínima para utilização como escritório/laboratório de apoio às análises e elaboração documental;</w:t>
            </w:r>
          </w:p>
        </w:tc>
        <w:tc>
          <w:tcPr>
            <w:tcW w:w="2576" w:type="dxa"/>
            <w:tcBorders>
              <w:top w:val="single" w:sz="4" w:space="0" w:color="auto"/>
              <w:left w:val="single" w:sz="4" w:space="0" w:color="auto"/>
              <w:bottom w:val="single" w:sz="4" w:space="0" w:color="auto"/>
              <w:right w:val="single" w:sz="4" w:space="0" w:color="auto"/>
            </w:tcBorders>
            <w:noWrap/>
            <w:vAlign w:val="bottom"/>
          </w:tcPr>
          <w:p w14:paraId="465002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2CBAC6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3291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UTILIDADES</w:t>
            </w:r>
          </w:p>
        </w:tc>
      </w:tr>
      <w:tr w:rsidR="00B53ACD" w14:paraId="2EC0D4A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AA28201"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76220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água limpa, visualmente translúcida, em volume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4A941A46"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F53431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6AB1A1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D14646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todo o óleo necessário à execução do flushing primário, isento de água e em condições adequadas de uso;</w:t>
            </w:r>
          </w:p>
        </w:tc>
        <w:tc>
          <w:tcPr>
            <w:tcW w:w="2576" w:type="dxa"/>
            <w:tcBorders>
              <w:top w:val="single" w:sz="4" w:space="0" w:color="auto"/>
              <w:left w:val="single" w:sz="4" w:space="0" w:color="auto"/>
              <w:bottom w:val="single" w:sz="4" w:space="0" w:color="auto"/>
              <w:right w:val="single" w:sz="4" w:space="0" w:color="auto"/>
            </w:tcBorders>
            <w:noWrap/>
            <w:vAlign w:val="bottom"/>
          </w:tcPr>
          <w:p w14:paraId="725DB0C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 volume de óleo terá que preencher a tubulação e o reservatório da unidade hidráulica até o nível seguro para operação</w:t>
            </w:r>
          </w:p>
        </w:tc>
      </w:tr>
      <w:tr w:rsidR="00B53ACD" w14:paraId="4D8D524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42AFB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15CB75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iluminação adequada para execução de atividades em período noturno, quando aplicável;</w:t>
            </w:r>
          </w:p>
        </w:tc>
        <w:tc>
          <w:tcPr>
            <w:tcW w:w="2576" w:type="dxa"/>
            <w:tcBorders>
              <w:top w:val="single" w:sz="4" w:space="0" w:color="auto"/>
              <w:left w:val="single" w:sz="4" w:space="0" w:color="auto"/>
              <w:bottom w:val="single" w:sz="4" w:space="0" w:color="auto"/>
              <w:right w:val="single" w:sz="4" w:space="0" w:color="auto"/>
            </w:tcBorders>
            <w:noWrap/>
            <w:vAlign w:val="bottom"/>
          </w:tcPr>
          <w:p w14:paraId="5CF211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7BFDA1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19ADE7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D553F3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energia elétrica compatível com os equipamentos a serem utilizados, sendo 220V monofásico e 380V trifásico, com capacidade mínima de 110 amperes;</w:t>
            </w:r>
          </w:p>
        </w:tc>
        <w:tc>
          <w:tcPr>
            <w:tcW w:w="2576" w:type="dxa"/>
            <w:tcBorders>
              <w:top w:val="single" w:sz="4" w:space="0" w:color="auto"/>
              <w:left w:val="single" w:sz="4" w:space="0" w:color="auto"/>
              <w:bottom w:val="single" w:sz="4" w:space="0" w:color="auto"/>
              <w:right w:val="single" w:sz="4" w:space="0" w:color="auto"/>
            </w:tcBorders>
            <w:noWrap/>
            <w:vAlign w:val="bottom"/>
          </w:tcPr>
          <w:p w14:paraId="7A660AF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83C8D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61E398F"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60930C4C"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ar comprimido limpo e seco em quantidade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44BA84A"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4B37F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BBCD58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6581AF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Fornecimento de diesel para equipamentos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5D106DA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B1DFF9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AE1310"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C207E0">
              <w:rPr>
                <w:rFonts w:ascii="Arial" w:eastAsia="Times New Roman" w:hAnsi="Arial" w:cs="Arial"/>
                <w:b/>
                <w:color w:val="000000"/>
                <w:sz w:val="16"/>
                <w:szCs w:val="16"/>
                <w:lang w:eastAsia="pt-BR"/>
              </w:rPr>
              <w:t>ACESSIBILIDADE E APOIO DE CAMPO</w:t>
            </w:r>
          </w:p>
        </w:tc>
      </w:tr>
      <w:tr w:rsidR="00B53ACD" w14:paraId="5888BEC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E409B9"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55AFF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andaimes, plataformas e passarelas, devidamente aterrados e em conformidade com os padrões de segurança exigidos na obra,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054C3B3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9D4EC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10C375C"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CB46E1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041992">
              <w:rPr>
                <w:rFonts w:ascii="Arial" w:eastAsia="Times New Roman" w:hAnsi="Arial" w:cs="Arial"/>
                <w:color w:val="000000"/>
                <w:sz w:val="16"/>
                <w:szCs w:val="16"/>
                <w:lang w:eastAsia="pt-BR"/>
              </w:rPr>
              <w:t>Garantia de liberação, acessibilidade e disponibilidade integral das frentes de serviço para execução das atividades pela Filtrovali, conforme cronograma previamente acordado entre as partes;</w:t>
            </w:r>
          </w:p>
        </w:tc>
        <w:tc>
          <w:tcPr>
            <w:tcW w:w="2576" w:type="dxa"/>
            <w:tcBorders>
              <w:top w:val="single" w:sz="4" w:space="0" w:color="auto"/>
              <w:left w:val="single" w:sz="4" w:space="0" w:color="auto"/>
              <w:bottom w:val="single" w:sz="4" w:space="0" w:color="auto"/>
              <w:right w:val="single" w:sz="4" w:space="0" w:color="auto"/>
            </w:tcBorders>
            <w:noWrap/>
            <w:vAlign w:val="bottom"/>
          </w:tcPr>
          <w:p w14:paraId="50EFF5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B8805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DE4388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7598622" w14:textId="77777777" w:rsidR="00B53ACD" w:rsidRPr="00B7534B"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 Fornec</w:t>
            </w:r>
            <w:r>
              <w:rPr>
                <w:rFonts w:ascii="Arial" w:eastAsia="Times New Roman" w:hAnsi="Arial" w:cs="Arial"/>
                <w:color w:val="000000"/>
                <w:sz w:val="16"/>
                <w:szCs w:val="16"/>
                <w:lang w:eastAsia="pt-BR"/>
              </w:rPr>
              <w:t>i</w:t>
            </w:r>
            <w:r w:rsidRPr="00B7534B">
              <w:rPr>
                <w:rFonts w:ascii="Arial" w:eastAsia="Times New Roman" w:hAnsi="Arial" w:cs="Arial"/>
                <w:color w:val="000000"/>
                <w:sz w:val="16"/>
                <w:szCs w:val="16"/>
                <w:lang w:eastAsia="pt-BR"/>
              </w:rPr>
              <w:t xml:space="preserve">mento de área apropriada para armazenamento de produtos e realização dos serviços de limpeza química com contenção e cobertura para os processos de enchimento, pulverização e </w:t>
            </w:r>
          </w:p>
          <w:p w14:paraId="507BA031" w14:textId="77777777" w:rsidR="00B53ACD" w:rsidRPr="00A50C1C"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circulação pressurizada;</w:t>
            </w:r>
          </w:p>
        </w:tc>
        <w:tc>
          <w:tcPr>
            <w:tcW w:w="2576" w:type="dxa"/>
            <w:tcBorders>
              <w:top w:val="single" w:sz="4" w:space="0" w:color="auto"/>
              <w:left w:val="single" w:sz="4" w:space="0" w:color="auto"/>
              <w:bottom w:val="single" w:sz="4" w:space="0" w:color="auto"/>
              <w:right w:val="single" w:sz="4" w:space="0" w:color="auto"/>
            </w:tcBorders>
            <w:noWrap/>
            <w:vAlign w:val="bottom"/>
          </w:tcPr>
          <w:p w14:paraId="31BD497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55CDB4"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20A48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SEGURANÇA, DOCUMENTAÇÃO E CONFORMIDADE</w:t>
            </w:r>
          </w:p>
        </w:tc>
      </w:tr>
      <w:tr w:rsidR="00B53ACD" w14:paraId="7AFFBB1C"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BC13E5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F827D0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Elaboração e liberação da Análise Preliminar de Risco (APR) e da Permissão de Trabalho (PT), conforme exigências da obra;</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C03708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02A594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FBA0E7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FCAD23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Aprovação e liberação dos Boletins de Medição no prazo máximo de 48 (quarenta e oito) horas após seu envio. Na ausência de manifestação dentro deste prazo, os boletins serão considerados automaticamente aprovados para fins de faturamento;</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2EF44A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990E3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3AF7D4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E666CD4"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Emissão de atestado de capacidade técnica ao término da execução contratual, como registro formal da prestação dos serviços realizados;</w:t>
            </w:r>
          </w:p>
        </w:tc>
        <w:tc>
          <w:tcPr>
            <w:tcW w:w="2576" w:type="dxa"/>
            <w:tcBorders>
              <w:top w:val="single" w:sz="4" w:space="0" w:color="auto"/>
              <w:left w:val="single" w:sz="4" w:space="0" w:color="auto"/>
              <w:bottom w:val="single" w:sz="4" w:space="0" w:color="auto"/>
              <w:right w:val="single" w:sz="4" w:space="0" w:color="auto"/>
            </w:tcBorders>
            <w:noWrap/>
            <w:vAlign w:val="bottom"/>
          </w:tcPr>
          <w:p w14:paraId="1A69DEE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D384D3"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hideMark/>
          </w:tcPr>
          <w:p w14:paraId="0CC467E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MEIO AMBIENTE</w:t>
            </w:r>
          </w:p>
        </w:tc>
      </w:tr>
      <w:tr w:rsidR="00B53ACD" w14:paraId="04F7303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9B866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8082B3"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Responsabilidade pelo gerenciamento, transporte</w:t>
            </w: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 destinação final</w:t>
            </w:r>
            <w:r>
              <w:rPr>
                <w:rFonts w:ascii="Arial" w:eastAsia="Times New Roman" w:hAnsi="Arial" w:cs="Arial"/>
                <w:color w:val="000000"/>
                <w:sz w:val="16"/>
                <w:szCs w:val="16"/>
                <w:lang w:eastAsia="pt-BR"/>
              </w:rPr>
              <w:t xml:space="preserve"> adequada </w:t>
            </w:r>
            <w:r w:rsidRPr="00B444C3">
              <w:rPr>
                <w:rFonts w:ascii="Arial" w:eastAsia="Times New Roman" w:hAnsi="Arial" w:cs="Arial"/>
                <w:color w:val="000000"/>
                <w:sz w:val="16"/>
                <w:szCs w:val="16"/>
                <w:lang w:eastAsia="pt-BR"/>
              </w:rPr>
              <w:t>dos efluentes e demais resíduos gerados durante a execução dos serviços</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7022DFF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Pr="00AD1336">
        <w:rPr>
          <w:rFonts w:ascii="Arial" w:eastAsia="Arial" w:hAnsi="Arial"/>
          <w:b/>
          <w:bCs/>
          <w:sz w:val="20"/>
          <w:szCs w:val="20"/>
        </w:rPr>
        <w:fldChar w:fldCharType="begin"/>
      </w:r>
      <w:r w:rsidRPr="00AD1336">
        <w:rPr>
          <w:rFonts w:ascii="Arial" w:eastAsia="Arial" w:hAnsi="Arial"/>
          <w:b/>
          <w:bCs/>
          <w:sz w:val="20"/>
          <w:szCs w:val="20"/>
        </w:rPr>
        <w:instrText xml:space="preserve"> MERGEFIELD prev_atende </w:instrText>
      </w:r>
      <w:r w:rsidRPr="00AD1336">
        <w:rPr>
          <w:rFonts w:ascii="Arial" w:eastAsia="Arial" w:hAnsi="Arial"/>
          <w:b/>
          <w:bCs/>
          <w:sz w:val="20"/>
          <w:szCs w:val="20"/>
        </w:rPr>
        <w:fldChar w:fldCharType="separate"/>
      </w:r>
      <w:r w:rsidR="00846231" w:rsidRPr="001A01A7">
        <w:rPr>
          <w:rFonts w:ascii="Arial" w:eastAsia="Arial" w:hAnsi="Arial"/>
          <w:b/>
          <w:bCs/>
          <w:noProof/>
          <w:sz w:val="20"/>
          <w:szCs w:val="20"/>
        </w:rPr>
        <w:t>15</w:t>
      </w:r>
      <w:r w:rsidRPr="00AD1336">
        <w:rPr>
          <w:rFonts w:ascii="Arial" w:eastAsia="Arial" w:hAnsi="Arial"/>
          <w:b/>
          <w:bCs/>
          <w:sz w:val="20"/>
          <w:szCs w:val="20"/>
        </w:rPr>
        <w:fldChar w:fldCharType="end"/>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 </w:instrText>
      </w:r>
      <w:r w:rsidRPr="00534643">
        <w:rPr>
          <w:rFonts w:ascii="Arial" w:eastAsia="Arial" w:hAnsi="Arial"/>
          <w:sz w:val="20"/>
          <w:szCs w:val="20"/>
        </w:rPr>
        <w:fldChar w:fldCharType="separate"/>
      </w:r>
      <w:r w:rsidR="00846231" w:rsidRPr="001A01A7">
        <w:rPr>
          <w:rFonts w:ascii="Arial" w:eastAsia="Arial" w:hAnsi="Arial"/>
          <w:noProof/>
          <w:sz w:val="20"/>
          <w:szCs w:val="20"/>
        </w:rPr>
        <w:t>35</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dias_treinamento </w:instrText>
      </w:r>
      <w:r w:rsidRPr="00534643">
        <w:rPr>
          <w:rFonts w:ascii="Arial" w:eastAsia="Arial" w:hAnsi="Arial"/>
          <w:sz w:val="20"/>
          <w:szCs w:val="20"/>
        </w:rPr>
        <w:fldChar w:fldCharType="separate"/>
      </w:r>
      <w:r w:rsidR="00846231" w:rsidRPr="001A01A7">
        <w:rPr>
          <w:rFonts w:ascii="Arial" w:eastAsia="Arial" w:hAnsi="Arial"/>
          <w:noProof/>
          <w:sz w:val="20"/>
          <w:szCs w:val="20"/>
        </w:rPr>
        <w:t>1</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Pr="00534643">
        <w:rPr>
          <w:rFonts w:ascii="Arial" w:eastAsia="Arial" w:hAnsi="Arial"/>
          <w:sz w:val="20"/>
          <w:szCs w:val="20"/>
        </w:rPr>
        <w:fldChar w:fldCharType="begin"/>
      </w:r>
      <w:r w:rsidRPr="00534643">
        <w:rPr>
          <w:rFonts w:ascii="Arial" w:eastAsia="Arial" w:hAnsi="Arial"/>
          <w:sz w:val="20"/>
          <w:szCs w:val="20"/>
        </w:rPr>
        <w:instrText xml:space="preserve"> MERGEFIELD n_dias_trabalhados </w:instrText>
      </w:r>
      <w:r w:rsidRPr="00534643">
        <w:rPr>
          <w:rFonts w:ascii="Arial" w:eastAsia="Arial" w:hAnsi="Arial"/>
          <w:sz w:val="20"/>
          <w:szCs w:val="20"/>
        </w:rPr>
        <w:fldChar w:fldCharType="separate"/>
      </w:r>
      <w:r w:rsidR="00846231" w:rsidRPr="001A01A7">
        <w:rPr>
          <w:rFonts w:ascii="Arial" w:eastAsia="Arial" w:hAnsi="Arial"/>
          <w:noProof/>
          <w:sz w:val="20"/>
          <w:szCs w:val="20"/>
        </w:rPr>
        <w:t>24</w:t>
      </w:r>
      <w:r w:rsidRPr="00534643">
        <w:rPr>
          <w:rFonts w:ascii="Arial" w:eastAsia="Arial" w:hAnsi="Arial"/>
          <w:sz w:val="20"/>
          <w:szCs w:val="20"/>
        </w:rPr>
        <w:fldChar w:fldCharType="end"/>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Pr="00534643">
        <w:rPr>
          <w:rFonts w:ascii="Arial" w:eastAsia="Arial" w:hAnsi="Arial"/>
          <w:sz w:val="20"/>
          <w:szCs w:val="20"/>
        </w:rPr>
        <w:fldChar w:fldCharType="begin"/>
      </w:r>
      <w:r w:rsidRPr="00534643">
        <w:rPr>
          <w:rFonts w:ascii="Arial" w:eastAsia="Arial" w:hAnsi="Arial"/>
          <w:sz w:val="20"/>
          <w:szCs w:val="20"/>
        </w:rPr>
        <w:instrText xml:space="preserve"> MERGEFIELD dias_mob </w:instrText>
      </w:r>
      <w:r w:rsidRPr="00534643">
        <w:rPr>
          <w:rFonts w:ascii="Arial" w:eastAsia="Arial" w:hAnsi="Arial"/>
          <w:sz w:val="20"/>
          <w:szCs w:val="20"/>
        </w:rPr>
        <w:fldChar w:fldCharType="separate"/>
      </w:r>
      <w:r w:rsidR="00846231" w:rsidRPr="001A01A7">
        <w:rPr>
          <w:rFonts w:ascii="Arial" w:eastAsia="Arial" w:hAnsi="Arial"/>
          <w:noProof/>
          <w:sz w:val="20"/>
          <w:szCs w:val="20"/>
        </w:rPr>
        <w:t>4</w:t>
      </w:r>
      <w:r w:rsidRPr="00534643">
        <w:rPr>
          <w:rFonts w:ascii="Arial" w:eastAsia="Arial" w:hAnsi="Arial"/>
          <w:sz w:val="20"/>
          <w:szCs w:val="20"/>
        </w:rPr>
        <w:fldChar w:fldCharType="end"/>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F61AE5" w:rsidRPr="00C04E0B">
        <w:rPr>
          <w:rFonts w:ascii="Arial" w:hAnsi="Arial" w:cs="Arial"/>
          <w:sz w:val="20"/>
          <w:szCs w:val="20"/>
        </w:rPr>
        <w:fldChar w:fldCharType="begin"/>
      </w:r>
      <w:r w:rsidR="00F61AE5" w:rsidRPr="00C04E0B">
        <w:rPr>
          <w:rFonts w:ascii="Arial" w:hAnsi="Arial" w:cs="Arial"/>
          <w:sz w:val="20"/>
          <w:szCs w:val="20"/>
        </w:rPr>
        <w:instrText xml:space="preserve"> MERGEFIELD validadeProp </w:instrText>
      </w:r>
      <w:r w:rsidR="00F61AE5" w:rsidRPr="00C04E0B">
        <w:rPr>
          <w:rFonts w:ascii="Arial" w:hAnsi="Arial" w:cs="Arial"/>
          <w:sz w:val="20"/>
          <w:szCs w:val="20"/>
        </w:rPr>
        <w:fldChar w:fldCharType="separate"/>
      </w:r>
      <w:r w:rsidR="00846231" w:rsidRPr="001A01A7">
        <w:rPr>
          <w:rFonts w:ascii="Arial" w:hAnsi="Arial" w:cs="Arial"/>
          <w:noProof/>
          <w:sz w:val="20"/>
          <w:szCs w:val="20"/>
        </w:rPr>
        <w:t>10</w:t>
      </w:r>
      <w:r w:rsidR="00F61AE5" w:rsidRPr="00C04E0B">
        <w:rPr>
          <w:rFonts w:ascii="Arial" w:hAnsi="Arial" w:cs="Arial"/>
          <w:sz w:val="20"/>
          <w:szCs w:val="20"/>
        </w:rPr>
        <w:fldChar w:fldCharType="end"/>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jc w:val="center"/>
      <w:rPr>
        <w:rFonts w:ascii="Arial" w:hAnsi="Arial" w:cs="Arial"/>
        <w:b/>
        <w:sz w:val="26"/>
        <w:szCs w:val="26"/>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970A3C">
      <w:rPr>
        <w:rFonts w:ascii="Arial" w:hAnsi="Arial" w:cs="Arial"/>
        <w:b/>
        <w:sz w:val="26"/>
        <w:szCs w:val="26"/>
      </w:rPr>
      <w:t xml:space="preserve">                                                                                                </w:t>
    </w:r>
    <w:r w:rsidR="004E567F">
      <w:rPr>
        <w:rFonts w:ascii="Arial" w:hAnsi="Arial" w:cs="Arial"/>
        <w:b/>
        <w:sz w:val="20"/>
        <w:szCs w:val="20"/>
      </w:rPr>
      <w:fldChar w:fldCharType="begin"/>
    </w:r>
    <w:r w:rsidR="004E567F">
      <w:rPr>
        <w:rFonts w:ascii="Arial" w:hAnsi="Arial" w:cs="Arial"/>
        <w:b/>
        <w:sz w:val="20"/>
        <w:szCs w:val="20"/>
      </w:rPr>
      <w:instrText xml:space="preserve"> MERGEFIELD data_texto </w:instrText>
    </w:r>
    <w:r w:rsidR="004E567F">
      <w:rPr>
        <w:rFonts w:ascii="Arial" w:hAnsi="Arial" w:cs="Arial"/>
        <w:b/>
        <w:sz w:val="20"/>
        <w:szCs w:val="20"/>
      </w:rPr>
      <w:fldChar w:fldCharType="separate"/>
    </w:r>
    <w:r w:rsidR="00846231" w:rsidRPr="001A01A7">
      <w:rPr>
        <w:rFonts w:ascii="Arial" w:hAnsi="Arial" w:cs="Arial"/>
        <w:b/>
        <w:noProof/>
        <w:sz w:val="20"/>
        <w:szCs w:val="20"/>
      </w:rPr>
      <w:t>07 de janeiro de 2026</w:t>
    </w:r>
    <w:r w:rsidR="004E567F">
      <w:rPr>
        <w:rFonts w:ascii="Arial" w:hAnsi="Arial" w:cs="Arial"/>
        <w:b/>
        <w:sz w:val="20"/>
        <w:szCs w:val="20"/>
      </w:rPr>
      <w:fldChar w:fldCharType="end"/>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