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visita técnica.</w:t>
      </w:r>
    </w:p>
    <w:p w14:paraId="6C00CC1C" w14:textId="77777777" w:rsidR="002B29F2" w:rsidRPr="002B29F2" w:rsidRDefault="002B29F2" w:rsidP="00931F5A">
      <w:pPr>
        <w:pStyle w:val="PargrafodaLista"/>
        <w:spacing w:after="0" w:line="240" w:lineRule="auto"/>
        <w:ind w:left="1068"/>
        <w:jc w:val="both"/>
      </w:pPr>
    </w:p>
    <w:p w14:paraId="50933C9D" w14:textId="4861D3A2"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limpeza química em regime pressurizado e flushing primário em tubulações de sistemas hidráulico e lubrificante, com as respectivas medidas</w:t>
      </w:r>
    </w:p>
    <w:p w14:paraId="3B893138" w14:textId="77777777" w:rsidR="00B53ACD" w:rsidRPr="00581895" w:rsidRDefault="00B53ACD" w:rsidP="00B53ACD">
      <w:pPr>
        <w:pStyle w:val="PargrafodaLista"/>
        <w:spacing w:after="0" w:line="240" w:lineRule="auto"/>
        <w:ind w:left="1068"/>
        <w:jc w:val="both"/>
      </w:pPr>
    </w:p>
    <w:p w14:paraId="1932178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flushing secundário em aproximadamente litros de óleo;</w:t>
      </w:r>
    </w:p>
    <w:p w14:paraId="31BE2669" w14:textId="77777777" w:rsidR="00B53ACD" w:rsidRPr="00581895" w:rsidRDefault="00B53ACD" w:rsidP="00B53ACD">
      <w:pPr>
        <w:pStyle w:val="PargrafodaLista"/>
        <w:rPr>
          <w:rFonts w:ascii="Arial" w:hAnsi="Arial" w:cs="Arial"/>
          <w:sz w:val="20"/>
          <w:szCs w:val="20"/>
        </w:rPr>
      </w:pPr>
    </w:p>
    <w:p w14:paraId="66D447BC"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 xml:space="preserve"> Serviço especializado em mão de obra e execução técnica na manutenção e filtragem absoluta em aproximadamente litros de óleo;</w:t>
      </w:r>
    </w:p>
    <w:p w14:paraId="78D0DCF9" w14:textId="77777777" w:rsidR="00B53ACD" w:rsidRPr="00581895" w:rsidRDefault="00B53ACD" w:rsidP="00B53ACD">
      <w:pPr>
        <w:pStyle w:val="PargrafodaLista"/>
        <w:rPr>
          <w:rFonts w:ascii="Arial" w:hAnsi="Arial" w:cs="Arial"/>
          <w:sz w:val="20"/>
          <w:szCs w:val="20"/>
        </w:rPr>
      </w:pPr>
    </w:p>
    <w:p w14:paraId="7FBA28F3"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desidratação em aproximadamente litros de óleo;</w:t>
      </w:r>
    </w:p>
    <w:p w14:paraId="23C1F315" w14:textId="77777777" w:rsidR="00B53ACD" w:rsidRPr="00581895" w:rsidRDefault="00B53ACD" w:rsidP="00B53ACD">
      <w:pPr>
        <w:pStyle w:val="PargrafodaLista"/>
        <w:rPr>
          <w:rFonts w:ascii="Arial" w:hAnsi="Arial" w:cs="Arial"/>
          <w:sz w:val="20"/>
          <w:szCs w:val="20"/>
        </w:rPr>
      </w:pPr>
    </w:p>
    <w:p w14:paraId="62972965"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teste hidrostático;</w:t>
      </w:r>
    </w:p>
    <w:p w14:paraId="5C1BED71" w14:textId="77777777" w:rsidR="00B53ACD" w:rsidRPr="00581895" w:rsidRDefault="00B53ACD" w:rsidP="00B53ACD">
      <w:pPr>
        <w:pStyle w:val="PargrafodaLista"/>
        <w:rPr>
          <w:rFonts w:ascii="Arial" w:hAnsi="Arial" w:cs="Arial"/>
          <w:sz w:val="20"/>
          <w:szCs w:val="20"/>
        </w:rPr>
      </w:pPr>
    </w:p>
    <w:p w14:paraId="3670FB84"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limpeza interna de reservatório;</w:t>
      </w:r>
    </w:p>
    <w:p w14:paraId="276DCD46" w14:textId="77777777" w:rsidR="00B53ACD" w:rsidRPr="00581895" w:rsidRDefault="00B53ACD" w:rsidP="00B53ACD">
      <w:pPr>
        <w:pStyle w:val="PargrafodaLista"/>
        <w:rPr>
          <w:rFonts w:ascii="Arial" w:hAnsi="Arial" w:cs="Arial"/>
          <w:sz w:val="20"/>
          <w:szCs w:val="20"/>
        </w:rPr>
      </w:pPr>
    </w:p>
    <w:p w14:paraId="3A68B37F" w14:textId="77777777"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drenagem e abastecimento de óleo;</w:t>
      </w:r>
    </w:p>
    <w:p w14:paraId="5DBAEA66" w14:textId="77777777" w:rsidR="00B53ACD" w:rsidRPr="00581895" w:rsidRDefault="00B53ACD" w:rsidP="00B53ACD">
      <w:pPr>
        <w:pStyle w:val="PargrafodaLista"/>
        <w:rPr>
          <w:rFonts w:ascii="Arial" w:hAnsi="Arial" w:cs="Arial"/>
          <w:sz w:val="20"/>
          <w:szCs w:val="20"/>
        </w:rPr>
      </w:pPr>
    </w:p>
    <w:p w14:paraId="0D57BA11" w14:textId="1E78C104" w:rsidR="00B30E23" w:rsidRPr="00B30E23" w:rsidRDefault="00B30E23"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w:t>
      </w:r>
      <w:r>
        <w:rPr>
          <w:rFonts w:ascii="Arial" w:hAnsi="Arial" w:cs="Arial"/>
          <w:sz w:val="20"/>
          <w:szCs w:val="20"/>
        </w:rPr>
        <w:t xml:space="preserve"> e desgaseificação em...</w:t>
      </w:r>
    </w:p>
    <w:p w14:paraId="7989DF96" w14:textId="77777777" w:rsidR="00B30E23" w:rsidRPr="00B30E23" w:rsidRDefault="00B30E23" w:rsidP="00B30E23">
      <w:pPr>
        <w:pStyle w:val="PargrafodaLista"/>
        <w:rPr>
          <w:rFonts w:ascii="Arial" w:hAnsi="Arial" w:cs="Arial"/>
          <w:sz w:val="20"/>
          <w:szCs w:val="20"/>
        </w:rPr>
      </w:pPr>
    </w:p>
    <w:p w14:paraId="66BF2E08" w14:textId="17A76EF0" w:rsidR="00B53ACD" w:rsidRPr="00581895" w:rsidRDefault="00B53ACD" w:rsidP="00B53ACD">
      <w:pPr>
        <w:pStyle w:val="PargrafodaLista"/>
        <w:numPr>
          <w:ilvl w:val="1"/>
          <w:numId w:val="2"/>
        </w:numPr>
        <w:spacing w:after="0" w:line="240" w:lineRule="auto"/>
        <w:jc w:val="both"/>
      </w:pPr>
      <w:r w:rsidRPr="00581895">
        <w:rPr>
          <w:rFonts w:ascii="Arial" w:hAnsi="Arial" w:cs="Arial"/>
          <w:sz w:val="20"/>
          <w:szCs w:val="20"/>
        </w:rPr>
        <w:t>Serviço especializado em mão de obra e execução técnica na manutenção e serviço de pré engenharia – Estudo detalhado antes da execução:</w:t>
      </w:r>
    </w:p>
    <w:p w14:paraId="4F55E716" w14:textId="77777777" w:rsidR="00B53ACD" w:rsidRDefault="00B53ACD" w:rsidP="00B53ACD">
      <w:pPr>
        <w:pStyle w:val="PargrafodaLista"/>
      </w:pPr>
    </w:p>
    <w:p w14:paraId="2D8F0C56"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lastRenderedPageBreak/>
        <w:t>Levantamento de dados e necessidade do cliente;</w:t>
      </w:r>
    </w:p>
    <w:p w14:paraId="63D914CF"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de desenhos e elaboração de fluxogramas do processo a ser realizado;</w:t>
      </w:r>
    </w:p>
    <w:p w14:paraId="1A0033AD"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Levantamento e identificação de utilidades necessárias;</w:t>
      </w:r>
    </w:p>
    <w:p w14:paraId="14CB2B99" w14:textId="77777777" w:rsidR="00B53ACD" w:rsidRPr="00886F53" w:rsidRDefault="00B53ACD" w:rsidP="00B53ACD">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Se necessário, definição de fabricação de provisórios necessários com antecedência;</w:t>
      </w:r>
    </w:p>
    <w:p w14:paraId="28F947D0" w14:textId="6DD7B84F" w:rsidR="00B53ACD" w:rsidRPr="002B29F2" w:rsidRDefault="00B53ACD" w:rsidP="002B29F2">
      <w:pPr>
        <w:pStyle w:val="PargrafodaLista"/>
        <w:numPr>
          <w:ilvl w:val="2"/>
          <w:numId w:val="2"/>
        </w:numPr>
        <w:spacing w:after="0" w:line="360" w:lineRule="auto"/>
        <w:jc w:val="both"/>
        <w:rPr>
          <w:rFonts w:ascii="Arial" w:hAnsi="Arial" w:cs="Arial"/>
          <w:sz w:val="20"/>
          <w:szCs w:val="20"/>
        </w:rPr>
      </w:pPr>
      <w:r w:rsidRPr="00886F53">
        <w:rPr>
          <w:rFonts w:ascii="Arial" w:hAnsi="Arial" w:cs="Arial"/>
          <w:sz w:val="20"/>
          <w:szCs w:val="20"/>
        </w:rPr>
        <w:t>Identificação e preparação quanto aos processos internos e as documentações, ambientais, segurança, meio ambiente e qualidade.</w:t>
      </w:r>
    </w:p>
    <w:p w14:paraId="2CB1C27E" w14:textId="77777777" w:rsidR="00B53ACD" w:rsidRDefault="00B53ACD" w:rsidP="00B53ACD">
      <w:pPr>
        <w:spacing w:after="0" w:line="240" w:lineRule="auto"/>
        <w:ind w:firstLine="708"/>
        <w:jc w:val="both"/>
        <w:rPr>
          <w:rFonts w:ascii="Calibri" w:eastAsia="Calibri" w:hAnsi="Calibri"/>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sidRPr="00E766DE">
              <w:rPr>
                <w:rFonts w:ascii="Arial" w:eastAsia="Times New Roman" w:hAnsi="Arial" w:cs="Arial"/>
                <w:b/>
                <w:bCs/>
                <w:color w:val="000000"/>
                <w:sz w:val="16"/>
                <w:szCs w:val="16"/>
                <w:lang w:eastAsia="pt-BR"/>
              </w:rPr>
              <w:t>MÃO DE OBRA E EQUIPE TÉCNICA</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Disponibilização de equipe técnica especializada para execução dos serviços contratados</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7E14FF3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75A2B55F" w14:textId="77777777" w:rsidR="00B53ACD" w:rsidRPr="00E766DE" w:rsidRDefault="00B53ACD" w:rsidP="00EF3D5A">
            <w:pPr>
              <w:spacing w:before="120" w:after="0" w:line="240" w:lineRule="auto"/>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EQUIPAMENTOS E FERRAMENTAS</w:t>
            </w:r>
          </w:p>
        </w:tc>
      </w:tr>
      <w:tr w:rsidR="00B53ACD" w14:paraId="4F99502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68FA4A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FAC0251" w14:textId="77777777" w:rsidR="00B53ACD" w:rsidRPr="00FD72A9" w:rsidRDefault="00B53ACD" w:rsidP="00EF3D5A">
            <w:pPr>
              <w:spacing w:before="120" w:after="0" w:line="360" w:lineRule="auto"/>
              <w:jc w:val="both"/>
              <w:rPr>
                <w:rFonts w:ascii="Arial" w:eastAsia="Times New Roman" w:hAnsi="Arial" w:cs="Arial"/>
                <w:color w:val="000000"/>
                <w:sz w:val="16"/>
                <w:szCs w:val="16"/>
                <w:lang w:eastAsia="pt-BR"/>
              </w:rPr>
            </w:pPr>
            <w:r w:rsidRPr="00FD72A9">
              <w:rPr>
                <w:rFonts w:ascii="Arial" w:eastAsia="Times New Roman" w:hAnsi="Arial" w:cs="Arial"/>
                <w:color w:val="000000"/>
                <w:sz w:val="16"/>
                <w:szCs w:val="16"/>
                <w:lang w:eastAsia="pt-BR"/>
              </w:rPr>
              <w:t xml:space="preserve">Fornecimento de equipamentos necessários à execução, incluindo: </w:t>
            </w:r>
          </w:p>
          <w:p w14:paraId="14E1B5FE"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limpeza química</w:t>
            </w:r>
          </w:p>
          <w:p w14:paraId="320F9F9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pneumática</w:t>
            </w:r>
          </w:p>
          <w:p w14:paraId="1C699D2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primário</w:t>
            </w:r>
          </w:p>
          <w:p w14:paraId="1ABD9C7C"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filtragem absoluta/transferência</w:t>
            </w:r>
          </w:p>
          <w:p w14:paraId="7728FBF0"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unidade de flushing secundário</w:t>
            </w:r>
          </w:p>
          <w:p w14:paraId="7A561D8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 xml:space="preserve">termovácuo, </w:t>
            </w:r>
          </w:p>
          <w:p w14:paraId="54B86B56"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centrífuga</w:t>
            </w:r>
          </w:p>
          <w:p w14:paraId="41FA963D"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trafo 440/380</w:t>
            </w:r>
          </w:p>
          <w:p w14:paraId="45626D6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teste hidrostático</w:t>
            </w:r>
          </w:p>
          <w:p w14:paraId="6C0B56E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bomba de run out</w:t>
            </w:r>
          </w:p>
          <w:p w14:paraId="0A114033" w14:textId="77777777" w:rsidR="00B53ACD" w:rsidRPr="00FD72A9"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R</w:t>
            </w:r>
            <w:r w:rsidRPr="00FD72A9">
              <w:rPr>
                <w:rFonts w:ascii="Arial" w:eastAsia="Times New Roman" w:hAnsi="Arial" w:cs="Arial"/>
                <w:color w:val="000000"/>
                <w:sz w:val="16"/>
                <w:szCs w:val="16"/>
                <w:lang w:eastAsia="pt-BR"/>
              </w:rPr>
              <w:t xml:space="preserve">eservatórios para armazenamento </w:t>
            </w:r>
            <w:r>
              <w:rPr>
                <w:rFonts w:ascii="Arial" w:eastAsia="Times New Roman" w:hAnsi="Arial" w:cs="Arial"/>
                <w:color w:val="000000"/>
                <w:sz w:val="16"/>
                <w:szCs w:val="16"/>
                <w:lang w:eastAsia="pt-BR"/>
              </w:rPr>
              <w:t xml:space="preserve">(IBC 1000l) </w:t>
            </w:r>
            <w:r w:rsidRPr="00FD72A9">
              <w:rPr>
                <w:rFonts w:ascii="Arial" w:eastAsia="Times New Roman" w:hAnsi="Arial" w:cs="Arial"/>
                <w:color w:val="000000"/>
                <w:sz w:val="16"/>
                <w:szCs w:val="16"/>
                <w:lang w:eastAsia="pt-BR"/>
              </w:rPr>
              <w:t>temporário de efluente e óleo</w:t>
            </w:r>
          </w:p>
          <w:p w14:paraId="52D89036"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Kittiwake</w:t>
            </w:r>
          </w:p>
          <w:p w14:paraId="59213D7C" w14:textId="77777777" w:rsidR="00B53ACD"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1 </w:t>
            </w:r>
            <w:r w:rsidRPr="00FD72A9">
              <w:rPr>
                <w:rFonts w:ascii="Arial" w:eastAsia="Times New Roman" w:hAnsi="Arial" w:cs="Arial"/>
                <w:color w:val="000000"/>
                <w:sz w:val="16"/>
                <w:szCs w:val="16"/>
                <w:lang w:eastAsia="pt-BR"/>
              </w:rPr>
              <w:t>contador eletrônico de partículas a laser</w:t>
            </w:r>
          </w:p>
          <w:p w14:paraId="6B409E07" w14:textId="77777777" w:rsidR="00B53ACD" w:rsidRPr="00A50C1C" w:rsidRDefault="00B53ACD" w:rsidP="00B53ACD">
            <w:pPr>
              <w:pStyle w:val="PargrafodaLista"/>
              <w:numPr>
                <w:ilvl w:val="0"/>
                <w:numId w:val="8"/>
              </w:numPr>
              <w:spacing w:before="120" w:after="0" w:line="36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1 hidrojato 20k/40k</w:t>
            </w:r>
          </w:p>
        </w:tc>
        <w:tc>
          <w:tcPr>
            <w:tcW w:w="2607" w:type="dxa"/>
            <w:tcBorders>
              <w:top w:val="single" w:sz="4" w:space="0" w:color="auto"/>
              <w:left w:val="single" w:sz="4" w:space="0" w:color="auto"/>
              <w:bottom w:val="single" w:sz="4" w:space="0" w:color="auto"/>
              <w:right w:val="single" w:sz="4" w:space="0" w:color="auto"/>
            </w:tcBorders>
            <w:noWrap/>
            <w:vAlign w:val="bottom"/>
          </w:tcPr>
          <w:p w14:paraId="28FB668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291A04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7A43BA9" w14:textId="77777777" w:rsidR="00B53ACD" w:rsidRPr="00E766DE"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MATERIAIS E CONSUMÍVEIS E UTILIDADES</w:t>
            </w:r>
          </w:p>
        </w:tc>
      </w:tr>
      <w:tr w:rsidR="00B53ACD" w14:paraId="7DF0E5E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7BEB47D"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5A1EDA1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95851">
              <w:rPr>
                <w:rFonts w:ascii="Arial" w:eastAsia="Times New Roman" w:hAnsi="Arial" w:cs="Arial"/>
                <w:color w:val="000000"/>
                <w:sz w:val="16"/>
                <w:szCs w:val="16"/>
                <w:lang w:eastAsia="pt-BR"/>
              </w:rPr>
              <w:t>Fornecimento de todos os insumos operacionais, incluindo filtros, produtos químicos, manômetros, mangueiras e demais consumíveis necessários à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tcPr>
          <w:p w14:paraId="6CA12AB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10CC0C6"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1DB0C1EF" w14:textId="77777777" w:rsidR="00B53ACD" w:rsidRPr="00EB3C87" w:rsidRDefault="00B53ACD" w:rsidP="00EF3D5A">
            <w:pPr>
              <w:spacing w:before="120" w:after="0" w:line="240" w:lineRule="auto"/>
              <w:jc w:val="both"/>
              <w:rPr>
                <w:rFonts w:ascii="Arial" w:eastAsia="Times New Roman" w:hAnsi="Arial" w:cs="Arial"/>
                <w:b/>
                <w:bCs/>
                <w:color w:val="000000"/>
                <w:sz w:val="16"/>
                <w:szCs w:val="16"/>
                <w:lang w:eastAsia="pt-BR"/>
              </w:rPr>
            </w:pPr>
            <w:r>
              <w:rPr>
                <w:rFonts w:ascii="Arial" w:eastAsia="Times New Roman" w:hAnsi="Arial" w:cs="Arial"/>
                <w:b/>
                <w:bCs/>
                <w:color w:val="000000"/>
                <w:sz w:val="16"/>
                <w:szCs w:val="16"/>
                <w:lang w:eastAsia="pt-BR"/>
              </w:rPr>
              <w:t xml:space="preserve">LOGÍSTICA </w:t>
            </w:r>
          </w:p>
        </w:tc>
      </w:tr>
      <w:tr w:rsidR="00B53ACD" w14:paraId="188B5C0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14C2255"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60CDC56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Pr>
                <w:rFonts w:ascii="Arial" w:eastAsia="Times New Roman" w:hAnsi="Arial" w:cs="Arial"/>
                <w:sz w:val="16"/>
                <w:szCs w:val="16"/>
                <w:lang w:eastAsia="pt-BR"/>
              </w:rPr>
              <w:t>Um v</w:t>
            </w:r>
            <w:r w:rsidRPr="00BC3365">
              <w:rPr>
                <w:rFonts w:ascii="Arial" w:eastAsia="Times New Roman" w:hAnsi="Arial" w:cs="Arial"/>
                <w:sz w:val="16"/>
                <w:szCs w:val="16"/>
                <w:lang w:eastAsia="pt-BR"/>
              </w:rPr>
              <w:t xml:space="preserve">eículo com combustível para translado </w:t>
            </w:r>
            <w:r>
              <w:rPr>
                <w:rFonts w:ascii="Arial" w:eastAsia="Times New Roman" w:hAnsi="Arial" w:cs="Arial"/>
                <w:sz w:val="16"/>
                <w:szCs w:val="16"/>
                <w:lang w:eastAsia="pt-BR"/>
              </w:rPr>
              <w:t xml:space="preserve">de </w:t>
            </w:r>
            <w:r w:rsidRPr="00BC3365">
              <w:rPr>
                <w:rFonts w:ascii="Arial" w:eastAsia="Times New Roman" w:hAnsi="Arial" w:cs="Arial"/>
                <w:sz w:val="16"/>
                <w:szCs w:val="16"/>
                <w:lang w:eastAsia="pt-BR"/>
              </w:rPr>
              <w:t>hotel</w:t>
            </w:r>
            <w:r>
              <w:rPr>
                <w:rFonts w:ascii="Arial" w:eastAsia="Times New Roman" w:hAnsi="Arial" w:cs="Arial"/>
                <w:sz w:val="16"/>
                <w:szCs w:val="16"/>
                <w:lang w:eastAsia="pt-BR"/>
              </w:rPr>
              <w:t>/</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 xml:space="preserve"> e </w:t>
            </w:r>
            <w:r w:rsidRPr="00BC3365">
              <w:rPr>
                <w:rFonts w:ascii="Arial" w:eastAsia="Times New Roman" w:hAnsi="Arial" w:cs="Arial"/>
                <w:sz w:val="16"/>
                <w:szCs w:val="16"/>
                <w:lang w:eastAsia="pt-BR"/>
              </w:rPr>
              <w:t>obra</w:t>
            </w:r>
            <w:r>
              <w:rPr>
                <w:rFonts w:ascii="Arial" w:eastAsia="Times New Roman" w:hAnsi="Arial" w:cs="Arial"/>
                <w:sz w:val="16"/>
                <w:szCs w:val="16"/>
                <w:lang w:eastAsia="pt-BR"/>
              </w:rPr>
              <w:t>/</w:t>
            </w:r>
            <w:r w:rsidRPr="00BC3365">
              <w:rPr>
                <w:rFonts w:ascii="Arial" w:eastAsia="Times New Roman" w:hAnsi="Arial" w:cs="Arial"/>
                <w:sz w:val="16"/>
                <w:szCs w:val="16"/>
                <w:lang w:eastAsia="pt-BR"/>
              </w:rPr>
              <w:t>hotel;</w:t>
            </w:r>
          </w:p>
        </w:tc>
        <w:tc>
          <w:tcPr>
            <w:tcW w:w="2607" w:type="dxa"/>
            <w:tcBorders>
              <w:top w:val="single" w:sz="4" w:space="0" w:color="auto"/>
              <w:left w:val="single" w:sz="4" w:space="0" w:color="auto"/>
              <w:bottom w:val="single" w:sz="4" w:space="0" w:color="auto"/>
              <w:right w:val="single" w:sz="4" w:space="0" w:color="auto"/>
            </w:tcBorders>
            <w:noWrap/>
            <w:vAlign w:val="bottom"/>
          </w:tcPr>
          <w:p w14:paraId="511B1F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463E86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556636"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283EE2E9"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w:t>
            </w: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Realização de </w:t>
            </w:r>
            <w:r w:rsidRPr="00350B0E">
              <w:rPr>
                <w:rFonts w:ascii="Arial" w:eastAsia="Times New Roman" w:hAnsi="Arial" w:cs="Arial"/>
                <w:b/>
                <w:bCs/>
                <w:sz w:val="16"/>
                <w:szCs w:val="16"/>
                <w:lang w:eastAsia="pt-BR"/>
              </w:rPr>
              <w:t>01 (um)</w:t>
            </w:r>
            <w:r w:rsidRPr="00F72E7A">
              <w:rPr>
                <w:rFonts w:ascii="Arial" w:eastAsia="Times New Roman" w:hAnsi="Arial" w:cs="Arial"/>
                <w:sz w:val="16"/>
                <w:szCs w:val="16"/>
                <w:lang w:eastAsia="pt-BR"/>
              </w:rPr>
              <w:t xml:space="preserve"> evento de mobilização e desmobilização de equipamentos e equipe técnica;</w:t>
            </w:r>
          </w:p>
        </w:tc>
        <w:tc>
          <w:tcPr>
            <w:tcW w:w="2607" w:type="dxa"/>
            <w:tcBorders>
              <w:top w:val="single" w:sz="4" w:space="0" w:color="auto"/>
              <w:left w:val="single" w:sz="4" w:space="0" w:color="auto"/>
              <w:bottom w:val="single" w:sz="4" w:space="0" w:color="auto"/>
              <w:right w:val="single" w:sz="4" w:space="0" w:color="auto"/>
            </w:tcBorders>
            <w:noWrap/>
            <w:vAlign w:val="bottom"/>
          </w:tcPr>
          <w:p w14:paraId="0F93CE7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0F75CF9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7D743A1"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184A68A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Hospedagem da equipe </w:t>
            </w:r>
            <w:r>
              <w:rPr>
                <w:rFonts w:ascii="Arial" w:eastAsia="Times New Roman" w:hAnsi="Arial" w:cs="Arial"/>
                <w:sz w:val="16"/>
                <w:szCs w:val="16"/>
                <w:lang w:eastAsia="pt-BR"/>
              </w:rPr>
              <w:t xml:space="preserve">Filtrovali </w:t>
            </w:r>
            <w:r w:rsidRPr="00F72E7A">
              <w:rPr>
                <w:rFonts w:ascii="Arial" w:eastAsia="Times New Roman" w:hAnsi="Arial" w:cs="Arial"/>
                <w:sz w:val="16"/>
                <w:szCs w:val="16"/>
                <w:lang w:eastAsia="pt-BR"/>
              </w:rPr>
              <w:t>em acomodações individuais (duplas), com infraestrutura mínima incluindo internet, televisão e ar-condicionado;</w:t>
            </w:r>
          </w:p>
        </w:tc>
        <w:tc>
          <w:tcPr>
            <w:tcW w:w="2607" w:type="dxa"/>
            <w:tcBorders>
              <w:top w:val="single" w:sz="4" w:space="0" w:color="auto"/>
              <w:left w:val="single" w:sz="4" w:space="0" w:color="auto"/>
              <w:bottom w:val="single" w:sz="4" w:space="0" w:color="auto"/>
              <w:right w:val="single" w:sz="4" w:space="0" w:color="auto"/>
            </w:tcBorders>
            <w:noWrap/>
            <w:vAlign w:val="bottom"/>
          </w:tcPr>
          <w:p w14:paraId="799CCD1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3B67CFB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5A8B53C"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243D842F"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 fora das dependências da obra e fora do horário de expediente;</w:t>
            </w:r>
          </w:p>
        </w:tc>
        <w:tc>
          <w:tcPr>
            <w:tcW w:w="2607" w:type="dxa"/>
            <w:tcBorders>
              <w:top w:val="single" w:sz="4" w:space="0" w:color="auto"/>
              <w:left w:val="single" w:sz="4" w:space="0" w:color="auto"/>
              <w:bottom w:val="single" w:sz="4" w:space="0" w:color="auto"/>
              <w:right w:val="single" w:sz="4" w:space="0" w:color="auto"/>
            </w:tcBorders>
            <w:noWrap/>
            <w:vAlign w:val="bottom"/>
          </w:tcPr>
          <w:p w14:paraId="6704BA3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Será apresentado nota de débito</w:t>
            </w:r>
          </w:p>
        </w:tc>
      </w:tr>
      <w:tr w:rsidR="00B53ACD" w14:paraId="1B61D50A"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hideMark/>
          </w:tcPr>
          <w:p w14:paraId="1898076E" w14:textId="77777777" w:rsidR="00B53ACD" w:rsidRPr="00CA3DC3" w:rsidRDefault="00B53ACD" w:rsidP="00EF3D5A">
            <w:pPr>
              <w:spacing w:before="120" w:after="0" w:line="240" w:lineRule="auto"/>
              <w:jc w:val="both"/>
              <w:rPr>
                <w:rFonts w:ascii="Arial" w:eastAsia="Times New Roman" w:hAnsi="Arial" w:cs="Arial"/>
                <w:b/>
                <w:bCs/>
                <w:color w:val="000000"/>
                <w:sz w:val="16"/>
                <w:szCs w:val="16"/>
                <w:lang w:eastAsia="pt-BR"/>
              </w:rPr>
            </w:pPr>
            <w:r w:rsidRPr="00CA3DC3">
              <w:rPr>
                <w:rFonts w:ascii="Arial" w:eastAsia="Times New Roman" w:hAnsi="Arial" w:cs="Arial"/>
                <w:b/>
                <w:bCs/>
                <w:color w:val="000000"/>
                <w:sz w:val="16"/>
                <w:szCs w:val="16"/>
                <w:lang w:eastAsia="pt-BR"/>
              </w:rPr>
              <w:t>SEGURANÇA, DOCUMENTAÇÃO E FORMALIDADE</w:t>
            </w:r>
          </w:p>
        </w:tc>
      </w:tr>
      <w:tr w:rsidR="00B53ACD" w14:paraId="042B3C2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3369E74"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316975FF"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CD56E3">
              <w:rPr>
                <w:rFonts w:ascii="Arial" w:eastAsia="Times New Roman" w:hAnsi="Arial" w:cs="Arial"/>
                <w:color w:val="000000"/>
                <w:sz w:val="16"/>
                <w:szCs w:val="16"/>
                <w:lang w:eastAsia="pt-BR"/>
              </w:rPr>
              <w:t>Responsabilidade pelos encargos trabalhistas, previdenciários, tributos e demais obrigações legais incidentes sobre a execução dos serviços;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35E097C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922F1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9AE967B"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9CFB405" w14:textId="01C074A1"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0019610F">
              <w:rPr>
                <w:rFonts w:ascii="Arial" w:eastAsia="Times New Roman" w:hAnsi="Arial" w:cs="Arial"/>
                <w:color w:val="000000"/>
                <w:sz w:val="16"/>
                <w:szCs w:val="16"/>
                <w:lang w:eastAsia="pt-BR"/>
              </w:rPr>
              <w:t>PGR</w:t>
            </w:r>
            <w:r>
              <w:rPr>
                <w:rFonts w:ascii="Arial" w:eastAsia="Times New Roman" w:hAnsi="Arial" w:cs="Arial"/>
                <w:color w:val="000000"/>
                <w:sz w:val="16"/>
                <w:szCs w:val="16"/>
                <w:lang w:eastAsia="pt-BR"/>
              </w:rPr>
              <w:t>, PCMSO e LTCAT modelo padrão indicado pela clínica ocupacional da Contratada;</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0039D4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1D2504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4256A23"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7A658E56" w14:textId="77777777" w:rsidR="00B53ACD" w:rsidRPr="00A50C1C" w:rsidRDefault="00B53ACD" w:rsidP="00EF3D5A">
            <w:pPr>
              <w:spacing w:before="120" w:after="0" w:line="360" w:lineRule="auto"/>
              <w:rPr>
                <w:rFonts w:ascii="Arial" w:eastAsia="Times New Roman" w:hAnsi="Arial" w:cs="Arial"/>
                <w:sz w:val="16"/>
                <w:szCs w:val="16"/>
                <w:lang w:eastAsia="pt-BR"/>
              </w:rPr>
            </w:pPr>
            <w:r>
              <w:rPr>
                <w:rFonts w:ascii="Arial" w:eastAsia="Times New Roman" w:hAnsi="Arial" w:cs="Arial"/>
                <w:color w:val="000000"/>
                <w:sz w:val="16"/>
                <w:szCs w:val="16"/>
                <w:lang w:eastAsia="pt-BR"/>
              </w:rPr>
              <w:t xml:space="preserve">- </w:t>
            </w:r>
            <w:r w:rsidRPr="00922A45">
              <w:rPr>
                <w:rFonts w:ascii="Arial" w:eastAsia="Times New Roman" w:hAnsi="Arial" w:cs="Arial"/>
                <w:color w:val="000000"/>
                <w:sz w:val="16"/>
                <w:szCs w:val="16"/>
                <w:lang w:eastAsia="pt-BR"/>
              </w:rPr>
              <w:t>Fornecimento de Equipamentos de Proteção Individual (EPIs) aos colaboradores, em conformidade com as FISPQs aplicáveis;</w:t>
            </w:r>
          </w:p>
        </w:tc>
        <w:tc>
          <w:tcPr>
            <w:tcW w:w="2607" w:type="dxa"/>
            <w:tcBorders>
              <w:top w:val="single" w:sz="4" w:space="0" w:color="auto"/>
              <w:left w:val="single" w:sz="4" w:space="0" w:color="auto"/>
              <w:bottom w:val="single" w:sz="4" w:space="0" w:color="auto"/>
              <w:right w:val="single" w:sz="4" w:space="0" w:color="auto"/>
            </w:tcBorders>
            <w:noWrap/>
            <w:vAlign w:val="bottom"/>
            <w:hideMark/>
          </w:tcPr>
          <w:p w14:paraId="251280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82FE4E"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C5DFF32"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tcPr>
          <w:p w14:paraId="0D13E76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186648">
              <w:rPr>
                <w:rFonts w:ascii="Arial" w:eastAsia="Times New Roman" w:hAnsi="Arial" w:cs="Arial"/>
                <w:color w:val="000000"/>
                <w:sz w:val="16"/>
                <w:szCs w:val="16"/>
                <w:lang w:eastAsia="pt-BR"/>
              </w:rPr>
              <w:t>Execução dos serviços em conformidade com os padrões técnicos definidos pela Contratante, fabricantes dos equipamentos e normas técnicas vigentes;</w:t>
            </w:r>
          </w:p>
        </w:tc>
        <w:tc>
          <w:tcPr>
            <w:tcW w:w="2607" w:type="dxa"/>
            <w:tcBorders>
              <w:top w:val="single" w:sz="4" w:space="0" w:color="auto"/>
              <w:left w:val="single" w:sz="4" w:space="0" w:color="auto"/>
              <w:bottom w:val="single" w:sz="4" w:space="0" w:color="auto"/>
              <w:right w:val="single" w:sz="4" w:space="0" w:color="auto"/>
            </w:tcBorders>
            <w:noWrap/>
            <w:vAlign w:val="bottom"/>
          </w:tcPr>
          <w:p w14:paraId="4FA008E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FFB2E0"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162D57F" w14:textId="77777777" w:rsidR="00B53ACD" w:rsidRPr="00C01E4B" w:rsidRDefault="00B53ACD" w:rsidP="00B53ACD">
            <w:pPr>
              <w:pStyle w:val="PargrafodaLista"/>
              <w:numPr>
                <w:ilvl w:val="0"/>
                <w:numId w:val="5"/>
              </w:numPr>
              <w:spacing w:before="120" w:after="0" w:line="240" w:lineRule="auto"/>
              <w:jc w:val="center"/>
              <w:rPr>
                <w:rFonts w:ascii="Arial" w:eastAsia="Times New Roman"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A536D7"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Disponibilização de seguro de vida e plano de saúde com cobertura nacional para toda a equipe envolvida</w:t>
            </w:r>
            <w:r>
              <w:rPr>
                <w:rFonts w:ascii="Arial" w:eastAsia="Times New Roman" w:hAnsi="Arial" w:cs="Arial"/>
                <w:color w:val="000000"/>
                <w:sz w:val="16"/>
                <w:szCs w:val="16"/>
                <w:lang w:eastAsia="pt-BR"/>
              </w:rPr>
              <w:t>.</w:t>
            </w:r>
          </w:p>
        </w:tc>
        <w:tc>
          <w:tcPr>
            <w:tcW w:w="2607" w:type="dxa"/>
            <w:tcBorders>
              <w:top w:val="single" w:sz="4" w:space="0" w:color="auto"/>
              <w:left w:val="single" w:sz="4" w:space="0" w:color="auto"/>
              <w:bottom w:val="single" w:sz="4" w:space="0" w:color="auto"/>
              <w:right w:val="single" w:sz="4" w:space="0" w:color="auto"/>
            </w:tcBorders>
            <w:noWrap/>
            <w:vAlign w:val="bottom"/>
          </w:tcPr>
          <w:p w14:paraId="6835977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Pr>
                <w:rFonts w:ascii="Calibri" w:eastAsia="Times New Roman" w:hAnsi="Calibri" w:cs="Calibri"/>
                <w:b/>
                <w:bCs/>
                <w:color w:val="FFFFFF" w:themeColor="background1"/>
                <w:sz w:val="16"/>
                <w:szCs w:val="16"/>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Calibri" w:eastAsia="Times New Roman" w:hAnsi="Calibri" w:cs="Calibri"/>
                <w:b/>
                <w:bCs/>
                <w:color w:val="FFFFFF" w:themeColor="background1"/>
                <w:sz w:val="18"/>
                <w:szCs w:val="18"/>
                <w:lang w:eastAsia="pt-BR"/>
              </w:rPr>
            </w:pPr>
            <w:r w:rsidRPr="004D1296">
              <w:rPr>
                <w:rFonts w:ascii="Calibri" w:eastAsia="Times New Roman" w:hAnsi="Calibri" w:cs="Calibri"/>
                <w:b/>
                <w:bCs/>
                <w:color w:val="FFFFFF" w:themeColor="background1"/>
                <w:sz w:val="18"/>
                <w:szCs w:val="18"/>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Calibri" w:eastAsia="Times New Roman" w:hAnsi="Calibri" w:cs="Calibri"/>
                <w:b/>
                <w:bCs/>
                <w:color w:val="FFFFFF" w:themeColor="background1"/>
                <w:sz w:val="16"/>
                <w:szCs w:val="16"/>
                <w:lang w:eastAsia="pt-BR"/>
              </w:rPr>
            </w:pPr>
            <w:r w:rsidRPr="004D1296">
              <w:rPr>
                <w:rFonts w:ascii="Calibri" w:eastAsia="Times New Roman" w:hAnsi="Calibri" w:cs="Calibri"/>
                <w:b/>
                <w:bCs/>
                <w:color w:val="FFFFFF" w:themeColor="background1"/>
                <w:sz w:val="16"/>
                <w:szCs w:val="16"/>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 xml:space="preserve">LOGÍSTICA </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hAnsi="Arial" w:cs="Arial"/>
                <w:sz w:val="16"/>
                <w:szCs w:val="16"/>
                <w:lang w:eastAsia="pt-BR"/>
              </w:rPr>
              <w:t xml:space="preserve">- </w:t>
            </w:r>
            <w:r w:rsidRPr="00F72E7A">
              <w:rPr>
                <w:rFonts w:ascii="Arial" w:hAnsi="Arial" w:cs="Arial"/>
                <w:sz w:val="16"/>
                <w:szCs w:val="16"/>
                <w:lang w:eastAsia="pt-BR"/>
              </w:rPr>
              <w:t>Disponibilização de recursos para carga, descarga e movimentação dos equipamentos dentro do canteiro de obras, incluindo, quando aplicável, caminhão munck, guindastes, empilhadeiras, ponte rolante ou grua, conforme necessidade operacional;</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6CFBCC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4CB0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7CD19B6" w14:textId="77777777" w:rsidR="00B53ACD" w:rsidRPr="00A50C1C" w:rsidRDefault="00B53ACD" w:rsidP="00EF3D5A">
            <w:pPr>
              <w:spacing w:before="120" w:after="0" w:line="360" w:lineRule="auto"/>
              <w:rPr>
                <w:rFonts w:ascii="Arial" w:hAnsi="Arial" w:cs="Arial"/>
                <w:sz w:val="16"/>
                <w:szCs w:val="16"/>
                <w:lang w:eastAsia="pt-BR"/>
              </w:rPr>
            </w:pPr>
            <w:r>
              <w:rPr>
                <w:rFonts w:ascii="Arial" w:eastAsia="Times New Roman" w:hAnsi="Arial" w:cs="Arial"/>
                <w:color w:val="000000"/>
                <w:sz w:val="16"/>
                <w:szCs w:val="16"/>
                <w:lang w:eastAsia="pt-BR"/>
              </w:rPr>
              <w:t xml:space="preserve">- </w:t>
            </w:r>
            <w:r w:rsidRPr="00F72E7A">
              <w:rPr>
                <w:rFonts w:ascii="Arial" w:eastAsia="Times New Roman" w:hAnsi="Arial" w:cs="Arial"/>
                <w:color w:val="000000"/>
                <w:sz w:val="16"/>
                <w:szCs w:val="16"/>
                <w:lang w:eastAsia="pt-BR"/>
              </w:rPr>
              <w:t>Alimentação da equipe</w:t>
            </w:r>
            <w:r>
              <w:rPr>
                <w:rFonts w:ascii="Arial" w:eastAsia="Times New Roman" w:hAnsi="Arial" w:cs="Arial"/>
                <w:color w:val="000000"/>
                <w:sz w:val="16"/>
                <w:szCs w:val="16"/>
                <w:lang w:eastAsia="pt-BR"/>
              </w:rPr>
              <w:t>, durante a jornada de trabalho,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 xml:space="preserve">dentro </w:t>
            </w:r>
            <w:r w:rsidRPr="00F72E7A">
              <w:rPr>
                <w:rFonts w:ascii="Arial" w:eastAsia="Times New Roman" w:hAnsi="Arial" w:cs="Arial"/>
                <w:color w:val="000000"/>
                <w:sz w:val="16"/>
                <w:szCs w:val="16"/>
                <w:lang w:eastAsia="pt-BR"/>
              </w:rPr>
              <w:t>d</w:t>
            </w:r>
            <w:r>
              <w:rPr>
                <w:rFonts w:ascii="Arial" w:eastAsia="Times New Roman" w:hAnsi="Arial" w:cs="Arial"/>
                <w:color w:val="000000"/>
                <w:sz w:val="16"/>
                <w:szCs w:val="16"/>
                <w:lang w:eastAsia="pt-BR"/>
              </w:rPr>
              <w:t>o</w:t>
            </w:r>
            <w:r w:rsidRPr="00F72E7A">
              <w:rPr>
                <w:rFonts w:ascii="Arial" w:eastAsia="Times New Roman" w:hAnsi="Arial" w:cs="Arial"/>
                <w:color w:val="000000"/>
                <w:sz w:val="16"/>
                <w:szCs w:val="16"/>
                <w:lang w:eastAsia="pt-BR"/>
              </w:rPr>
              <w:t xml:space="preserve"> </w:t>
            </w:r>
            <w:r>
              <w:rPr>
                <w:rFonts w:ascii="Arial" w:eastAsia="Times New Roman" w:hAnsi="Arial" w:cs="Arial"/>
                <w:color w:val="000000"/>
                <w:sz w:val="16"/>
                <w:szCs w:val="16"/>
                <w:lang w:eastAsia="pt-BR"/>
              </w:rPr>
              <w:t>site conforme turno (almoço/janta)</w:t>
            </w:r>
            <w:r w:rsidRPr="00F72E7A">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1260635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36F6DAE"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89CC4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315BF0">
              <w:rPr>
                <w:rFonts w:ascii="Arial" w:eastAsia="Times New Roman" w:hAnsi="Arial" w:cs="Arial"/>
                <w:b/>
                <w:color w:val="000000"/>
                <w:sz w:val="16"/>
                <w:szCs w:val="16"/>
                <w:lang w:eastAsia="pt-BR"/>
              </w:rPr>
              <w:t>MÃO DE OBRA E EQUIPE TÉCNICA</w:t>
            </w:r>
          </w:p>
        </w:tc>
      </w:tr>
      <w:tr w:rsidR="00B53ACD" w14:paraId="38BFA01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4CF7F87"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75C5DA5" w14:textId="77777777" w:rsidR="00B53ACD" w:rsidRPr="00A50C1C" w:rsidRDefault="00B53ACD" w:rsidP="00EF3D5A">
            <w:pPr>
              <w:spacing w:before="120" w:after="0" w:line="360" w:lineRule="auto"/>
              <w:rPr>
                <w:rFonts w:ascii="Arial" w:eastAsia="Times New Roman" w:hAnsi="Arial" w:cs="Arial"/>
                <w:sz w:val="16"/>
                <w:szCs w:val="16"/>
                <w:lang w:eastAsia="pt-BR"/>
              </w:rPr>
            </w:pPr>
            <w:r w:rsidRPr="00BC3365">
              <w:rPr>
                <w:rFonts w:ascii="Arial" w:eastAsia="Times New Roman" w:hAnsi="Arial" w:cs="Arial"/>
                <w:sz w:val="16"/>
                <w:szCs w:val="16"/>
                <w:lang w:eastAsia="pt-BR"/>
              </w:rPr>
              <w:t xml:space="preserve">- </w:t>
            </w:r>
            <w:r w:rsidRPr="00F72E7A">
              <w:rPr>
                <w:rFonts w:ascii="Arial" w:eastAsia="Times New Roman" w:hAnsi="Arial" w:cs="Arial"/>
                <w:sz w:val="16"/>
                <w:szCs w:val="16"/>
                <w:lang w:eastAsia="pt-BR"/>
              </w:rPr>
              <w:t xml:space="preserve">Disponibilização de </w:t>
            </w:r>
            <w:r w:rsidRPr="00F72E7A">
              <w:rPr>
                <w:rFonts w:ascii="Arial" w:eastAsia="Times New Roman" w:hAnsi="Arial" w:cs="Arial"/>
                <w:b/>
                <w:bCs/>
                <w:sz w:val="16"/>
                <w:szCs w:val="16"/>
                <w:lang w:eastAsia="pt-BR"/>
              </w:rPr>
              <w:t>02 (dois) colaboradores</w:t>
            </w:r>
            <w:r w:rsidRPr="00F72E7A">
              <w:rPr>
                <w:rFonts w:ascii="Arial" w:eastAsia="Times New Roman" w:hAnsi="Arial" w:cs="Arial"/>
                <w:sz w:val="16"/>
                <w:szCs w:val="16"/>
                <w:lang w:eastAsia="pt-BR"/>
              </w:rPr>
              <w:t xml:space="preserve"> para acompanhamento e apoio nas atividades de montagem de peças, mangueiras, tubulações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0D8169A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E6AE1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2A6D3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A4E2E62"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eletricista habilitado para realização de ligações elétricas, instalações provisórias e pequenos reparos em equipamentos, quando previamente autorizados pela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64563972"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7A4C41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EB0B25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3BB6B09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técnico de segurança do trabalho, quando exigido pelas condições da obra ou diretrizes da Contratante;</w:t>
            </w:r>
          </w:p>
        </w:tc>
        <w:tc>
          <w:tcPr>
            <w:tcW w:w="2576" w:type="dxa"/>
            <w:tcBorders>
              <w:top w:val="single" w:sz="4" w:space="0" w:color="auto"/>
              <w:left w:val="single" w:sz="4" w:space="0" w:color="auto"/>
              <w:bottom w:val="single" w:sz="4" w:space="0" w:color="auto"/>
              <w:right w:val="single" w:sz="4" w:space="0" w:color="auto"/>
            </w:tcBorders>
            <w:noWrap/>
            <w:vAlign w:val="bottom"/>
          </w:tcPr>
          <w:p w14:paraId="6AA1436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4D180D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1703FDE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F3136D5"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Execução de serviços de caldeiraria necessários à fabricação, adequação e instalação de conexões e interligações provisórias;</w:t>
            </w:r>
          </w:p>
        </w:tc>
        <w:tc>
          <w:tcPr>
            <w:tcW w:w="2576" w:type="dxa"/>
            <w:tcBorders>
              <w:top w:val="single" w:sz="4" w:space="0" w:color="auto"/>
              <w:left w:val="single" w:sz="4" w:space="0" w:color="auto"/>
              <w:bottom w:val="single" w:sz="4" w:space="0" w:color="auto"/>
              <w:right w:val="single" w:sz="4" w:space="0" w:color="auto"/>
            </w:tcBorders>
            <w:noWrap/>
            <w:vAlign w:val="bottom"/>
          </w:tcPr>
          <w:p w14:paraId="6E1132A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0AA80B"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47C2D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EQUIPAMENTOS E FERRAMENTAS</w:t>
            </w:r>
          </w:p>
        </w:tc>
      </w:tr>
      <w:tr w:rsidR="00B53ACD" w14:paraId="641A68B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53DD841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742134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 xml:space="preserve">Fornecimento de materiais para montagem dos provisórios, incluindo </w:t>
            </w:r>
            <w:r>
              <w:rPr>
                <w:rFonts w:ascii="Arial" w:eastAsia="Times New Roman" w:hAnsi="Arial" w:cs="Arial"/>
                <w:color w:val="000000"/>
                <w:sz w:val="16"/>
                <w:szCs w:val="16"/>
                <w:lang w:eastAsia="pt-BR"/>
              </w:rPr>
              <w:t xml:space="preserve">pedaços de </w:t>
            </w:r>
            <w:r w:rsidRPr="00B444C3">
              <w:rPr>
                <w:rFonts w:ascii="Arial" w:eastAsia="Times New Roman" w:hAnsi="Arial" w:cs="Arial"/>
                <w:color w:val="000000"/>
                <w:sz w:val="16"/>
                <w:szCs w:val="16"/>
                <w:lang w:eastAsia="pt-BR"/>
              </w:rPr>
              <w:t>tubos, flanges, juntas, parafusos, porcas e válvulas;</w:t>
            </w:r>
          </w:p>
        </w:tc>
        <w:tc>
          <w:tcPr>
            <w:tcW w:w="2576" w:type="dxa"/>
            <w:tcBorders>
              <w:top w:val="single" w:sz="4" w:space="0" w:color="auto"/>
              <w:left w:val="single" w:sz="4" w:space="0" w:color="auto"/>
              <w:bottom w:val="single" w:sz="4" w:space="0" w:color="auto"/>
              <w:right w:val="single" w:sz="4" w:space="0" w:color="auto"/>
            </w:tcBorders>
            <w:noWrap/>
            <w:vAlign w:val="bottom"/>
          </w:tcPr>
          <w:p w14:paraId="38F6835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6986D2D"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64301DD4"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24F536B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bacias de contenção em obra para reservatórios, equipamentos e/ou materiais, quando necessário;</w:t>
            </w:r>
          </w:p>
        </w:tc>
        <w:tc>
          <w:tcPr>
            <w:tcW w:w="2576" w:type="dxa"/>
            <w:tcBorders>
              <w:top w:val="single" w:sz="4" w:space="0" w:color="auto"/>
              <w:left w:val="single" w:sz="4" w:space="0" w:color="auto"/>
              <w:bottom w:val="single" w:sz="4" w:space="0" w:color="auto"/>
              <w:right w:val="single" w:sz="4" w:space="0" w:color="auto"/>
            </w:tcBorders>
            <w:noWrap/>
            <w:vAlign w:val="bottom"/>
          </w:tcPr>
          <w:p w14:paraId="6E3FF49F"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contenções para pequenos vazamentos</w:t>
            </w:r>
          </w:p>
        </w:tc>
      </w:tr>
      <w:tr w:rsidR="00B53ACD" w14:paraId="6645CB6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40A1231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0CC686D"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extensões elétricas para alimentação dos equipamentos,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3CCED81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Os equipamentos possuem cabos com aproximadamente 20 metros</w:t>
            </w:r>
          </w:p>
        </w:tc>
      </w:tr>
      <w:tr w:rsidR="00B53ACD" w14:paraId="066FF7D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E99A8FB"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07F4684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sala e/ou contêiner próximo à frente de trabalho, com estrutura mínima para utilização como escritório/laboratório de apoio às análises e elaboração documental;</w:t>
            </w:r>
          </w:p>
        </w:tc>
        <w:tc>
          <w:tcPr>
            <w:tcW w:w="2576" w:type="dxa"/>
            <w:tcBorders>
              <w:top w:val="single" w:sz="4" w:space="0" w:color="auto"/>
              <w:left w:val="single" w:sz="4" w:space="0" w:color="auto"/>
              <w:bottom w:val="single" w:sz="4" w:space="0" w:color="auto"/>
              <w:right w:val="single" w:sz="4" w:space="0" w:color="auto"/>
            </w:tcBorders>
            <w:noWrap/>
            <w:vAlign w:val="bottom"/>
          </w:tcPr>
          <w:p w14:paraId="465002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12CBAC6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3291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A110FB">
              <w:rPr>
                <w:rFonts w:ascii="Arial" w:eastAsia="Times New Roman" w:hAnsi="Arial" w:cs="Arial"/>
                <w:b/>
                <w:color w:val="000000"/>
                <w:sz w:val="16"/>
                <w:szCs w:val="16"/>
                <w:lang w:eastAsia="pt-BR"/>
              </w:rPr>
              <w:t>UTILIDADES</w:t>
            </w:r>
          </w:p>
        </w:tc>
      </w:tr>
      <w:tr w:rsidR="00B53ACD" w14:paraId="2EC0D4A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AA28201"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76220E1"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água limpa, visualmente translúcida, em volume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4A941A46"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0F53431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6AB1A15"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D14646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todo o óleo necessário à execução do flushing primário, isento de água e em condições adequadas de uso;</w:t>
            </w:r>
          </w:p>
        </w:tc>
        <w:tc>
          <w:tcPr>
            <w:tcW w:w="2576" w:type="dxa"/>
            <w:tcBorders>
              <w:top w:val="single" w:sz="4" w:space="0" w:color="auto"/>
              <w:left w:val="single" w:sz="4" w:space="0" w:color="auto"/>
              <w:bottom w:val="single" w:sz="4" w:space="0" w:color="auto"/>
              <w:right w:val="single" w:sz="4" w:space="0" w:color="auto"/>
            </w:tcBorders>
            <w:noWrap/>
            <w:vAlign w:val="bottom"/>
          </w:tcPr>
          <w:p w14:paraId="725DB0C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O volume de óleo terá que preencher a tubulação e o reservatório da unidade hidráulica até o nível seguro para operação</w:t>
            </w:r>
          </w:p>
        </w:tc>
      </w:tr>
      <w:tr w:rsidR="00B53ACD" w14:paraId="4D8D524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42AFB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015CB75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iluminação adequada para execução de atividades em período noturno, quando aplicável;</w:t>
            </w:r>
          </w:p>
        </w:tc>
        <w:tc>
          <w:tcPr>
            <w:tcW w:w="2576" w:type="dxa"/>
            <w:tcBorders>
              <w:top w:val="single" w:sz="4" w:space="0" w:color="auto"/>
              <w:left w:val="single" w:sz="4" w:space="0" w:color="auto"/>
              <w:bottom w:val="single" w:sz="4" w:space="0" w:color="auto"/>
              <w:right w:val="single" w:sz="4" w:space="0" w:color="auto"/>
            </w:tcBorders>
            <w:noWrap/>
            <w:vAlign w:val="bottom"/>
          </w:tcPr>
          <w:p w14:paraId="5CF21144"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7BFDA1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19ADE7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D553F30"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energia elétrica compatível com os equipamentos a serem utilizados, sendo 220V monofásico e 380V trifásico, com capacidade mínima de 110 amperes;</w:t>
            </w:r>
          </w:p>
        </w:tc>
        <w:tc>
          <w:tcPr>
            <w:tcW w:w="2576" w:type="dxa"/>
            <w:tcBorders>
              <w:top w:val="single" w:sz="4" w:space="0" w:color="auto"/>
              <w:left w:val="single" w:sz="4" w:space="0" w:color="auto"/>
              <w:bottom w:val="single" w:sz="4" w:space="0" w:color="auto"/>
              <w:right w:val="single" w:sz="4" w:space="0" w:color="auto"/>
            </w:tcBorders>
            <w:noWrap/>
            <w:vAlign w:val="bottom"/>
          </w:tcPr>
          <w:p w14:paraId="7A660AF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83C8D7"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561E398F"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60930C4C"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Fornecimento de ar comprimido limpo e seco em quantidade suficiente para execução dos serviços;</w:t>
            </w:r>
          </w:p>
        </w:tc>
        <w:tc>
          <w:tcPr>
            <w:tcW w:w="2576" w:type="dxa"/>
            <w:tcBorders>
              <w:top w:val="single" w:sz="4" w:space="0" w:color="auto"/>
              <w:left w:val="single" w:sz="4" w:space="0" w:color="auto"/>
              <w:bottom w:val="single" w:sz="4" w:space="0" w:color="auto"/>
              <w:right w:val="single" w:sz="4" w:space="0" w:color="auto"/>
            </w:tcBorders>
            <w:noWrap/>
            <w:vAlign w:val="bottom"/>
          </w:tcPr>
          <w:p w14:paraId="044BA84A"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5A4B37F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0BBCD586"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66581AFE"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Fornecimento de diesel para equipamentos Filtrovali;</w:t>
            </w:r>
          </w:p>
        </w:tc>
        <w:tc>
          <w:tcPr>
            <w:tcW w:w="2576" w:type="dxa"/>
            <w:tcBorders>
              <w:top w:val="single" w:sz="4" w:space="0" w:color="auto"/>
              <w:left w:val="single" w:sz="4" w:space="0" w:color="auto"/>
              <w:bottom w:val="single" w:sz="4" w:space="0" w:color="auto"/>
              <w:right w:val="single" w:sz="4" w:space="0" w:color="auto"/>
            </w:tcBorders>
            <w:noWrap/>
            <w:vAlign w:val="bottom"/>
          </w:tcPr>
          <w:p w14:paraId="5D106DA5"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B1DFF9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AE1310"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C207E0">
              <w:rPr>
                <w:rFonts w:ascii="Arial" w:eastAsia="Times New Roman" w:hAnsi="Arial" w:cs="Arial"/>
                <w:b/>
                <w:color w:val="000000"/>
                <w:sz w:val="16"/>
                <w:szCs w:val="16"/>
                <w:lang w:eastAsia="pt-BR"/>
              </w:rPr>
              <w:t>ACESSIBILIDADE E APOIO DE CAMPO</w:t>
            </w:r>
          </w:p>
        </w:tc>
      </w:tr>
      <w:tr w:rsidR="00B53ACD" w14:paraId="5888BEC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8E409B9"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55AFF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Disponibilização de andaimes, plataformas e passarelas, devidamente aterrados e em conformidade com os padrões de segurança exigidos na obra, quando necessário</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054C3B3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209D4EC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110C375C"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CB46E1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041992">
              <w:rPr>
                <w:rFonts w:ascii="Arial" w:eastAsia="Times New Roman" w:hAnsi="Arial" w:cs="Arial"/>
                <w:color w:val="000000"/>
                <w:sz w:val="16"/>
                <w:szCs w:val="16"/>
                <w:lang w:eastAsia="pt-BR"/>
              </w:rPr>
              <w:t>Garantia de liberação, acessibilidade e disponibilidade integral das frentes de serviço para execução das atividades pela Filtrovali, conforme cronograma previamente acordado entre as partes;</w:t>
            </w:r>
          </w:p>
        </w:tc>
        <w:tc>
          <w:tcPr>
            <w:tcW w:w="2576" w:type="dxa"/>
            <w:tcBorders>
              <w:top w:val="single" w:sz="4" w:space="0" w:color="auto"/>
              <w:left w:val="single" w:sz="4" w:space="0" w:color="auto"/>
              <w:bottom w:val="single" w:sz="4" w:space="0" w:color="auto"/>
              <w:right w:val="single" w:sz="4" w:space="0" w:color="auto"/>
            </w:tcBorders>
            <w:noWrap/>
            <w:vAlign w:val="bottom"/>
          </w:tcPr>
          <w:p w14:paraId="50EFF52B"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5B8805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4DE43888"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tcPr>
          <w:p w14:paraId="47598622" w14:textId="77777777" w:rsidR="00B53ACD" w:rsidRPr="00B7534B"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 Fornec</w:t>
            </w:r>
            <w:r>
              <w:rPr>
                <w:rFonts w:ascii="Arial" w:eastAsia="Times New Roman" w:hAnsi="Arial" w:cs="Arial"/>
                <w:color w:val="000000"/>
                <w:sz w:val="16"/>
                <w:szCs w:val="16"/>
                <w:lang w:eastAsia="pt-BR"/>
              </w:rPr>
              <w:t>i</w:t>
            </w:r>
            <w:r w:rsidRPr="00B7534B">
              <w:rPr>
                <w:rFonts w:ascii="Arial" w:eastAsia="Times New Roman" w:hAnsi="Arial" w:cs="Arial"/>
                <w:color w:val="000000"/>
                <w:sz w:val="16"/>
                <w:szCs w:val="16"/>
                <w:lang w:eastAsia="pt-BR"/>
              </w:rPr>
              <w:t xml:space="preserve">mento de área apropriada para armazenamento de produtos e realização dos serviços de limpeza química com contenção e cobertura para os processos de enchimento, pulverização e </w:t>
            </w:r>
          </w:p>
          <w:p w14:paraId="507BA031" w14:textId="77777777" w:rsidR="00B53ACD" w:rsidRPr="00A50C1C" w:rsidRDefault="00B53ACD" w:rsidP="00EF3D5A">
            <w:pPr>
              <w:spacing w:after="0" w:line="360" w:lineRule="auto"/>
              <w:rPr>
                <w:rFonts w:ascii="Arial" w:eastAsia="Times New Roman" w:hAnsi="Arial" w:cs="Arial"/>
                <w:color w:val="000000"/>
                <w:sz w:val="16"/>
                <w:szCs w:val="16"/>
                <w:lang w:eastAsia="pt-BR"/>
              </w:rPr>
            </w:pPr>
            <w:r w:rsidRPr="00B7534B">
              <w:rPr>
                <w:rFonts w:ascii="Arial" w:eastAsia="Times New Roman" w:hAnsi="Arial" w:cs="Arial"/>
                <w:color w:val="000000"/>
                <w:sz w:val="16"/>
                <w:szCs w:val="16"/>
                <w:lang w:eastAsia="pt-BR"/>
              </w:rPr>
              <w:t>circulação pressurizada;</w:t>
            </w:r>
          </w:p>
        </w:tc>
        <w:tc>
          <w:tcPr>
            <w:tcW w:w="2576" w:type="dxa"/>
            <w:tcBorders>
              <w:top w:val="single" w:sz="4" w:space="0" w:color="auto"/>
              <w:left w:val="single" w:sz="4" w:space="0" w:color="auto"/>
              <w:bottom w:val="single" w:sz="4" w:space="0" w:color="auto"/>
              <w:right w:val="single" w:sz="4" w:space="0" w:color="auto"/>
            </w:tcBorders>
            <w:noWrap/>
            <w:vAlign w:val="bottom"/>
          </w:tcPr>
          <w:p w14:paraId="31BD4979"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4955CDB4"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20A48E"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SEGURANÇA, DOCUMENTAÇÃO E CONFORMIDADE</w:t>
            </w:r>
          </w:p>
        </w:tc>
      </w:tr>
      <w:tr w:rsidR="00B53ACD" w14:paraId="7AFFBB1C"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BC13E5D"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3F827D08"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Elaboração e liberação da Análise Preliminar de Risco (APR) e da Permissão de Trabalho (PT), conforme exigências da obra;</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C037081"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302A5945"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tcPr>
          <w:p w14:paraId="3FBA0E7E"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FCAD236"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Aprovação e liberação dos Boletins de Medição no prazo máximo de 48 (quarenta e oito) horas após seu envio. Na ausência de manifestação dentro deste prazo, os boletins serão considerados automaticamente aprovados para fins de faturamento;</w:t>
            </w:r>
          </w:p>
        </w:tc>
        <w:tc>
          <w:tcPr>
            <w:tcW w:w="2576" w:type="dxa"/>
            <w:tcBorders>
              <w:top w:val="single" w:sz="4" w:space="0" w:color="auto"/>
              <w:left w:val="single" w:sz="4" w:space="0" w:color="auto"/>
              <w:bottom w:val="single" w:sz="4" w:space="0" w:color="auto"/>
              <w:right w:val="single" w:sz="4" w:space="0" w:color="auto"/>
            </w:tcBorders>
            <w:noWrap/>
            <w:vAlign w:val="bottom"/>
            <w:hideMark/>
          </w:tcPr>
          <w:p w14:paraId="02EF44AD"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A990E3F"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3AF7D4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5E666CD4"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Emissão de atestado de capacidade técnica ao término da execução contratual, como registro formal da prestação dos serviços realizados;</w:t>
            </w:r>
          </w:p>
        </w:tc>
        <w:tc>
          <w:tcPr>
            <w:tcW w:w="2576" w:type="dxa"/>
            <w:tcBorders>
              <w:top w:val="single" w:sz="4" w:space="0" w:color="auto"/>
              <w:left w:val="single" w:sz="4" w:space="0" w:color="auto"/>
              <w:bottom w:val="single" w:sz="4" w:space="0" w:color="auto"/>
              <w:right w:val="single" w:sz="4" w:space="0" w:color="auto"/>
            </w:tcBorders>
            <w:noWrap/>
            <w:vAlign w:val="bottom"/>
          </w:tcPr>
          <w:p w14:paraId="1A69DEE7"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tr w:rsidR="00B53ACD" w14:paraId="65D384D3"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hideMark/>
          </w:tcPr>
          <w:p w14:paraId="0CC467EC"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r w:rsidRPr="00BD5818">
              <w:rPr>
                <w:rFonts w:ascii="Arial" w:eastAsia="Times New Roman" w:hAnsi="Arial" w:cs="Arial"/>
                <w:b/>
                <w:color w:val="000000"/>
                <w:sz w:val="16"/>
                <w:szCs w:val="16"/>
                <w:lang w:eastAsia="pt-BR"/>
              </w:rPr>
              <w:t>MEIO AMBIENTE</w:t>
            </w:r>
          </w:p>
        </w:tc>
      </w:tr>
      <w:tr w:rsidR="00B53ACD" w14:paraId="04F73039"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7E9B866A" w14:textId="77777777" w:rsidR="00B53ACD" w:rsidRPr="009A79FE" w:rsidRDefault="00B53ACD" w:rsidP="00B53ACD">
            <w:pPr>
              <w:pStyle w:val="PargrafodaLista"/>
              <w:numPr>
                <w:ilvl w:val="0"/>
                <w:numId w:val="6"/>
              </w:numPr>
              <w:spacing w:before="120" w:after="0" w:line="240" w:lineRule="auto"/>
              <w:jc w:val="center"/>
              <w:rPr>
                <w:rFonts w:ascii="Arial" w:eastAsia="Times New Roman"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8082B3" w14:textId="77777777" w:rsidR="00B53ACD" w:rsidRPr="00A50C1C" w:rsidRDefault="00B53ACD" w:rsidP="00EF3D5A">
            <w:pPr>
              <w:spacing w:before="120" w:after="0" w:line="360" w:lineRule="auto"/>
              <w:rPr>
                <w:rFonts w:ascii="Arial" w:eastAsia="Times New Roman" w:hAnsi="Arial" w:cs="Arial"/>
                <w:color w:val="000000"/>
                <w:sz w:val="16"/>
                <w:szCs w:val="16"/>
                <w:lang w:eastAsia="pt-BR"/>
              </w:rPr>
            </w:pP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Responsabilidade pelo gerenciamento, transporte</w:t>
            </w:r>
            <w:r>
              <w:rPr>
                <w:rFonts w:ascii="Arial" w:eastAsia="Times New Roman" w:hAnsi="Arial" w:cs="Arial"/>
                <w:color w:val="000000"/>
                <w:sz w:val="16"/>
                <w:szCs w:val="16"/>
                <w:lang w:eastAsia="pt-BR"/>
              </w:rPr>
              <w:t xml:space="preserve"> </w:t>
            </w:r>
            <w:r w:rsidRPr="00B444C3">
              <w:rPr>
                <w:rFonts w:ascii="Arial" w:eastAsia="Times New Roman" w:hAnsi="Arial" w:cs="Arial"/>
                <w:color w:val="000000"/>
                <w:sz w:val="16"/>
                <w:szCs w:val="16"/>
                <w:lang w:eastAsia="pt-BR"/>
              </w:rPr>
              <w:t>e destinação final</w:t>
            </w:r>
            <w:r>
              <w:rPr>
                <w:rFonts w:ascii="Arial" w:eastAsia="Times New Roman" w:hAnsi="Arial" w:cs="Arial"/>
                <w:color w:val="000000"/>
                <w:sz w:val="16"/>
                <w:szCs w:val="16"/>
                <w:lang w:eastAsia="pt-BR"/>
              </w:rPr>
              <w:t xml:space="preserve"> adequada </w:t>
            </w:r>
            <w:r w:rsidRPr="00B444C3">
              <w:rPr>
                <w:rFonts w:ascii="Arial" w:eastAsia="Times New Roman" w:hAnsi="Arial" w:cs="Arial"/>
                <w:color w:val="000000"/>
                <w:sz w:val="16"/>
                <w:szCs w:val="16"/>
                <w:lang w:eastAsia="pt-BR"/>
              </w:rPr>
              <w:t>dos efluentes e demais resíduos gerados durante a execução dos serviços</w:t>
            </w:r>
            <w:r>
              <w:rPr>
                <w:rFonts w:ascii="Arial" w:eastAsia="Times New Roman" w:hAnsi="Arial" w:cs="Arial"/>
                <w:color w:val="000000"/>
                <w:sz w:val="16"/>
                <w:szCs w:val="16"/>
                <w:lang w:eastAsia="pt-BR"/>
              </w:rPr>
              <w:t>.</w:t>
            </w:r>
          </w:p>
        </w:tc>
        <w:tc>
          <w:tcPr>
            <w:tcW w:w="2576" w:type="dxa"/>
            <w:tcBorders>
              <w:top w:val="single" w:sz="4" w:space="0" w:color="auto"/>
              <w:left w:val="single" w:sz="4" w:space="0" w:color="auto"/>
              <w:bottom w:val="single" w:sz="4" w:space="0" w:color="auto"/>
              <w:right w:val="single" w:sz="4" w:space="0" w:color="auto"/>
            </w:tcBorders>
            <w:noWrap/>
            <w:vAlign w:val="bottom"/>
          </w:tcPr>
          <w:p w14:paraId="7022DFF8" w14:textId="77777777" w:rsidR="00B53ACD" w:rsidRDefault="00B53ACD" w:rsidP="00EF3D5A">
            <w:pPr>
              <w:spacing w:before="120" w:after="0" w:line="240" w:lineRule="auto"/>
              <w:jc w:val="both"/>
              <w:rPr>
                <w:rFonts w:ascii="Arial" w:eastAsia="Times New Roman" w:hAnsi="Arial" w:cs="Arial"/>
                <w:color w:val="000000"/>
                <w:sz w:val="16"/>
                <w:szCs w:val="16"/>
                <w:lang w:eastAsia="pt-BR"/>
              </w:rPr>
            </w:pP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Calibri" w:eastAsia="Calibri" w:hAnsi="Calibri"/>
          <w:sz w:val="20"/>
          <w:szCs w:val="20"/>
        </w:rPr>
      </w:pPr>
    </w:p>
    <w:p w14:paraId="3C84B49C" w14:textId="77777777" w:rsidR="00956322" w:rsidRDefault="00956322" w:rsidP="008C2B4F">
      <w:pPr>
        <w:spacing w:after="0" w:line="240" w:lineRule="auto"/>
        <w:jc w:val="both"/>
        <w:rPr>
          <w:rFonts w:ascii="Calibri" w:eastAsia="Calibri" w:hAnsi="Calibri"/>
          <w:sz w:val="20"/>
          <w:szCs w:val="20"/>
        </w:rPr>
      </w:pPr>
    </w:p>
    <w:p w14:paraId="1E7F95D8" w14:textId="77777777" w:rsidR="00956322" w:rsidRDefault="00956322" w:rsidP="008C2B4F">
      <w:pPr>
        <w:spacing w:after="0" w:line="240" w:lineRule="auto"/>
        <w:jc w:val="both"/>
        <w:rPr>
          <w:rFonts w:ascii="Calibri" w:eastAsia="Calibri" w:hAnsi="Calibri"/>
          <w:sz w:val="20"/>
          <w:szCs w:val="20"/>
        </w:rPr>
      </w:pPr>
    </w:p>
    <w:p w14:paraId="7D736F58" w14:textId="77777777" w:rsidR="00956322" w:rsidRDefault="00956322" w:rsidP="008C2B4F">
      <w:pPr>
        <w:spacing w:after="0" w:line="240" w:lineRule="auto"/>
        <w:jc w:val="both"/>
        <w:rPr>
          <w:rFonts w:ascii="Calibri" w:eastAsia="Calibri" w:hAnsi="Calibri"/>
          <w:sz w:val="20"/>
          <w:szCs w:val="20"/>
        </w:rPr>
      </w:pPr>
    </w:p>
    <w:p w14:paraId="5FD6261B" w14:textId="77777777" w:rsidR="00956322" w:rsidRDefault="00956322" w:rsidP="008C2B4F">
      <w:pPr>
        <w:spacing w:after="0" w:line="240" w:lineRule="auto"/>
        <w:jc w:val="both"/>
        <w:rPr>
          <w:rFonts w:ascii="Calibri" w:eastAsia="Calibri" w:hAnsi="Calibri"/>
          <w:sz w:val="20"/>
          <w:szCs w:val="20"/>
        </w:rPr>
      </w:pPr>
    </w:p>
    <w:p w14:paraId="29D126EE" w14:textId="77777777" w:rsidR="00956322" w:rsidRDefault="00956322" w:rsidP="008C2B4F">
      <w:pPr>
        <w:spacing w:after="0" w:line="240" w:lineRule="auto"/>
        <w:jc w:val="both"/>
        <w:rPr>
          <w:rFonts w:ascii="Calibri" w:eastAsia="Calibri" w:hAnsi="Calibri"/>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Calibri" w:eastAsia="Calibri" w:hAnsi="Calibri"/>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Calibri"/>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Calibri"/>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Calibri"/>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Calibri"/>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Calibri"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Calibri"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Calibri" w:hAnsi="Arial" w:cs="Arial"/>
          <w:sz w:val="20"/>
          <w:szCs w:val="20"/>
        </w:rPr>
        <w:t>.</w:t>
      </w:r>
    </w:p>
    <w:p w14:paraId="7C72528D" w14:textId="77777777" w:rsidR="00181F00" w:rsidRPr="00F56F23" w:rsidRDefault="00181F00" w:rsidP="00181F00">
      <w:pPr>
        <w:spacing w:after="0" w:line="240" w:lineRule="auto"/>
        <w:rPr>
          <w:rFonts w:ascii="Arial" w:eastAsia="Calibri"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Calibri" w:hAnsi="Arial" w:cs="Arial"/>
          <w:b/>
          <w:bCs/>
          <w:sz w:val="20"/>
          <w:szCs w:val="20"/>
        </w:rPr>
      </w:pPr>
      <w:r w:rsidRPr="002E0D2E">
        <w:rPr>
          <w:rFonts w:ascii="Arial" w:eastAsia="Calibri"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Calibri"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jc w:val="center"/>
      <w:rPr>
        <w:rFonts w:ascii="Arial" w:hAnsi="Arial" w:cs="Arial"/>
        <w:b/>
        <w:sz w:val="26"/>
        <w:szCs w:val="26"/>
      </w:rPr>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970A3C">
      <w:rPr>
        <w:rFonts w:ascii="Arial" w:hAnsi="Arial" w:cs="Arial"/>
        <w:b/>
        <w:sz w:val="26"/>
        <w:szCs w:val="26"/>
      </w:rPr>
      <w:t xml:space="preserve">                                                                                                </w:t>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Calibri" w:hAnsi="Calibri" w:cs="Calibri"/>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