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9.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png" ContentType="image/png"/>
  <Override PartName="/word/comments.xml" ContentType="application/vnd.openxmlformats-officedocument.wordprocessingml.comment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theme/theme1.xml" ContentType="application/vnd.openxmlformats-officedocument.theme+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settings.xml" ContentType="application/vnd.openxmlformats-officedocument.wordprocessingml.settings+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_rels/document.xml.rels" ContentType="application/vnd.openxmlformats-package.relationships+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P-CapaCabecalho"/>
        <w:rPr/>
      </w:pPr>
      <w:r>
        <w:rPr/>
        <w:drawing>
          <wp:inline distT="0" distB="0" distL="0" distR="0">
            <wp:extent cx="4981575" cy="1276350"/>
            <wp:effectExtent l="0" t="0" r="0" b="0"/>
            <wp:docPr id="1" name="Imagem 12" descr="WhatsApp Image 2023-07-25 a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descr="WhatsApp Image 2023-07-25 at 11"/>
                    <pic:cNvPicPr>
                      <a:picLocks noChangeAspect="1" noChangeArrowheads="1"/>
                    </pic:cNvPicPr>
                  </pic:nvPicPr>
                  <pic:blipFill>
                    <a:blip r:embed="rId2"/>
                    <a:stretch>
                      <a:fillRect/>
                    </a:stretch>
                  </pic:blipFill>
                  <pic:spPr bwMode="auto">
                    <a:xfrm>
                      <a:off x="0" y="0"/>
                      <a:ext cx="4981575" cy="1276350"/>
                    </a:xfrm>
                    <a:prstGeom prst="rect">
                      <a:avLst/>
                    </a:prstGeom>
                  </pic:spPr>
                </pic:pic>
              </a:graphicData>
            </a:graphic>
          </wp:inline>
        </w:drawing>
      </w:r>
    </w:p>
    <w:p>
      <w:pPr>
        <w:pStyle w:val="CP-CapaCabecalho"/>
        <w:rPr/>
      </w:pPr>
      <w:r>
        <w:rPr/>
        <w:t>AATEC - Área de Agrárias, Engenharias e Tecnologias</w:t>
      </w:r>
    </w:p>
    <w:p>
      <w:pPr>
        <w:pStyle w:val="CP-CapaCabecalho"/>
        <w:rPr/>
      </w:pPr>
      <w:r>
        <w:rPr/>
        <w:t xml:space="preserve">Curso de ciência da computação </w:t>
      </w:r>
    </w:p>
    <w:p>
      <w:pPr>
        <w:pStyle w:val="CP-CapaCabecalho"/>
        <w:rPr/>
      </w:pPr>
      <w:r>
        <w:rPr/>
        <w:t>(Bacharelado)</w:t>
      </w:r>
    </w:p>
    <w:p>
      <w:pPr>
        <w:pStyle w:val="TE-Normal"/>
        <w:rPr/>
      </w:pPr>
      <w:r>
        <w:rPr/>
      </w:r>
    </w:p>
    <w:p>
      <w:pPr>
        <w:pStyle w:val="TE-Normal"/>
        <w:rPr/>
      </w:pPr>
      <w:r>
        <w:rPr/>
      </w:r>
    </w:p>
    <w:p>
      <w:pPr>
        <w:pStyle w:val="TE-Normal"/>
        <w:rPr/>
      </w:pPr>
      <w:r>
        <w:rPr/>
      </w:r>
    </w:p>
    <w:p>
      <w:pPr>
        <w:pStyle w:val="TE-Normal"/>
        <w:rPr/>
      </w:pPr>
      <w:r>
        <w:rPr/>
      </w:r>
    </w:p>
    <w:p>
      <w:pPr>
        <w:pStyle w:val="TE-Normal"/>
        <w:rPr/>
      </w:pPr>
      <w:r>
        <w:rPr/>
      </w:r>
    </w:p>
    <w:p>
      <w:pPr>
        <w:pStyle w:val="TE-Normal"/>
        <w:rPr/>
      </w:pPr>
      <w:r>
        <w:rPr/>
      </w:r>
    </w:p>
    <w:p>
      <w:pPr>
        <w:pStyle w:val="TE-Normal"/>
        <w:rPr/>
      </w:pPr>
      <w:r>
        <w:rPr/>
      </w:r>
    </w:p>
    <w:p>
      <w:pPr>
        <w:pStyle w:val="CP-CapaTitulo"/>
        <w:rPr/>
      </w:pPr>
      <w:r>
        <w:rPr/>
        <w:t>Identificação de Correspondências Motívicas entre Versões Simbólicas de Obras Musicais:</w:t>
      </w:r>
    </w:p>
    <w:p>
      <w:pPr>
        <w:pStyle w:val="CP-CapaTitulo"/>
        <w:rPr/>
      </w:pPr>
      <w:r>
        <w:rPr/>
        <w:t>um método de alinhamento de sequências aplicado aos corais de J. S. Bach</w:t>
      </w:r>
    </w:p>
    <w:p>
      <w:pPr>
        <w:pStyle w:val="CP-CapaTitulo"/>
        <w:rPr/>
      </w:pPr>
      <w:r>
        <w:rPr/>
      </w:r>
    </w:p>
    <w:p>
      <w:pPr>
        <w:pStyle w:val="CP-CapaTitulo"/>
        <w:rPr/>
      </w:pPr>
      <w:r>
        <w:rPr/>
      </w:r>
    </w:p>
    <w:p>
      <w:pPr>
        <w:pStyle w:val="TE-Normal"/>
        <w:rPr/>
      </w:pPr>
      <w:r>
        <w:rPr/>
      </w:r>
    </w:p>
    <w:p>
      <w:pPr>
        <w:pStyle w:val="TE-Normal"/>
        <w:rPr/>
      </w:pPr>
      <w:r>
        <w:rPr/>
      </w:r>
    </w:p>
    <w:p>
      <w:pPr>
        <w:pStyle w:val="TE-Normal"/>
        <w:rPr/>
      </w:pPr>
      <w:r>
        <w:rPr/>
      </w:r>
    </w:p>
    <w:p>
      <w:pPr>
        <w:pStyle w:val="TE-Normal"/>
        <w:rPr/>
      </w:pPr>
      <w:r>
        <w:rPr/>
      </w:r>
    </w:p>
    <w:p>
      <w:pPr>
        <w:pStyle w:val="TE-Normal"/>
        <w:rPr/>
      </w:pPr>
      <w:r>
        <w:rPr/>
      </w:r>
    </w:p>
    <w:p>
      <w:pPr>
        <w:pStyle w:val="TE-Normal"/>
        <w:rPr/>
      </w:pPr>
      <w:r>
        <w:rPr/>
      </w:r>
    </w:p>
    <w:p>
      <w:pPr>
        <w:pStyle w:val="CP-CapaNomeAutor"/>
        <w:rPr/>
      </w:pPr>
      <w:r>
        <w:rPr/>
        <w:t>Pedro guilherme merisio schabarum</w:t>
      </w:r>
    </w:p>
    <w:p>
      <w:pPr>
        <w:pStyle w:val="TE-Normal"/>
        <w:rPr/>
      </w:pPr>
      <w:r>
        <w:rPr/>
      </w:r>
    </w:p>
    <w:p>
      <w:pPr>
        <w:pStyle w:val="TE-Normal"/>
        <w:rPr/>
      </w:pPr>
      <w:r>
        <w:rPr/>
      </w:r>
    </w:p>
    <w:p>
      <w:pPr>
        <w:pStyle w:val="CP-CapaLocaleData"/>
        <w:rPr/>
      </w:pPr>
      <w:r>
        <w:rPr/>
        <w:t>CHAPECÓ, novembro de 2026</w:t>
      </w:r>
    </w:p>
    <w:p>
      <w:pPr>
        <w:sectPr>
          <w:headerReference w:type="even" r:id="rId3"/>
          <w:headerReference w:type="default" r:id="rId4"/>
          <w:headerReference w:type="first" r:id="rId5"/>
          <w:type w:val="nextPage"/>
          <w:pgSz w:w="11906" w:h="16838"/>
          <w:pgMar w:left="1701" w:right="1134" w:gutter="0" w:header="720" w:top="1701" w:footer="0" w:bottom="1531"/>
          <w:pgNumType w:fmt="decimal"/>
          <w:formProt w:val="false"/>
          <w:titlePg/>
          <w:textDirection w:val="lrTb"/>
        </w:sectPr>
      </w:pPr>
    </w:p>
    <w:p>
      <w:pPr>
        <w:pStyle w:val="CP-CapaCabecalho"/>
        <w:rPr/>
      </w:pPr>
      <w:r>
        <w:rPr/>
        <w:t>AATEC - Área de Agrárias, Engenharias e Tecnologias</w:t>
      </w:r>
    </w:p>
    <w:p>
      <w:pPr>
        <w:pStyle w:val="CP-CapaCabecalho"/>
        <w:rPr/>
      </w:pPr>
      <w:r>
        <w:rPr/>
        <w:t>Curso de ciência da computação</w:t>
      </w:r>
    </w:p>
    <w:p>
      <w:pPr>
        <w:pStyle w:val="CP-CapaCabecalho"/>
        <w:rPr/>
      </w:pPr>
      <w:r>
        <w:rPr/>
        <w:t>(Bacharelado)</w:t>
      </w:r>
    </w:p>
    <w:p>
      <w:pPr>
        <w:pStyle w:val="CP-CapaCabecalho"/>
        <w:rPr/>
      </w:pPr>
      <w:r>
        <w:rPr/>
      </w:r>
    </w:p>
    <w:p>
      <w:pPr>
        <w:pStyle w:val="TE-Normal"/>
        <w:rPr/>
      </w:pPr>
      <w:r>
        <w:rPr/>
      </w:r>
    </w:p>
    <w:p>
      <w:pPr>
        <w:pStyle w:val="TE-Normal"/>
        <w:rPr/>
      </w:pPr>
      <w:r>
        <w:rPr/>
      </w:r>
    </w:p>
    <w:p>
      <w:pPr>
        <w:pStyle w:val="TE-Normal"/>
        <w:rPr/>
      </w:pPr>
      <w:r>
        <w:rPr/>
      </w:r>
    </w:p>
    <w:p>
      <w:pPr>
        <w:pStyle w:val="TE-Normal"/>
        <w:rPr/>
      </w:pPr>
      <w:r>
        <w:rPr/>
      </w:r>
    </w:p>
    <w:p>
      <w:pPr>
        <w:pStyle w:val="TE-Normal"/>
        <w:rPr/>
      </w:pPr>
    </w:p>
    <w:p>
      <w:pPr>
        <w:pStyle w:val="CP-CapaTitulo"/>
        <w:rPr/>
      </w:pPr>
      <w:r>
        <w:rPr/>
        <w:t>Identificação de Correspondências Motívicas entre Versões Simbólicas de Obras Musicais:</w:t>
      </w:r>
    </w:p>
    <w:p>
      <w:pPr>
        <w:pStyle w:val="CP-CapaTitulo"/>
        <w:rPr/>
      </w:pPr>
      <w:r>
        <w:rPr/>
        <w:t>um método de alinhamento de sequências aplicado aos corais de J. S. Bach</w:t>
      </w:r>
    </w:p>
    <w:p>
      <w:pPr>
        <w:pStyle w:val="TE-Normal"/>
        <w:rPr/>
      </w:pPr>
      <w:r>
        <w:rPr/>
      </w:r>
    </w:p>
    <w:p>
      <w:pPr>
        <w:pStyle w:val="TE-Normal"/>
        <w:rPr/>
      </w:pPr>
      <w:r>
        <w:rPr/>
      </w:r>
    </w:p>
    <w:p>
      <w:pPr>
        <w:pStyle w:val="TE-Normal"/>
        <w:rPr/>
      </w:pPr>
      <w:r>
        <w:rPr/>
      </w:r>
    </w:p>
    <w:p>
      <w:pPr>
        <w:pStyle w:val="TE-Normal"/>
        <w:rPr/>
      </w:pPr>
    </w:p>
    <w:p>
      <w:pPr>
        <w:pStyle w:val="CP-CapaNaturezaAcadmica"/>
        <w:rPr/>
      </w:pPr>
      <w:r>
        <w:rPr/>
        <w:t>Relatório Parcial do Trabalho de Conclusão de Curso submetido à Universidade Comunitária da Região de Chapecó para a disciplina de TCC I.</w:t>
      </w:r>
    </w:p>
    <w:p>
      <w:pPr>
        <w:pStyle w:val="TE-Normal"/>
        <w:rPr/>
      </w:pPr>
    </w:p>
    <w:p>
      <w:pPr>
        <w:pStyle w:val="CP-CapaNomeAutor"/>
        <w:rPr/>
      </w:pPr>
      <w:r>
        <w:rPr/>
        <w:t>Pedro guilherme merisio schabarum</w:t>
      </w:r>
    </w:p>
    <w:p>
      <w:pPr>
        <w:pStyle w:val="TE-Normal"/>
        <w:rPr/>
      </w:pPr>
    </w:p>
    <w:p>
      <w:pPr>
        <w:pStyle w:val="CP-CapaOrientador"/>
        <w:rPr/>
      </w:pPr>
      <w:r>
        <w:rPr/>
        <w:t xml:space="preserve">Orientador(a): Prof(ª). </w:t>
      </w:r>
      <w:r>
        <w:rPr>
          <w:highlight w:val="yellow"/>
        </w:rPr>
        <w:t>&lt;Nome professor&gt;, &lt;Esp.,Me., Dr.&gt;</w:t>
      </w:r>
    </w:p>
    <w:p>
      <w:pPr>
        <w:pStyle w:val="CP-CapaOrientador"/>
        <w:rPr/>
      </w:pPr>
      <w:r>
        <w:rPr/>
        <w:t xml:space="preserve">Co-Orientador(a): Prof(ª). </w:t>
      </w:r>
      <w:r>
        <w:rPr>
          <w:highlight w:val="yellow"/>
        </w:rPr>
        <w:t>&lt;Nome professor&gt;, &lt;Esp.,Me., Dr.&gt; Co-Orientador: apenas se tiver</w:t>
      </w:r>
    </w:p>
    <w:p>
      <w:pPr>
        <w:pStyle w:val="TE-Normal"/>
        <w:rPr/>
      </w:pPr>
      <w:r>
        <w:rPr/>
      </w:r>
    </w:p>
    <w:p>
      <w:pPr>
        <w:pStyle w:val="TE-Normal"/>
        <w:rPr/>
      </w:pPr>
      <w:r>
        <w:rPr/>
      </w:r>
    </w:p>
    <w:p>
      <w:pPr>
        <w:pStyle w:val="TE-Normal"/>
        <w:rPr/>
      </w:pPr>
    </w:p>
    <w:p>
      <w:pPr>
        <w:sectPr>
          <w:headerReference w:type="even" r:id="rId6"/>
          <w:headerReference w:type="default" r:id="rId7"/>
          <w:headerReference w:type="first" r:id="rId8"/>
          <w:type w:val="nextPage"/>
          <w:pgSz w:w="11906" w:h="16838"/>
          <w:pgMar w:left="1701" w:right="1134" w:gutter="0" w:header="720" w:top="1701" w:footer="0" w:bottom="1531"/>
          <w:pgNumType w:fmt="lowerRoman"/>
          <w:formProt w:val="false"/>
          <w:titlePg/>
          <w:textDirection w:val="lrTb"/>
          <w:docGrid w:type="default" w:linePitch="272" w:charSpace="8192"/>
        </w:sectPr>
        <w:pStyle w:val="CP-CapaLocaleData"/>
        <w:rPr/>
      </w:pPr>
      <w:bookmarkStart w:id="0" w:name="_Toc159362151"/>
      <w:bookmarkStart w:id="1" w:name="_Toc527798492"/>
      <w:bookmarkStart w:id="2" w:name="_Toc527795382"/>
      <w:bookmarkStart w:id="3" w:name="_Toc527793649"/>
      <w:bookmarkStart w:id="4" w:name="_Toc527721610"/>
      <w:r>
        <w:rPr/>
        <w:t>CHAPECÓ, novembro de 2026</w:t>
      </w:r>
    </w:p>
    <w:p>
      <w:pPr>
        <w:pStyle w:val="TC-TituloCentralizado"/>
        <w:rPr/>
      </w:pPr>
      <w:bookmarkStart w:id="5" w:name="_Toc527798492"/>
      <w:bookmarkStart w:id="6" w:name="_Toc527795382"/>
      <w:bookmarkStart w:id="7" w:name="_Toc527793649"/>
      <w:bookmarkStart w:id="8" w:name="_Toc527721610"/>
      <w:bookmarkStart w:id="9" w:name="__RefHeading___Toc974_1503872338"/>
      <w:bookmarkStart w:id="10" w:name="_Toc238404359"/>
      <w:bookmarkEnd w:id="9"/>
      <w:r>
        <w:rPr/>
        <w:t>Lista de</w:t>
      </w:r>
      <w:bookmarkEnd w:id="5"/>
      <w:bookmarkEnd w:id="6"/>
      <w:bookmarkEnd w:id="7"/>
      <w:bookmarkEnd w:id="8"/>
      <w:r>
        <w:rPr/>
        <w:t xml:space="preserve"> Ilustrações</w:t>
      </w:r>
      <w:bookmarkEnd w:id="0"/>
      <w:bookmarkEnd w:id="10"/>
    </w:p>
    <w:sdt>
      <w:sdtPr>
        <w:docPartObj>
          <w:docPartGallery w:val="Table of Contents"/>
          <w:docPartUnique w:val="true"/>
        </w:docPartObj>
      </w:sdtPr>
      <w:sdtContent>
        <w:p>
          <w:pPr>
            <w:pStyle w:val="TOC9"/>
            <w:rPr>
              <w:rFonts w:ascii="Calibri" w:hAnsi="Calibri" w:eastAsia="" w:cs="" w:asciiTheme="minorHAnsi" w:cstheme="minorBidi" w:eastAsiaTheme="minorEastAsia" w:hAnsiTheme="minorHAnsi"/>
              <w:sz w:val="22"/>
              <w:szCs w:val="22"/>
            </w:rPr>
          </w:pPr>
          <w:r>
            <w:fldChar w:fldCharType="begin"/>
          </w:r>
          <w:r>
            <w:rPr>
              <w:b/>
            </w:rPr>
            <w:instrText xml:space="preserve"> TOC \t "TE-LegendaFigura,9" \h</w:instrText>
            <w:fldChar w:fldCharType="separate"/>
            <w:t>FIGURA 1 -</w:t>
          </w:r>
          <w:r>
            <w:rPr>
              <w:rFonts w:eastAsia="" w:cs="" w:ascii="Calibri" w:hAnsi="Calibri" w:asciiTheme="minorHAnsi" w:cstheme="minorBidi" w:eastAsiaTheme="minorEastAsia" w:hAnsiTheme="minorHAnsi"/>
              <w:sz w:val="22"/>
              <w:szCs w:val="22"/>
            </w:rPr>
            <w:tab/>
          </w:r>
          <w:r>
            <w:rPr/>
            <w:t>Estrutura do item Apresentação (Item 1.1)</w:t>
            <w:tab/>
          </w:r>
          <w:r>
            <w:rPr>
              <w:rFonts w:eastAsia="" w:cs="" w:ascii="Calibri" w:hAnsi="Calibri" w:asciiTheme="minorHAnsi" w:cstheme="minorBidi" w:eastAsiaTheme="minorEastAsia" w:hAnsiTheme="minorHAnsi"/>
              <w:sz w:val="22"/>
              <w:szCs w:val="22"/>
            </w:rPr>
            <w:t>1</w:t>
          </w:r>
        </w:p>
        <w:p>
          <w:pPr>
            <w:pStyle w:val="TOC9"/>
            <w:rPr>
              <w:rFonts w:ascii="Calibri" w:hAnsi="Calibri" w:eastAsia="" w:cs="" w:asciiTheme="minorHAnsi" w:cstheme="minorBidi" w:eastAsiaTheme="minorEastAsia" w:hAnsiTheme="minorHAnsi"/>
              <w:sz w:val="22"/>
              <w:szCs w:val="22"/>
            </w:rPr>
          </w:pPr>
          <w:r>
            <w:rPr>
              <w:b/>
            </w:rPr>
            <w:t>FIGURA 2 -</w:t>
          </w:r>
          <w:r>
            <w:rPr>
              <w:rFonts w:eastAsia="" w:cs="" w:ascii="Calibri" w:hAnsi="Calibri" w:asciiTheme="minorHAnsi" w:cstheme="minorBidi" w:eastAsiaTheme="minorEastAsia" w:hAnsiTheme="minorHAnsi"/>
              <w:sz w:val="22"/>
              <w:szCs w:val="22"/>
            </w:rPr>
            <w:tab/>
          </w:r>
          <w:r>
            <w:rPr/>
            <w:t>Estrutura do relatório final do TCC</w:t>
            <w:tab/>
          </w:r>
          <w:r>
            <w:rPr>
              <w:rFonts w:eastAsia="" w:cs="" w:ascii="Calibri" w:hAnsi="Calibri" w:asciiTheme="minorHAnsi" w:cstheme="minorBidi" w:eastAsiaTheme="minorEastAsia" w:hAnsiTheme="minorHAnsi"/>
              <w:sz w:val="22"/>
              <w:szCs w:val="22"/>
            </w:rPr>
            <w:t>5</w:t>
          </w:r>
          <w:r>
            <w:rPr>
              <w:sz w:val="22"/>
              <w:szCs w:val="22"/>
              <w:rFonts w:eastAsia="" w:cs="" w:ascii="Calibri" w:hAnsi="Calibri"/>
            </w:rPr>
            <w:fldChar w:fldCharType="end"/>
          </w:r>
        </w:p>
      </w:sdtContent>
    </w:sdt>
    <w:p>
      <w:pPr>
        <w:pStyle w:val="TE-Normal"/>
        <w:widowControl w:val="false"/>
        <w:bidi w:val="0"/>
        <w:spacing w:lineRule="auto" w:line="360" w:before="0" w:after="0"/>
        <w:ind w:firstLine="1009"/>
        <w:jc w:val="both"/>
        <w:rPr>
          <w:sz w:val="26"/>
        </w:rPr>
      </w:pPr>
      <w:r>
        <w:rPr>
          <w:sz w:val="26"/>
        </w:rPr>
      </w:r>
    </w:p>
    <w:p>
      <w:pPr>
        <w:pStyle w:val="TE-Normal"/>
        <w:rPr/>
      </w:pPr>
      <w:r>
        <w:rPr/>
      </w:r>
    </w:p>
    <w:p>
      <w:pPr>
        <w:pStyle w:val="LI-ListaItem"/>
        <w:rPr/>
      </w:pPr>
      <w:r>
        <w:rPr/>
      </w:r>
    </w:p>
    <w:p>
      <w:pPr>
        <w:sectPr>
          <w:headerReference w:type="even" r:id="rId9"/>
          <w:headerReference w:type="default" r:id="rId10"/>
          <w:headerReference w:type="first" r:id="rId11"/>
          <w:type w:val="nextPage"/>
          <w:pgSz w:w="11906" w:h="16838"/>
          <w:pgMar w:left="1701" w:right="1134" w:gutter="0" w:header="720" w:top="1701" w:footer="0" w:bottom="1531"/>
          <w:pgNumType w:start="3" w:fmt="lowerRoman"/>
          <w:formProt w:val="false"/>
          <w:titlePg/>
          <w:textDirection w:val="lrTb"/>
          <w:docGrid w:type="default" w:linePitch="100" w:charSpace="8192"/>
        </w:sectPr>
        <w:pStyle w:val="TE-Normal"/>
        <w:rPr/>
      </w:pPr>
      <w:r>
        <w:rPr/>
      </w:r>
    </w:p>
    <w:p>
      <w:pPr>
        <w:pStyle w:val="TC-TituloCentralizado"/>
        <w:rPr/>
      </w:pPr>
      <w:bookmarkStart w:id="11" w:name="__RefHeading___Toc982_1503872338"/>
      <w:bookmarkStart w:id="12" w:name="_Toc238404360"/>
      <w:bookmarkStart w:id="13" w:name="_Toc159362152"/>
      <w:bookmarkEnd w:id="11"/>
      <w:r>
        <w:rPr/>
        <w:t>Lista de QUADROS</w:t>
      </w:r>
      <w:bookmarkEnd w:id="12"/>
      <w:bookmarkEnd w:id="13"/>
    </w:p>
    <w:sdt>
      <w:sdtPr>
        <w:docPartObj>
          <w:docPartGallery w:val="Table of Contents"/>
          <w:docPartUnique w:val="true"/>
        </w:docPartObj>
      </w:sdtPr>
      <w:sdtContent>
        <w:p>
          <w:pPr>
            <w:pStyle w:val="TOC9"/>
            <w:rPr>
              <w:rFonts w:ascii="Calibri" w:hAnsi="Calibri" w:eastAsia="" w:cs="" w:asciiTheme="minorHAnsi" w:cstheme="minorBidi" w:eastAsiaTheme="minorEastAsia" w:hAnsiTheme="minorHAnsi"/>
              <w:sz w:val="22"/>
              <w:szCs w:val="22"/>
            </w:rPr>
          </w:pPr>
          <w:r>
            <w:fldChar w:fldCharType="begin"/>
          </w:r>
          <w:r>
            <w:rPr>
              <w:b/>
            </w:rPr>
            <w:instrText xml:space="preserve"> TOC \t "TE-LegendaQuadro,9" \h</w:instrText>
            <w:fldChar w:fldCharType="separate"/>
            <w:t>QUADRO 1 -</w:t>
          </w:r>
          <w:r>
            <w:rPr>
              <w:rFonts w:eastAsia="" w:cs="" w:ascii="Calibri" w:hAnsi="Calibri" w:asciiTheme="minorHAnsi" w:cstheme="minorBidi" w:eastAsiaTheme="minorEastAsia" w:hAnsiTheme="minorHAnsi"/>
              <w:sz w:val="22"/>
              <w:szCs w:val="22"/>
            </w:rPr>
            <w:tab/>
          </w:r>
          <w:r>
            <w:rPr/>
            <w:t>Estilos de formatação usados na Capa</w:t>
            <w:tab/>
          </w:r>
          <w:r>
            <w:rPr>
              <w:rFonts w:eastAsia="" w:cs="" w:ascii="Calibri" w:hAnsi="Calibri" w:asciiTheme="minorHAnsi" w:cstheme="minorBidi" w:eastAsiaTheme="minorEastAsia" w:hAnsiTheme="minorHAnsi"/>
              <w:sz w:val="22"/>
              <w:szCs w:val="22"/>
            </w:rPr>
            <w:t>10</w:t>
          </w:r>
        </w:p>
        <w:p>
          <w:pPr>
            <w:pStyle w:val="TOC9"/>
            <w:rPr>
              <w:rFonts w:ascii="Calibri" w:hAnsi="Calibri" w:eastAsia="" w:cs="" w:asciiTheme="minorHAnsi" w:cstheme="minorBidi" w:eastAsiaTheme="minorEastAsia" w:hAnsiTheme="minorHAnsi"/>
              <w:sz w:val="22"/>
              <w:szCs w:val="22"/>
            </w:rPr>
          </w:pPr>
          <w:r>
            <w:rPr>
              <w:b/>
            </w:rPr>
            <w:t>QUADRO 2 -</w:t>
          </w:r>
          <w:r>
            <w:rPr>
              <w:rFonts w:eastAsia="" w:cs="" w:ascii="Calibri" w:hAnsi="Calibri" w:asciiTheme="minorHAnsi" w:cstheme="minorBidi" w:eastAsiaTheme="minorEastAsia" w:hAnsiTheme="minorHAnsi"/>
              <w:sz w:val="22"/>
              <w:szCs w:val="22"/>
            </w:rPr>
            <w:tab/>
          </w:r>
          <w:r>
            <w:rPr/>
            <w:t>Estilos de formatação usados na Folha de rosto</w:t>
            <w:tab/>
          </w:r>
          <w:r>
            <w:rPr>
              <w:rFonts w:eastAsia="" w:cs="" w:ascii="Calibri" w:hAnsi="Calibri" w:asciiTheme="minorHAnsi" w:cstheme="minorBidi" w:eastAsiaTheme="minorEastAsia" w:hAnsiTheme="minorHAnsi"/>
              <w:sz w:val="22"/>
              <w:szCs w:val="22"/>
            </w:rPr>
            <w:t>11</w:t>
          </w:r>
        </w:p>
        <w:p>
          <w:pPr>
            <w:pStyle w:val="TOC9"/>
            <w:rPr>
              <w:rFonts w:ascii="Calibri" w:hAnsi="Calibri" w:eastAsia="" w:cs="" w:asciiTheme="minorHAnsi" w:cstheme="minorBidi" w:eastAsiaTheme="minorEastAsia" w:hAnsiTheme="minorHAnsi"/>
              <w:sz w:val="22"/>
              <w:szCs w:val="22"/>
            </w:rPr>
          </w:pPr>
          <w:r>
            <w:rPr>
              <w:b/>
            </w:rPr>
            <w:t>QUADRO 3 -</w:t>
          </w:r>
          <w:r>
            <w:rPr>
              <w:rFonts w:eastAsia="" w:cs="" w:ascii="Calibri" w:hAnsi="Calibri" w:asciiTheme="minorHAnsi" w:cstheme="minorBidi" w:eastAsiaTheme="minorEastAsia" w:hAnsiTheme="minorHAnsi"/>
              <w:sz w:val="22"/>
              <w:szCs w:val="22"/>
            </w:rPr>
            <w:tab/>
          </w:r>
          <w:r>
            <w:rPr/>
            <w:t>Estilos de formatação usados no Termo de aprovação</w:t>
            <w:tab/>
          </w:r>
          <w:r>
            <w:rPr>
              <w:rFonts w:eastAsia="" w:cs="" w:ascii="Calibri" w:hAnsi="Calibri" w:asciiTheme="minorHAnsi" w:cstheme="minorBidi" w:eastAsiaTheme="minorEastAsia" w:hAnsiTheme="minorHAnsi"/>
              <w:sz w:val="22"/>
              <w:szCs w:val="22"/>
            </w:rPr>
            <w:t>11</w:t>
          </w:r>
        </w:p>
        <w:p>
          <w:pPr>
            <w:pStyle w:val="TOC9"/>
            <w:rPr>
              <w:rFonts w:ascii="Calibri" w:hAnsi="Calibri" w:eastAsia="" w:cs="" w:asciiTheme="minorHAnsi" w:cstheme="minorBidi" w:eastAsiaTheme="minorEastAsia" w:hAnsiTheme="minorHAnsi"/>
              <w:sz w:val="22"/>
              <w:szCs w:val="22"/>
            </w:rPr>
          </w:pPr>
          <w:r>
            <w:rPr>
              <w:b/>
            </w:rPr>
            <w:t>QUADRO 4 -</w:t>
          </w:r>
          <w:r>
            <w:rPr>
              <w:rFonts w:eastAsia="" w:cs="" w:ascii="Calibri" w:hAnsi="Calibri" w:asciiTheme="minorHAnsi" w:cstheme="minorBidi" w:eastAsiaTheme="minorEastAsia" w:hAnsiTheme="minorHAnsi"/>
              <w:sz w:val="22"/>
              <w:szCs w:val="22"/>
            </w:rPr>
            <w:tab/>
          </w:r>
          <w:r>
            <w:rPr/>
            <w:t>Estilos de formatação usados na Dedicatória e Agradecimentos</w:t>
            <w:tab/>
          </w:r>
          <w:r>
            <w:rPr>
              <w:rFonts w:eastAsia="" w:cs="" w:ascii="Calibri" w:hAnsi="Calibri" w:asciiTheme="minorHAnsi" w:cstheme="minorBidi" w:eastAsiaTheme="minorEastAsia" w:hAnsiTheme="minorHAnsi"/>
              <w:sz w:val="22"/>
              <w:szCs w:val="22"/>
            </w:rPr>
            <w:t>12</w:t>
          </w:r>
        </w:p>
        <w:p>
          <w:pPr>
            <w:pStyle w:val="TOC9"/>
            <w:rPr>
              <w:rFonts w:ascii="Calibri" w:hAnsi="Calibri" w:eastAsia="" w:cs="" w:asciiTheme="minorHAnsi" w:cstheme="minorBidi" w:eastAsiaTheme="minorEastAsia" w:hAnsiTheme="minorHAnsi"/>
              <w:sz w:val="22"/>
              <w:szCs w:val="22"/>
            </w:rPr>
          </w:pPr>
          <w:r>
            <w:rPr>
              <w:b/>
            </w:rPr>
            <w:t>QUADRO 5 -</w:t>
          </w:r>
          <w:r>
            <w:rPr>
              <w:rFonts w:eastAsia="" w:cs="" w:ascii="Calibri" w:hAnsi="Calibri" w:asciiTheme="minorHAnsi" w:cstheme="minorBidi" w:eastAsiaTheme="minorEastAsia" w:hAnsiTheme="minorHAnsi"/>
              <w:sz w:val="22"/>
              <w:szCs w:val="22"/>
            </w:rPr>
            <w:tab/>
          </w:r>
          <w:r>
            <w:rPr/>
            <w:t>Estilos de formatação usados na Epígrafe</w:t>
            <w:tab/>
          </w:r>
          <w:r>
            <w:rPr>
              <w:rFonts w:eastAsia="" w:cs="" w:ascii="Calibri" w:hAnsi="Calibri" w:asciiTheme="minorHAnsi" w:cstheme="minorBidi" w:eastAsiaTheme="minorEastAsia" w:hAnsiTheme="minorHAnsi"/>
              <w:sz w:val="22"/>
              <w:szCs w:val="22"/>
            </w:rPr>
            <w:t>12</w:t>
          </w:r>
        </w:p>
        <w:p>
          <w:pPr>
            <w:pStyle w:val="TOC9"/>
            <w:rPr>
              <w:rFonts w:ascii="Calibri" w:hAnsi="Calibri" w:eastAsia="" w:cs="" w:asciiTheme="minorHAnsi" w:cstheme="minorBidi" w:eastAsiaTheme="minorEastAsia" w:hAnsiTheme="minorHAnsi"/>
              <w:sz w:val="22"/>
              <w:szCs w:val="22"/>
            </w:rPr>
          </w:pPr>
          <w:r>
            <w:rPr>
              <w:b/>
            </w:rPr>
            <w:t>QUADRO 6 -</w:t>
          </w:r>
          <w:r>
            <w:rPr>
              <w:rFonts w:eastAsia="" w:cs="" w:ascii="Calibri" w:hAnsi="Calibri" w:asciiTheme="minorHAnsi" w:cstheme="minorBidi" w:eastAsiaTheme="minorEastAsia" w:hAnsiTheme="minorHAnsi"/>
              <w:sz w:val="22"/>
              <w:szCs w:val="22"/>
            </w:rPr>
            <w:tab/>
          </w:r>
          <w:r>
            <w:rPr/>
            <w:t>Estilos de formatação usados no Sumário</w:t>
            <w:tab/>
          </w:r>
          <w:r>
            <w:rPr>
              <w:rFonts w:eastAsia="" w:cs="" w:ascii="Calibri" w:hAnsi="Calibri" w:asciiTheme="minorHAnsi" w:cstheme="minorBidi" w:eastAsiaTheme="minorEastAsia" w:hAnsiTheme="minorHAnsi"/>
              <w:sz w:val="22"/>
              <w:szCs w:val="22"/>
            </w:rPr>
            <w:t>12</w:t>
          </w:r>
        </w:p>
        <w:p>
          <w:pPr>
            <w:pStyle w:val="TOC9"/>
            <w:rPr>
              <w:rFonts w:ascii="Calibri" w:hAnsi="Calibri" w:eastAsia="" w:cs="" w:asciiTheme="minorHAnsi" w:cstheme="minorBidi" w:eastAsiaTheme="minorEastAsia" w:hAnsiTheme="minorHAnsi"/>
              <w:sz w:val="22"/>
              <w:szCs w:val="22"/>
            </w:rPr>
          </w:pPr>
          <w:r>
            <w:rPr>
              <w:b/>
            </w:rPr>
            <w:t>QUADRO 7 -</w:t>
          </w:r>
          <w:r>
            <w:rPr>
              <w:rFonts w:eastAsia="" w:cs="" w:ascii="Calibri" w:hAnsi="Calibri" w:asciiTheme="minorHAnsi" w:cstheme="minorBidi" w:eastAsiaTheme="minorEastAsia" w:hAnsiTheme="minorHAnsi"/>
              <w:sz w:val="22"/>
              <w:szCs w:val="22"/>
            </w:rPr>
            <w:tab/>
          </w:r>
          <w:r>
            <w:rPr/>
            <w:t>Estilos de formatação usados nas Listas de Ilustrações</w:t>
            <w:tab/>
          </w:r>
          <w:r>
            <w:rPr>
              <w:rFonts w:eastAsia="" w:cs="" w:ascii="Calibri" w:hAnsi="Calibri" w:asciiTheme="minorHAnsi" w:cstheme="minorBidi" w:eastAsiaTheme="minorEastAsia" w:hAnsiTheme="minorHAnsi"/>
              <w:sz w:val="22"/>
              <w:szCs w:val="22"/>
            </w:rPr>
            <w:t>13</w:t>
          </w:r>
        </w:p>
        <w:p>
          <w:pPr>
            <w:pStyle w:val="TOC9"/>
            <w:rPr>
              <w:rFonts w:ascii="Calibri" w:hAnsi="Calibri" w:eastAsia="" w:cs="" w:asciiTheme="minorHAnsi" w:cstheme="minorBidi" w:eastAsiaTheme="minorEastAsia" w:hAnsiTheme="minorHAnsi"/>
              <w:sz w:val="22"/>
              <w:szCs w:val="22"/>
            </w:rPr>
          </w:pPr>
          <w:r>
            <w:rPr>
              <w:b/>
            </w:rPr>
            <w:t>QUADRO 8 -</w:t>
          </w:r>
          <w:r>
            <w:rPr>
              <w:rFonts w:eastAsia="" w:cs="" w:ascii="Calibri" w:hAnsi="Calibri" w:asciiTheme="minorHAnsi" w:cstheme="minorBidi" w:eastAsiaTheme="minorEastAsia" w:hAnsiTheme="minorHAnsi"/>
              <w:sz w:val="22"/>
              <w:szCs w:val="22"/>
            </w:rPr>
            <w:tab/>
          </w:r>
          <w:r>
            <w:rPr/>
            <w:t>Estilos de formatação usados no Resumo e no Abstract</w:t>
            <w:tab/>
          </w:r>
          <w:r>
            <w:rPr>
              <w:rFonts w:eastAsia="" w:cs="" w:ascii="Calibri" w:hAnsi="Calibri" w:asciiTheme="minorHAnsi" w:cstheme="minorBidi" w:eastAsiaTheme="minorEastAsia" w:hAnsiTheme="minorHAnsi"/>
              <w:sz w:val="22"/>
              <w:szCs w:val="22"/>
            </w:rPr>
            <w:t>13</w:t>
          </w:r>
        </w:p>
        <w:p>
          <w:pPr>
            <w:pStyle w:val="TOC9"/>
            <w:rPr>
              <w:rFonts w:ascii="Calibri" w:hAnsi="Calibri" w:eastAsia="" w:cs="" w:asciiTheme="minorHAnsi" w:cstheme="minorBidi" w:eastAsiaTheme="minorEastAsia" w:hAnsiTheme="minorHAnsi"/>
              <w:sz w:val="22"/>
              <w:szCs w:val="22"/>
            </w:rPr>
          </w:pPr>
          <w:r>
            <w:rPr>
              <w:b/>
            </w:rPr>
            <w:t>QUADRO 9 -</w:t>
          </w:r>
          <w:r>
            <w:rPr>
              <w:rFonts w:eastAsia="" w:cs="" w:ascii="Calibri" w:hAnsi="Calibri" w:asciiTheme="minorHAnsi" w:cstheme="minorBidi" w:eastAsiaTheme="minorEastAsia" w:hAnsiTheme="minorHAnsi"/>
              <w:sz w:val="22"/>
              <w:szCs w:val="22"/>
            </w:rPr>
            <w:tab/>
          </w:r>
          <w:r>
            <w:rPr/>
            <w:t>Estilos usados no Desenvolvido do trabalho</w:t>
            <w:tab/>
          </w:r>
          <w:r>
            <w:rPr>
              <w:rFonts w:eastAsia="" w:cs="" w:ascii="Calibri" w:hAnsi="Calibri" w:asciiTheme="minorHAnsi" w:cstheme="minorBidi" w:eastAsiaTheme="minorEastAsia" w:hAnsiTheme="minorHAnsi"/>
              <w:sz w:val="22"/>
              <w:szCs w:val="22"/>
            </w:rPr>
            <w:t>14</w:t>
          </w:r>
        </w:p>
        <w:p>
          <w:pPr>
            <w:pStyle w:val="TOC9"/>
            <w:rPr>
              <w:rFonts w:ascii="Calibri" w:hAnsi="Calibri" w:eastAsia="" w:cs="" w:asciiTheme="minorHAnsi" w:cstheme="minorBidi" w:eastAsiaTheme="minorEastAsia" w:hAnsiTheme="minorHAnsi"/>
              <w:sz w:val="22"/>
              <w:szCs w:val="22"/>
            </w:rPr>
          </w:pPr>
          <w:r>
            <w:rPr>
              <w:b/>
            </w:rPr>
            <w:t>QUADRO 10 -</w:t>
          </w:r>
          <w:r>
            <w:rPr>
              <w:rFonts w:eastAsia="" w:cs="" w:ascii="Calibri" w:hAnsi="Calibri" w:asciiTheme="minorHAnsi" w:cstheme="minorBidi" w:eastAsiaTheme="minorEastAsia" w:hAnsiTheme="minorHAnsi"/>
              <w:sz w:val="22"/>
              <w:szCs w:val="22"/>
            </w:rPr>
            <w:tab/>
          </w:r>
          <w:r>
            <w:rPr/>
            <w:t>Estilos de formatação usados nas Referências</w:t>
            <w:tab/>
          </w:r>
          <w:r>
            <w:rPr>
              <w:rFonts w:eastAsia="" w:cs="" w:ascii="Calibri" w:hAnsi="Calibri" w:asciiTheme="minorHAnsi" w:cstheme="minorBidi" w:eastAsiaTheme="minorEastAsia" w:hAnsiTheme="minorHAnsi"/>
              <w:sz w:val="22"/>
              <w:szCs w:val="22"/>
            </w:rPr>
            <w:t>15</w:t>
          </w:r>
        </w:p>
        <w:p>
          <w:pPr>
            <w:pStyle w:val="TOC9"/>
            <w:rPr>
              <w:rFonts w:ascii="Calibri" w:hAnsi="Calibri" w:eastAsia="" w:cs="" w:asciiTheme="minorHAnsi" w:cstheme="minorBidi" w:eastAsiaTheme="minorEastAsia" w:hAnsiTheme="minorHAnsi"/>
              <w:sz w:val="22"/>
              <w:szCs w:val="22"/>
            </w:rPr>
          </w:pPr>
          <w:r>
            <w:rPr>
              <w:b/>
            </w:rPr>
            <w:t>QUADRO 11 -</w:t>
          </w:r>
          <w:r>
            <w:rPr>
              <w:rFonts w:eastAsia="" w:cs="" w:ascii="Calibri" w:hAnsi="Calibri" w:asciiTheme="minorHAnsi" w:cstheme="minorBidi" w:eastAsiaTheme="minorEastAsia" w:hAnsiTheme="minorHAnsi"/>
              <w:sz w:val="22"/>
              <w:szCs w:val="22"/>
            </w:rPr>
            <w:tab/>
          </w:r>
          <w:r>
            <w:rPr/>
            <w:t>Exemplo</w:t>
            <w:tab/>
          </w:r>
          <w:r>
            <w:rPr>
              <w:rFonts w:eastAsia="" w:cs="" w:ascii="Calibri" w:hAnsi="Calibri" w:asciiTheme="minorHAnsi" w:cstheme="minorBidi" w:eastAsiaTheme="minorEastAsia" w:hAnsiTheme="minorHAnsi"/>
              <w:sz w:val="22"/>
              <w:szCs w:val="22"/>
            </w:rPr>
            <w:t>18</w:t>
          </w:r>
          <w:r>
            <w:rPr>
              <w:sz w:val="22"/>
              <w:szCs w:val="22"/>
              <w:rFonts w:eastAsia="" w:cs="" w:ascii="Calibri" w:hAnsi="Calibri"/>
            </w:rPr>
            <w:fldChar w:fldCharType="end"/>
          </w:r>
        </w:p>
      </w:sdtContent>
    </w:sdt>
    <w:p>
      <w:pPr>
        <w:pStyle w:val="TE-Normal"/>
        <w:widowControl w:val="false"/>
        <w:bidi w:val="0"/>
        <w:spacing w:lineRule="auto" w:line="360" w:before="0" w:after="0"/>
        <w:ind w:firstLine="1009"/>
        <w:jc w:val="both"/>
        <w:rPr>
          <w:sz w:val="26"/>
        </w:rPr>
      </w:pPr>
      <w:r>
        <w:rPr>
          <w:sz w:val="26"/>
        </w:rPr>
      </w:r>
    </w:p>
    <w:p>
      <w:pPr>
        <w:pStyle w:val="TE-Normal"/>
        <w:rPr/>
      </w:pPr>
      <w:r>
        <w:rPr/>
      </w:r>
    </w:p>
    <w:p>
      <w:pPr>
        <w:sectPr>
          <w:headerReference w:type="even" r:id="rId12"/>
          <w:headerReference w:type="default" r:id="rId13"/>
          <w:headerReference w:type="first" r:id="rId14"/>
          <w:type w:val="nextPage"/>
          <w:pgSz w:w="11906" w:h="16838"/>
          <w:pgMar w:left="1701" w:right="1134" w:gutter="0" w:header="720" w:top="1701" w:footer="0" w:bottom="1531"/>
          <w:pgNumType w:fmt="lowerRoman"/>
          <w:formProt w:val="false"/>
          <w:titlePg/>
          <w:textDirection w:val="lrTb"/>
          <w:docGrid w:type="default" w:linePitch="100" w:charSpace="8192"/>
        </w:sectPr>
        <w:pStyle w:val="TE-Normal"/>
        <w:rPr/>
      </w:pPr>
      <w:r>
        <w:rPr/>
      </w:r>
    </w:p>
    <w:p>
      <w:pPr>
        <w:pStyle w:val="TC-TituloCentralizado"/>
        <w:rPr>
          <w:lang w:val="en-US"/>
        </w:rPr>
      </w:pPr>
      <w:bookmarkStart w:id="19" w:name="__RefHeading___Toc976_1503872338"/>
      <w:bookmarkStart w:id="20" w:name="_Toc238404363"/>
      <w:bookmarkStart w:id="21" w:name="_Toc159362154"/>
      <w:bookmarkEnd w:id="19"/>
      <w:r>
        <w:rPr>
          <w:lang w:val="en-US"/>
        </w:rPr>
        <w:t>Lista de Siglas</w:t>
      </w:r>
      <w:bookmarkEnd w:id="20"/>
      <w:bookmarkEnd w:id="21"/>
    </w:p>
    <w:p>
      <w:pPr>
        <w:pStyle w:val="LI-ListaItem"/>
        <w:rPr>
          <w:lang w:val="en-US"/>
        </w:rPr>
      </w:pPr>
      <w:r>
        <w:rPr>
          <w:lang w:val="en-US"/>
        </w:rPr>
        <w:t xml:space="preserve">BLAST </w:t>
        <w:tab/>
        <w:t xml:space="preserve">- </w:t>
      </w:r>
      <w:r>
        <w:rPr>
          <w:i/>
          <w:iCs/>
        </w:rPr>
        <w:t>Basic Local Alignment Search Tool</w:t>
      </w:r>
    </w:p>
    <w:p>
      <w:pPr>
        <w:pStyle w:val="LI-ListaItem"/>
        <w:rPr/>
      </w:pPr>
      <w:r>
        <w:rPr/>
        <w:t xml:space="preserve">MEI </w:t>
        <w:tab/>
        <w:t xml:space="preserve">- </w:t>
      </w:r>
      <w:r>
        <w:rPr>
          <w:i/>
          <w:iCs/>
        </w:rPr>
        <w:t>Music Encoding Initiative</w:t>
      </w:r>
    </w:p>
    <w:p>
      <w:pPr>
        <w:pStyle w:val="LI-ListaItem"/>
        <w:rPr/>
      </w:pPr>
      <w:r>
        <w:rPr/>
        <w:t xml:space="preserve">MIDI </w:t>
        <w:tab/>
        <w:t xml:space="preserve">- </w:t>
      </w:r>
      <w:r>
        <w:rPr>
          <w:i/>
          <w:iCs/>
        </w:rPr>
        <w:t>Musical Instrument Digital Interface</w:t>
      </w:r>
    </w:p>
    <w:p>
      <w:pPr>
        <w:pStyle w:val="LI-ListaItem"/>
        <w:rPr/>
      </w:pPr>
      <w:r>
        <w:rPr/>
        <w:t xml:space="preserve">OMR </w:t>
        <w:tab/>
        <w:t xml:space="preserve">- </w:t>
      </w:r>
      <w:r>
        <w:rPr>
          <w:i/>
          <w:iCs/>
        </w:rPr>
        <w:t>Optical Music Recognition</w:t>
      </w:r>
    </w:p>
    <w:p>
      <w:pPr>
        <w:pStyle w:val="LI-ListaItem"/>
        <w:rPr/>
      </w:pPr>
      <w:r>
        <w:rPr/>
      </w:r>
    </w:p>
    <w:p>
      <w:pPr>
        <w:pStyle w:val="LI-ListaItem"/>
        <w:rPr/>
      </w:pPr>
      <w:r>
        <w:rPr/>
      </w:r>
    </w:p>
    <w:p>
      <w:pPr>
        <w:sectPr>
          <w:headerReference w:type="even" r:id="rId21"/>
          <w:headerReference w:type="default" r:id="rId22"/>
          <w:headerReference w:type="first" r:id="rId23"/>
          <w:type w:val="nextPage"/>
          <w:pgSz w:w="11906" w:h="16838"/>
          <w:pgMar w:left="1701" w:right="1134" w:gutter="0" w:header="720" w:top="1701" w:footer="0" w:bottom="1531"/>
          <w:pgNumType w:fmt="lowerRoman"/>
          <w:formProt w:val="false"/>
          <w:titlePg/>
          <w:textDirection w:val="lrTb"/>
          <w:docGrid w:type="default" w:linePitch="100" w:charSpace="8192"/>
        </w:sectPr>
        <w:pStyle w:val="TE-Normal"/>
        <w:rPr/>
      </w:pPr>
    </w:p>
    <w:p>
      <w:pPr>
        <w:pStyle w:val="TC-TituloSumario"/>
        <w:rPr/>
      </w:pPr>
      <w:r>
        <w:rPr/>
        <w:t>Sumário</w:t>
      </w:r>
    </w:p>
    <w:sdt>
      <w:sdtPr>
        <w:docPartObj>
          <w:docPartGallery w:val="Table of Contents"/>
          <w:docPartUnique w:val="true"/>
        </w:docPartObj>
      </w:sdtPr>
      <w:sdtContent>
        <w:p>
          <w:pPr>
            <w:pStyle w:val="TOC1"/>
            <w:tabs>
              <w:tab w:val="clear" w:pos="9072"/>
              <w:tab w:val="right" w:pos="9071" w:leader="dot"/>
            </w:tabs>
            <w:rPr/>
          </w:pPr>
          <w:r>
            <w:fldChar w:fldCharType="begin"/>
          </w:r>
          <w:r>
            <w:rPr>
              <w:rStyle w:val="Vnculodendice"/>
            </w:rPr>
            <w:instrText xml:space="preserve"> TOC \t "TC-TituloCentralizado,1,TP-TituloCentralizadoPos,1,Heading 1,2,T1-TituloPrimario,2,Heading 2,3,T2-TituloSecundario,3,Heading 3,4,T3-TituloTerciario,4" \h</w:instrText>
            <w:fldChar w:fldCharType="separate"/>
          </w:r>
          <w:hyperlink w:anchor="__RefHeading___Toc974_1503872338">
            <w:r>
              <w:rPr>
                <w:rStyle w:val="Vnculodendice"/>
              </w:rPr>
              <w:t>Lista de Ilustrações</w:t>
              <w:tab/>
              <w:t>iii</w:t>
            </w:r>
          </w:hyperlink>
        </w:p>
        <w:p>
          <w:pPr>
            <w:pStyle w:val="TOC1"/>
            <w:tabs>
              <w:tab w:val="clear" w:pos="9072"/>
              <w:tab w:val="right" w:pos="9071" w:leader="dot"/>
            </w:tabs>
            <w:rPr/>
          </w:pPr>
          <w:hyperlink w:anchor="__RefHeading___Toc982_1503872338">
            <w:r>
              <w:rPr>
                <w:rStyle w:val="Vnculodendice"/>
              </w:rPr>
              <w:t>Lista de QUADROS</w:t>
              <w:tab/>
              <w:t>iv</w:t>
            </w:r>
          </w:hyperlink>
        </w:p>
        <w:p>
          <w:pPr>
            <w:pStyle w:val="TOC1"/>
            <w:tabs>
              <w:tab w:val="clear" w:pos="9072"/>
              <w:tab w:val="right" w:pos="9071" w:leader="dot"/>
            </w:tabs>
            <w:rPr/>
          </w:pPr>
          <w:hyperlink w:anchor="__RefHeading___Toc980_1503872338">
            <w:r>
              <w:rPr>
                <w:rStyle w:val="Vnculodendice"/>
              </w:rPr>
              <w:t>Lista de tabelas</w:t>
              <w:tab/>
              <w:t>v</w:t>
            </w:r>
          </w:hyperlink>
        </w:p>
        <w:p>
          <w:pPr>
            <w:pStyle w:val="TOC1"/>
            <w:tabs>
              <w:tab w:val="clear" w:pos="9072"/>
              <w:tab w:val="right" w:pos="9071" w:leader="dot"/>
            </w:tabs>
            <w:rPr/>
          </w:pPr>
          <w:hyperlink w:anchor="__RefHeading___Toc978_1503872338">
            <w:r>
              <w:rPr>
                <w:rStyle w:val="Vnculodendice"/>
              </w:rPr>
              <w:t>Lista de GRÁFICOS</w:t>
              <w:tab/>
              <w:t>vi</w:t>
            </w:r>
          </w:hyperlink>
        </w:p>
        <w:p>
          <w:pPr>
            <w:pStyle w:val="TOC1"/>
            <w:tabs>
              <w:tab w:val="clear" w:pos="9072"/>
              <w:tab w:val="right" w:pos="9071" w:leader="dot"/>
            </w:tabs>
            <w:rPr/>
          </w:pPr>
          <w:hyperlink w:anchor="__RefHeading___Toc976_1503872338">
            <w:r>
              <w:rPr>
                <w:rStyle w:val="Vnculodendice"/>
              </w:rPr>
              <w:t>Lista de Siglas</w:t>
              <w:tab/>
              <w:t>vii</w:t>
            </w:r>
          </w:hyperlink>
        </w:p>
        <w:p>
          <w:pPr>
            <w:pStyle w:val="TOC2"/>
            <w:tabs>
              <w:tab w:val="clear" w:pos="9072"/>
              <w:tab w:val="right" w:pos="9071" w:leader="dot"/>
            </w:tabs>
            <w:rPr/>
          </w:pPr>
          <w:hyperlink w:anchor="__RefHeading___Toc1004_1503872338">
            <w:r>
              <w:rPr>
                <w:rStyle w:val="Vnculodendice"/>
              </w:rPr>
              <w:t>1 Introdução</w:t>
              <w:tab/>
              <w:t>1</w:t>
            </w:r>
          </w:hyperlink>
        </w:p>
        <w:p>
          <w:pPr>
            <w:pStyle w:val="TOC3"/>
            <w:tabs>
              <w:tab w:val="clear" w:pos="9072"/>
              <w:tab w:val="right" w:pos="9071" w:leader="dot"/>
            </w:tabs>
            <w:rPr/>
          </w:pPr>
          <w:hyperlink w:anchor="__RefHeading___Toc1052_1503872338">
            <w:r>
              <w:rPr>
                <w:rStyle w:val="Vnculodendice"/>
              </w:rPr>
              <w:t>1.1 Delimitação do problema</w:t>
              <w:tab/>
              <w:t>2</w:t>
            </w:r>
          </w:hyperlink>
        </w:p>
        <w:p>
          <w:pPr>
            <w:pStyle w:val="TOC3"/>
            <w:tabs>
              <w:tab w:val="clear" w:pos="9072"/>
              <w:tab w:val="right" w:pos="9071" w:leader="dot"/>
            </w:tabs>
            <w:rPr/>
          </w:pPr>
          <w:hyperlink w:anchor="__RefHeading___Toc1050_1503872338">
            <w:r>
              <w:rPr>
                <w:rStyle w:val="Vnculodendice"/>
              </w:rPr>
              <w:t>1.2 Objetivos</w:t>
              <w:tab/>
              <w:t>3</w:t>
            </w:r>
          </w:hyperlink>
        </w:p>
        <w:p>
          <w:pPr>
            <w:pStyle w:val="TOC4"/>
            <w:tabs>
              <w:tab w:val="clear" w:pos="9072"/>
              <w:tab w:val="right" w:pos="9071" w:leader="dot"/>
            </w:tabs>
            <w:rPr/>
          </w:pPr>
          <w:hyperlink w:anchor="__RefHeading___Toc1056_1503872338">
            <w:r>
              <w:rPr>
                <w:rStyle w:val="Vnculodendice"/>
              </w:rPr>
              <w:t>1.2.1 Objetivo geral</w:t>
              <w:tab/>
              <w:t>3</w:t>
            </w:r>
          </w:hyperlink>
        </w:p>
        <w:p>
          <w:pPr>
            <w:pStyle w:val="TOC4"/>
            <w:tabs>
              <w:tab w:val="clear" w:pos="9072"/>
              <w:tab w:val="right" w:pos="9071" w:leader="dot"/>
            </w:tabs>
            <w:rPr/>
          </w:pPr>
          <w:hyperlink w:anchor="__RefHeading___Toc1054_1503872338">
            <w:r>
              <w:rPr>
                <w:rStyle w:val="Vnculodendice"/>
              </w:rPr>
              <w:t>1.2.2 Objetivos específicos</w:t>
              <w:tab/>
              <w:t>4</w:t>
            </w:r>
          </w:hyperlink>
        </w:p>
        <w:p>
          <w:pPr>
            <w:pStyle w:val="TOC3"/>
            <w:tabs>
              <w:tab w:val="clear" w:pos="9072"/>
              <w:tab w:val="right" w:pos="9071" w:leader="dot"/>
            </w:tabs>
            <w:rPr/>
          </w:pPr>
          <w:hyperlink w:anchor="__RefHeading___Toc1048_1503872338">
            <w:r>
              <w:rPr>
                <w:rStyle w:val="Vnculodendice"/>
              </w:rPr>
              <w:t>1.3 Justificativa</w:t>
              <w:tab/>
              <w:t>4</w:t>
            </w:r>
          </w:hyperlink>
        </w:p>
        <w:p>
          <w:pPr>
            <w:pStyle w:val="TOC3"/>
            <w:tabs>
              <w:tab w:val="clear" w:pos="9072"/>
              <w:tab w:val="right" w:pos="9071" w:leader="dot"/>
            </w:tabs>
            <w:rPr/>
          </w:pPr>
          <w:hyperlink w:anchor="__RefHeading___Toc1046_1503872338">
            <w:r>
              <w:rPr>
                <w:rStyle w:val="Vnculodendice"/>
              </w:rPr>
              <w:t>1.4 Delimitação do Escopo</w:t>
              <w:tab/>
              <w:t>6</w:t>
            </w:r>
          </w:hyperlink>
        </w:p>
        <w:p>
          <w:pPr>
            <w:pStyle w:val="TOC2"/>
            <w:tabs>
              <w:tab w:val="clear" w:pos="9072"/>
              <w:tab w:val="right" w:pos="9071" w:leader="dot"/>
            </w:tabs>
            <w:rPr/>
          </w:pPr>
          <w:hyperlink w:anchor="__RefHeading___Toc1002_1503872338">
            <w:r>
              <w:rPr>
                <w:rStyle w:val="Vnculodendice"/>
              </w:rPr>
              <w:t>2 Fundamentação Teórico-Musical da Transformação Motívica</w:t>
              <w:tab/>
              <w:t>8</w:t>
            </w:r>
          </w:hyperlink>
        </w:p>
        <w:p>
          <w:pPr>
            <w:pStyle w:val="TOC3"/>
            <w:tabs>
              <w:tab w:val="clear" w:pos="9072"/>
              <w:tab w:val="right" w:pos="9071" w:leader="dot"/>
            </w:tabs>
            <w:rPr/>
          </w:pPr>
          <w:hyperlink w:anchor="__RefHeading___Toc1044_1503872338">
            <w:r>
              <w:rPr>
                <w:rStyle w:val="Vnculodendice"/>
              </w:rPr>
              <w:t>2.1 Grundgestalt e developing variation</w:t>
              <w:tab/>
              <w:t>8</w:t>
            </w:r>
          </w:hyperlink>
        </w:p>
        <w:p>
          <w:pPr>
            <w:pStyle w:val="TOC3"/>
            <w:tabs>
              <w:tab w:val="clear" w:pos="9072"/>
              <w:tab w:val="right" w:pos="9071" w:leader="dot"/>
            </w:tabs>
            <w:rPr/>
          </w:pPr>
          <w:hyperlink w:anchor="__RefHeading___Toc1042_1503872338">
            <w:r>
              <w:rPr>
                <w:rStyle w:val="Vnculodendice"/>
              </w:rPr>
              <w:t>2.2 O processo temático em Réti e sua extensão crítica por Frisch</w:t>
              <w:tab/>
              <w:t>9</w:t>
            </w:r>
          </w:hyperlink>
        </w:p>
        <w:p>
          <w:pPr>
            <w:pStyle w:val="TOC3"/>
            <w:tabs>
              <w:tab w:val="clear" w:pos="9072"/>
              <w:tab w:val="right" w:pos="9071" w:leader="dot"/>
            </w:tabs>
            <w:rPr/>
          </w:pPr>
          <w:hyperlink w:anchor="__RefHeading___Toc1040_1503872338">
            <w:r>
              <w:rPr>
                <w:rStyle w:val="Vnculodendice"/>
              </w:rPr>
              <w:t>2.3 Percepção melódica: o modelo de implicação-realização de Narmour</w:t>
              <w:tab/>
              <w:t>10</w:t>
            </w:r>
          </w:hyperlink>
        </w:p>
        <w:p>
          <w:pPr>
            <w:pStyle w:val="TOC3"/>
            <w:tabs>
              <w:tab w:val="clear" w:pos="9072"/>
              <w:tab w:val="right" w:pos="9071" w:leader="dot"/>
            </w:tabs>
            <w:rPr/>
          </w:pPr>
          <w:hyperlink w:anchor="__RefHeading___Toc1038_1503872338">
            <w:r>
              <w:rPr>
                <w:rStyle w:val="Vnculodendice"/>
              </w:rPr>
              <w:t>2.4 Considerações do capítulo</w:t>
              <w:tab/>
              <w:t>11</w:t>
            </w:r>
          </w:hyperlink>
        </w:p>
        <w:p>
          <w:pPr>
            <w:pStyle w:val="TOC2"/>
            <w:tabs>
              <w:tab w:val="clear" w:pos="9072"/>
              <w:tab w:val="right" w:pos="9071" w:leader="dot"/>
            </w:tabs>
            <w:rPr/>
          </w:pPr>
          <w:hyperlink w:anchor="__RefHeading___Toc1000_1503872338">
            <w:r>
              <w:rPr>
                <w:rStyle w:val="Vnculodendice"/>
              </w:rPr>
              <w:t>3 Alinhamento de Sequências: Fundamentos Computacionais</w:t>
              <w:tab/>
              <w:t>12</w:t>
            </w:r>
          </w:hyperlink>
        </w:p>
        <w:p>
          <w:pPr>
            <w:pStyle w:val="TOC3"/>
            <w:tabs>
              <w:tab w:val="clear" w:pos="9072"/>
              <w:tab w:val="right" w:pos="9071" w:leader="dot"/>
            </w:tabs>
            <w:rPr/>
          </w:pPr>
          <w:hyperlink w:anchor="__RefHeading___Toc1036_1503872338">
            <w:r>
              <w:rPr>
                <w:rStyle w:val="Vnculodendice"/>
              </w:rPr>
              <w:t>3.1 O problema do alinhamento de sequências</w:t>
              <w:tab/>
              <w:t>12</w:t>
            </w:r>
          </w:hyperlink>
        </w:p>
        <w:p>
          <w:pPr>
            <w:pStyle w:val="TOC3"/>
            <w:tabs>
              <w:tab w:val="clear" w:pos="9072"/>
              <w:tab w:val="right" w:pos="9071" w:leader="dot"/>
            </w:tabs>
            <w:rPr/>
          </w:pPr>
          <w:hyperlink w:anchor="__RefHeading___Toc1034_1503872338">
            <w:r>
              <w:rPr>
                <w:rStyle w:val="Vnculodendice"/>
              </w:rPr>
              <w:t>3.2 Alinhamento global: Needleman-Wunsch</w:t>
              <w:tab/>
              <w:t>13</w:t>
            </w:r>
          </w:hyperlink>
        </w:p>
        <w:p>
          <w:pPr>
            <w:pStyle w:val="TOC3"/>
            <w:tabs>
              <w:tab w:val="clear" w:pos="9072"/>
              <w:tab w:val="right" w:pos="9071" w:leader="dot"/>
            </w:tabs>
            <w:rPr/>
          </w:pPr>
          <w:hyperlink w:anchor="__RefHeading___Toc1032_1503872338">
            <w:r>
              <w:rPr>
                <w:rStyle w:val="Vnculodendice"/>
              </w:rPr>
              <w:t>3.3 Alinhamento local: Smith-Waterman</w:t>
              <w:tab/>
              <w:t>14</w:t>
            </w:r>
          </w:hyperlink>
        </w:p>
        <w:p>
          <w:pPr>
            <w:pStyle w:val="TOC3"/>
            <w:tabs>
              <w:tab w:val="clear" w:pos="9072"/>
              <w:tab w:val="right" w:pos="9071" w:leader="dot"/>
            </w:tabs>
            <w:rPr/>
          </w:pPr>
          <w:hyperlink w:anchor="__RefHeading___Toc1030_1503872338">
            <w:r>
              <w:rPr>
                <w:rStyle w:val="Vnculodendice"/>
              </w:rPr>
              <w:t>3.4 A heurística seed-and-extend: BLAST</w:t>
              <w:tab/>
              <w:t>14</w:t>
            </w:r>
          </w:hyperlink>
        </w:p>
        <w:p>
          <w:pPr>
            <w:pStyle w:val="TOC3"/>
            <w:tabs>
              <w:tab w:val="clear" w:pos="9072"/>
              <w:tab w:val="right" w:pos="9071" w:leader="dot"/>
            </w:tabs>
            <w:rPr/>
          </w:pPr>
          <w:hyperlink w:anchor="__RefHeading___Toc1028_1503872338">
            <w:r>
              <w:rPr>
                <w:rStyle w:val="Vnculodendice"/>
              </w:rPr>
              <w:t>3.5 Considerações do capítulo</w:t>
              <w:tab/>
              <w:t>15</w:t>
            </w:r>
          </w:hyperlink>
        </w:p>
        <w:p>
          <w:pPr>
            <w:pStyle w:val="TOC2"/>
            <w:tabs>
              <w:tab w:val="clear" w:pos="9072"/>
              <w:tab w:val="right" w:pos="9071" w:leader="dot"/>
            </w:tabs>
            <w:rPr/>
          </w:pPr>
          <w:hyperlink w:anchor="__RefHeading___Toc998_1503872338">
            <w:r>
              <w:rPr>
                <w:rStyle w:val="Vnculodendice"/>
              </w:rPr>
              <w:t>4 Trabalhos Relacionados em Música Simbólica</w:t>
              <w:tab/>
              <w:t>17</w:t>
            </w:r>
          </w:hyperlink>
        </w:p>
        <w:p>
          <w:pPr>
            <w:pStyle w:val="TOC3"/>
            <w:tabs>
              <w:tab w:val="clear" w:pos="9072"/>
              <w:tab w:val="right" w:pos="9071" w:leader="dot"/>
            </w:tabs>
            <w:rPr/>
          </w:pPr>
          <w:hyperlink w:anchor="__RefHeading___Toc1026_1503872338">
            <w:r>
              <w:rPr>
                <w:rStyle w:val="Vnculodendice"/>
              </w:rPr>
              <w:t>4.1 Comparação notacional: o musicdiff</w:t>
              <w:tab/>
              <w:t>17</w:t>
            </w:r>
          </w:hyperlink>
        </w:p>
        <w:p>
          <w:pPr>
            <w:pStyle w:val="TOC3"/>
            <w:tabs>
              <w:tab w:val="clear" w:pos="9072"/>
              <w:tab w:val="right" w:pos="9071" w:leader="dot"/>
            </w:tabs>
            <w:rPr/>
          </w:pPr>
          <w:hyperlink w:anchor="__RefHeading___Toc1024_1503872338">
            <w:r>
              <w:rPr>
                <w:rStyle w:val="Vnculodendice"/>
              </w:rPr>
              <w:t>4.2 Descoberta geométrica de padrões: a família SIATEC</w:t>
              <w:tab/>
              <w:t>18</w:t>
            </w:r>
          </w:hyperlink>
        </w:p>
        <w:p>
          <w:pPr>
            <w:pStyle w:val="TOC3"/>
            <w:tabs>
              <w:tab w:val="clear" w:pos="9072"/>
              <w:tab w:val="right" w:pos="9071" w:leader="dot"/>
            </w:tabs>
            <w:rPr/>
          </w:pPr>
          <w:hyperlink w:anchor="__RefHeading___Toc1022_1503872338">
            <w:r>
              <w:rPr>
                <w:rStyle w:val="Vnculodendice"/>
              </w:rPr>
              <w:t>4.3 Alinhamento local intra-obra</w:t>
              <w:tab/>
              <w:t>19</w:t>
            </w:r>
          </w:hyperlink>
        </w:p>
        <w:p>
          <w:pPr>
            <w:pStyle w:val="TOC3"/>
            <w:tabs>
              <w:tab w:val="clear" w:pos="9072"/>
              <w:tab w:val="right" w:pos="9071" w:leader="dot"/>
            </w:tabs>
            <w:rPr/>
          </w:pPr>
          <w:hyperlink w:anchor="__RefHeading___Toc1020_1503872338">
            <w:r>
              <w:rPr>
                <w:rStyle w:val="Vnculodendice"/>
              </w:rPr>
              <w:t>4.4 Síntese e posicionamento deste trabalho</w:t>
              <w:tab/>
              <w:t>19</w:t>
            </w:r>
          </w:hyperlink>
        </w:p>
        <w:p>
          <w:pPr>
            <w:pStyle w:val="TOC3"/>
            <w:tabs>
              <w:tab w:val="clear" w:pos="9072"/>
              <w:tab w:val="right" w:pos="9071" w:leader="dot"/>
            </w:tabs>
            <w:rPr/>
          </w:pPr>
          <w:hyperlink w:anchor="__RefHeading___Toc1018_1503872338">
            <w:r>
              <w:rPr>
                <w:rStyle w:val="Vnculodendice"/>
              </w:rPr>
              <w:t>4.5 Considerações do capítulo</w:t>
              <w:tab/>
              <w:t>20</w:t>
            </w:r>
          </w:hyperlink>
        </w:p>
        <w:p>
          <w:pPr>
            <w:pStyle w:val="TOC2"/>
            <w:tabs>
              <w:tab w:val="clear" w:pos="9072"/>
              <w:tab w:val="right" w:pos="9071" w:leader="dot"/>
            </w:tabs>
            <w:rPr/>
          </w:pPr>
          <w:hyperlink w:anchor="__RefHeading___Toc996_1503872338">
            <w:r>
              <w:rPr>
                <w:rStyle w:val="Vnculodendice"/>
              </w:rPr>
              <w:t>5 MODELAGEM DO PROTÓTIPO</w:t>
              <w:tab/>
              <w:t>21</w:t>
            </w:r>
          </w:hyperlink>
        </w:p>
        <w:p>
          <w:pPr>
            <w:pStyle w:val="TOC3"/>
            <w:tabs>
              <w:tab w:val="clear" w:pos="9072"/>
              <w:tab w:val="right" w:pos="9071" w:leader="dot"/>
            </w:tabs>
            <w:rPr/>
          </w:pPr>
          <w:hyperlink w:anchor="__RefHeading___Toc1016_1503872338">
            <w:r>
              <w:rPr>
                <w:rStyle w:val="Vnculodendice"/>
              </w:rPr>
              <w:t>5.1 Descrição da Solução Proposta</w:t>
              <w:tab/>
              <w:t>21</w:t>
            </w:r>
          </w:hyperlink>
        </w:p>
        <w:p>
          <w:pPr>
            <w:pStyle w:val="TOC3"/>
            <w:tabs>
              <w:tab w:val="clear" w:pos="9072"/>
              <w:tab w:val="right" w:pos="9071" w:leader="dot"/>
            </w:tabs>
            <w:rPr/>
          </w:pPr>
          <w:hyperlink w:anchor="__RefHeading___Toc1014_1503872338">
            <w:r>
              <w:rPr>
                <w:rStyle w:val="Vnculodendice"/>
              </w:rPr>
              <w:t>5.2 Elicitação de Requisitos</w:t>
              <w:tab/>
              <w:t>21</w:t>
            </w:r>
          </w:hyperlink>
        </w:p>
        <w:p>
          <w:pPr>
            <w:pStyle w:val="TOC3"/>
            <w:tabs>
              <w:tab w:val="clear" w:pos="9072"/>
              <w:tab w:val="right" w:pos="9071" w:leader="dot"/>
            </w:tabs>
            <w:rPr/>
          </w:pPr>
          <w:hyperlink w:anchor="__RefHeading___Toc1012_1503872338">
            <w:r>
              <w:rPr>
                <w:rStyle w:val="Vnculodendice"/>
              </w:rPr>
              <w:t>5.3 Diagrama de Caso de Uso</w:t>
              <w:tab/>
              <w:t>21</w:t>
            </w:r>
          </w:hyperlink>
        </w:p>
        <w:p>
          <w:pPr>
            <w:pStyle w:val="TOC3"/>
            <w:tabs>
              <w:tab w:val="clear" w:pos="9072"/>
              <w:tab w:val="right" w:pos="9071" w:leader="dot"/>
            </w:tabs>
            <w:rPr/>
          </w:pPr>
          <w:hyperlink w:anchor="__RefHeading___Toc1010_1503872338">
            <w:r>
              <w:rPr>
                <w:rStyle w:val="Vnculodendice"/>
              </w:rPr>
              <w:t>5.4 Projeto do Protótipo</w:t>
              <w:tab/>
              <w:t>21</w:t>
            </w:r>
          </w:hyperlink>
        </w:p>
        <w:p>
          <w:pPr>
            <w:pStyle w:val="TOC3"/>
            <w:tabs>
              <w:tab w:val="clear" w:pos="9072"/>
              <w:tab w:val="right" w:pos="9071" w:leader="dot"/>
            </w:tabs>
            <w:rPr/>
          </w:pPr>
          <w:hyperlink w:anchor="__RefHeading___Toc1008_1503872338">
            <w:r>
              <w:rPr>
                <w:rStyle w:val="Vnculodendice"/>
              </w:rPr>
              <w:t>5.5 Wireframes</w:t>
              <w:tab/>
              <w:t>21</w:t>
            </w:r>
          </w:hyperlink>
        </w:p>
        <w:p>
          <w:pPr>
            <w:pStyle w:val="TOC3"/>
            <w:tabs>
              <w:tab w:val="clear" w:pos="9072"/>
              <w:tab w:val="right" w:pos="9071" w:leader="dot"/>
            </w:tabs>
            <w:rPr/>
          </w:pPr>
          <w:hyperlink w:anchor="__RefHeading___Toc1006_1503872338">
            <w:r>
              <w:rPr>
                <w:rStyle w:val="Vnculodendice"/>
              </w:rPr>
              <w:t>5.6 Considerações do Capítulo</w:t>
              <w:tab/>
              <w:t>22</w:t>
            </w:r>
          </w:hyperlink>
        </w:p>
        <w:p>
          <w:pPr>
            <w:pStyle w:val="TOC2"/>
            <w:tabs>
              <w:tab w:val="clear" w:pos="9072"/>
              <w:tab w:val="right" w:pos="9071" w:leader="dot"/>
            </w:tabs>
            <w:rPr/>
          </w:pPr>
          <w:hyperlink w:anchor="__RefHeading___Toc994_1503872338">
            <w:r>
              <w:rPr>
                <w:rStyle w:val="Vnculodendice"/>
              </w:rPr>
              <w:t>6 PROCEDIMENTOS METODOLÓGICOS</w:t>
              <w:tab/>
              <w:t>23</w:t>
            </w:r>
          </w:hyperlink>
        </w:p>
        <w:p>
          <w:pPr>
            <w:pStyle w:val="TOC2"/>
            <w:tabs>
              <w:tab w:val="clear" w:pos="9072"/>
              <w:tab w:val="right" w:pos="9071" w:leader="dot"/>
            </w:tabs>
            <w:rPr/>
          </w:pPr>
          <w:hyperlink w:anchor="__RefHeading___Toc992_1503872338">
            <w:r>
              <w:rPr>
                <w:rStyle w:val="Vnculodendice"/>
              </w:rPr>
              <w:t>7 CRONOGRAMA</w:t>
              <w:tab/>
              <w:t>24</w:t>
            </w:r>
          </w:hyperlink>
        </w:p>
        <w:p>
          <w:pPr>
            <w:pStyle w:val="TOC2"/>
            <w:tabs>
              <w:tab w:val="clear" w:pos="9072"/>
              <w:tab w:val="right" w:pos="9071" w:leader="dot"/>
            </w:tabs>
            <w:rPr/>
          </w:pPr>
          <w:hyperlink w:anchor="__RefHeading___Toc990_1503872338">
            <w:r>
              <w:rPr>
                <w:rStyle w:val="Vnculodendice"/>
              </w:rPr>
              <w:t>8 ORÇAMENTO</w:t>
              <w:tab/>
              <w:t>26</w:t>
            </w:r>
          </w:hyperlink>
        </w:p>
        <w:p>
          <w:pPr>
            <w:pStyle w:val="TOC1"/>
            <w:tabs>
              <w:tab w:val="clear" w:pos="9072"/>
              <w:tab w:val="right" w:pos="9071" w:leader="dot"/>
            </w:tabs>
            <w:rPr/>
          </w:pPr>
          <w:hyperlink w:anchor="__RefHeading___Toc984_1503872338">
            <w:r>
              <w:rPr>
                <w:rStyle w:val="Vnculodendice"/>
              </w:rPr>
              <w:t>Referências</w:t>
              <w:tab/>
              <w:t>27</w:t>
            </w:r>
          </w:hyperlink>
        </w:p>
        <w:p>
          <w:pPr>
            <w:pStyle w:val="TOC1"/>
            <w:tabs>
              <w:tab w:val="clear" w:pos="9072"/>
              <w:tab w:val="right" w:pos="9071" w:leader="dot"/>
            </w:tabs>
            <w:rPr/>
          </w:pPr>
          <w:hyperlink w:anchor="__RefHeading___Toc988_1503872338">
            <w:r>
              <w:rPr>
                <w:rStyle w:val="Vnculodendice"/>
              </w:rPr>
              <w:t>Apêndices</w:t>
              <w:tab/>
              <w:t>29</w:t>
            </w:r>
          </w:hyperlink>
        </w:p>
        <w:p>
          <w:pPr>
            <w:pStyle w:val="TOC1"/>
            <w:tabs>
              <w:tab w:val="clear" w:pos="9072"/>
              <w:tab w:val="right" w:pos="9071" w:leader="dot"/>
            </w:tabs>
            <w:rPr/>
          </w:pPr>
          <w:hyperlink w:anchor="__RefHeading___Toc986_1503872338">
            <w:r>
              <w:rPr>
                <w:rStyle w:val="Vnculodendice"/>
              </w:rPr>
              <w:t>Anexos</w:t>
              <w:tab/>
              <w:t>31</w:t>
            </w:r>
          </w:hyperlink>
          <w:r>
            <w:rPr>
              <w:rStyle w:val="Vnculodendice"/>
            </w:rPr>
            <w:fldChar w:fldCharType="end"/>
          </w:r>
        </w:p>
      </w:sdtContent>
    </w:sdt>
    <w:p>
      <w:pPr>
        <w:pStyle w:val="Ndice5"/>
        <w:widowControl w:val="false"/>
        <w:bidi w:val="0"/>
        <w:spacing w:before="0" w:after="0"/>
        <w:jc w:val="left"/>
        <w:rPr>
          <w:b/>
          <w:caps/>
          <w:sz w:val="26"/>
        </w:rPr>
      </w:pPr>
      <w:r>
        <w:rPr>
          <w:b/>
          <w:caps/>
          <w:sz w:val="26"/>
        </w:rPr>
        <w:t xml:space="preserve"> </w:t>
      </w:r>
    </w:p>
    <w:p>
      <w:pPr>
        <w:pStyle w:val="TE-Normal"/>
        <w:rPr>
          <w:highlight w:val="yellow"/>
        </w:rPr>
      </w:pPr>
      <w:r>
        <w:rPr>
          <w:highlight w:val="yellow"/>
        </w:rPr>
      </w:r>
    </w:p>
    <w:p>
      <w:pPr>
        <w:pStyle w:val="TE-Normal"/>
        <w:rPr>
          <w:highlight w:val="yellow"/>
        </w:rPr>
      </w:pPr>
      <w:r>
        <w:rPr>
          <w:highlight w:val="yellow"/>
        </w:rPr>
      </w:r>
    </w:p>
    <w:p>
      <w:pPr>
        <w:pStyle w:val="TE-Resumo"/>
        <w:rPr>
          <w:sz w:val="28"/>
        </w:rPr>
      </w:pPr>
      <w:r>
        <w:rPr>
          <w:sz w:val="28"/>
        </w:rPr>
      </w:r>
    </w:p>
    <w:p>
      <w:pPr>
        <w:sectPr>
          <w:headerReference w:type="even" r:id="rId24"/>
          <w:headerReference w:type="default" r:id="rId25"/>
          <w:headerReference w:type="first" r:id="rId26"/>
          <w:type w:val="nextPage"/>
          <w:pgSz w:w="11906" w:h="16838"/>
          <w:pgMar w:left="1701" w:right="1134" w:gutter="0" w:header="720" w:top="1701" w:footer="0" w:bottom="1531"/>
          <w:pgNumType w:fmt="lowerRoman"/>
          <w:formProt w:val="false"/>
          <w:titlePg/>
          <w:textDirection w:val="lrTb"/>
          <w:docGrid w:type="default" w:linePitch="100" w:charSpace="8192"/>
        </w:sectPr>
        <w:pStyle w:val="TE-Normal"/>
        <w:rPr/>
      </w:pPr>
      <w:r>
        <w:rPr/>
      </w:r>
    </w:p>
    <w:p>
      <w:pPr>
        <w:pStyle w:val="T1-TituloPrimario"/>
        <w:numPr>
          <w:ilvl w:val="0"/>
          <w:numId w:val="6"/>
        </w:numPr>
        <w:ind w:hanging="283" w:left="283"/>
        <w:rPr/>
      </w:pPr>
      <w:bookmarkStart w:id="22" w:name="__RefHeading___Toc1004_1503872338"/>
      <w:bookmarkEnd w:id="22"/>
      <w:r>
        <w:rPr/>
        <w:t>Introdução</w:t>
      </w:r>
    </w:p>
    <w:p>
      <w:pPr>
        <w:pStyle w:val="TE-Normal"/>
        <w:rPr/>
      </w:pPr>
      <w:r>
        <w:rPr/>
        <w:t xml:space="preserve">A musicologia computacional tem se beneficiado da crescente disponibilidade de acervos de partituras em formato simbólico, como MusicXML, **kern e MEI (</w:t>
      </w:r>
      <w:r>
        <w:rPr>
          <w:i/>
          <w:iCs/>
        </w:rPr>
        <w:t xml:space="preserve">Music Encoding Initiative</w:t>
      </w:r>
      <w:r>
        <w:rPr/>
        <w:t xml:space="preserve">), o que amplia as possibilidades de análise automatizada não apenas de obras isoladas, mas também das relações entre diferentes versões de uma mesma composição: edições distintas, arranjos, revisões autorais ou transcrições realizadas ao longo do tempo.</w:t>
      </w:r>
    </w:p>
    <w:p>
      <w:pPr>
        <w:pStyle w:val="TE-Normal"/>
        <w:rPr/>
      </w:pPr>
      <w:r>
        <w:rPr/>
        <w:t xml:space="preserve">Comparar duas versões de uma obra musical, no entanto, exige mais do que identificar diferenças pontuais entre símbolos notacionais. Um motivo, padrão melódico-rítmico reconhecível que funciona como unidade básica de construção temática, pode ser transposto, invertido, retrogradado ou alterado ritmicamente e ainda assim ser reconhecido, por um ouvinte ou por um analista, como o mesmo motivo. Esse fenômeno é descrito na teoria musical pelo conceito de </w:t>
      </w:r>
      <w:r>
        <w:rPr>
          <w:i/>
          <w:iCs/>
        </w:rPr>
        <w:t xml:space="preserve">Grundgestalt</w:t>
      </w:r>
      <w:r>
        <w:rPr/>
        <w:t xml:space="preserve"> e pela ideia de </w:t>
      </w:r>
      <w:r>
        <w:rPr>
          <w:i/>
          <w:iCs/>
        </w:rPr>
        <w:t>developing variation</w:t>
      </w:r>
      <w:r>
        <w:rPr/>
        <w:t xml:space="preserve"> (SCHOENBERG, 1967), segundo a qual uma célula temática básica se desdobra e se transforma ao longo da obra sem perder sua identidade — processo que Réti (1951) já caracterizava como subjacente à construção temática de obras do repertório tonal, e que Frisch (1984) demonstrou de forma sistemática ao analisar dezoito obras de Brahms.</w:t>
      </w:r>
    </w:p>
    <w:p>
      <w:pPr>
        <w:pStyle w:val="TE-Normal"/>
        <w:rPr/>
      </w:pPr>
      <w:r>
        <w:rPr/>
        <w:t xml:space="preserve">Do lado computacional, encontrar correspondências entre sequências que toleram pequenas variações não é um problema novo. A bioinformática lida com isso há décadas ao comparar sequências de DNA e proteínas. O algoritmo de Needleman e Wunsch (1970) resolve o alinhamento global por programação dinâmica; o de Smith e Waterman (1981) faz o mesmo para alinhamento local. Desses trabalhos surgiu o BLAST (do inglês </w:t>
      </w:r>
      <w:r>
        <w:rPr>
          <w:i/>
          <w:iCs/>
        </w:rPr>
        <w:t xml:space="preserve">Basic Local Alignment Search Tool</w:t>
      </w:r>
      <w:r>
        <w:rPr/>
        <w:t xml:space="preserve">; ALTSCHUL et al., 1990), que populariza a estratégia de </w:t>
      </w:r>
      <w:r>
        <w:rPr>
          <w:i/>
          <w:iCs/>
        </w:rPr>
        <w:t xml:space="preserve">seed-and-extend</w:t>
      </w:r>
      <w:r>
        <w:rPr/>
        <w:t xml:space="preserve">: localizar pequenos trechos idênticos entre duas sequências e depois estendê-los, tolerando diferenças, em vez de comparar as sequências inteiras de uma vez.</w:t>
      </w:r>
    </w:p>
    <w:p>
      <w:pPr>
        <w:pStyle w:val="TE-Normal"/>
        <w:rPr/>
      </w:pPr>
      <w:r>
        <w:rPr/>
        <w:t xml:space="preserve">No domínio da música simbólica, porém, as ferramentas existentes atacam problemas vizinhos, mas distintos, do que é proposto neste trabalho. O musicdiff (FOSCARIN; JACQUEMARD; FOURNIER-S'NIEHOTTA, 2019) realiza uma comparação notacional entre arquivos de partitura, apontando diferenças símbolo a símbolo, sem necessariamente capturar equivalência musical entre trechos transformados. Já os métodos voltados à descoberta de padrões — da família geométrica/</w:t>
      </w:r>
      <w:r>
        <w:rPr>
          <w:i/>
          <w:iCs/>
        </w:rPr>
        <w:t xml:space="preserve">point-set</w:t>
      </w:r>
      <w:r>
        <w:rPr/>
        <w:t xml:space="preserve"> (MEREDITH; LEMSTRÖM; WIGGINS, 2002) a abordagens mais recentes baseadas em alinhamento local (ZHU et al., 2026) — buscam motivos que se repetem dentro de uma única peça, entre vozes (linhas melódicas simultâneas) ou seções, e não correspondências entre versões diferentes da mesma obra. Há, por outro lado, trabalhos que comparam variantes de uma mesma melodia (MONGEAU; SANKOFF, 1990; JANSSEN; VAN KRANENBURG; VOLK, 2017) e que já adaptaram o BLAST à música simbólica (KILIAN; HOOS, 2004; BOUNTOURIDIS et al., 2017). Eles se voltam, porém, à medição de semelhança, à recuperação de padrões ou à classificação de melodias, e não ao mapeamento de correspondências motívicas entre duas versões de uma obra.</w:t>
      </w:r>
    </w:p>
    <w:p>
      <w:pPr>
        <w:pStyle w:val="TE-Normal"/>
        <w:rPr>
          <w:sz w:val="22"/>
          <w:szCs w:val="22"/>
        </w:rPr>
      </w:pPr>
      <w:r>
        <w:rPr/>
        <w:t xml:space="preserve">É nesse espaço em aberto — entre o </w:t>
      </w:r>
      <w:r>
        <w:rPr>
          <w:i/>
          <w:iCs/>
        </w:rPr>
        <w:t xml:space="preserve">diff</w:t>
      </w:r>
      <w:r>
        <w:rPr/>
        <w:t xml:space="preserve"> notacional de baixo nível, a descoberta de motivos intra-obra e a medição de semelhança entre variantes — que se situa o problema investigado neste trabalho.</w:t>
      </w:r>
    </w:p>
    <w:p>
      <w:pPr>
        <w:pStyle w:val="TE-Normal"/>
        <w:rPr/>
      </w:pPr>
      <w:r>
        <w:rPr/>
        <w:t>Preencher essa lacuna interessa diretamente a pesquisadores e editores envolvidos na preparação de edições críticas de obras musicais, bem como a curadores de acervos digitais que reúnem diferentes edições e fontes de uma mesma composição.</w:t>
      </w:r>
    </w:p>
    <w:p>
      <w:pPr>
        <w:pStyle w:val="T2-TituloSecundario"/>
        <w:numPr>
          <w:ilvl w:val="1"/>
          <w:numId w:val="6"/>
        </w:numPr>
        <w:rPr/>
      </w:pPr>
      <w:bookmarkStart w:id="23" w:name="__RefHeading___Toc1052_1503872338"/>
      <w:bookmarkEnd w:id="23"/>
      <w:r>
        <w:rPr/>
        <w:t>Delimitação do problema</w:t>
      </w:r>
    </w:p>
    <w:p>
      <w:pPr>
        <w:pStyle w:val="TE-Normal"/>
        <w:rPr/>
      </w:pPr>
      <w:r>
        <w:rPr/>
        <w:t>Apesar dos avanços recentes em ferramentas de comparação de partituras simbólicas, a literatura consultada não apresenta um método consolidado capaz de reconhecer, entre diferentes versões de uma mesma composição, trechos que preservam a mesma identidade motívica sob transposição, inversão, retrogradação ou variação rítmica, nem critérios objetivos e replicáveis para decidir quando um trecho de uma versão corresponde a um trecho de outra.</w:t>
      </w:r>
    </w:p>
    <w:p>
      <w:pPr>
        <w:pStyle w:val="TE-Normal"/>
        <w:rPr/>
      </w:pPr>
      <w:r>
        <w:rPr/>
        <w:t>As ferramentas de comparação notacional, como o musicdiff (FOSCARIN; JACQUEMARD; FOURNIER-S'NIEHOTTA, 2019), operam no nível do símbolo: apontam inserções, remoções e substituições entre dois arquivos de partitura, mas não avaliam se as diferenças encontradas preservam ou rompem a identidade musical de um motivo. Já os métodos voltados à descoberta de padrões repetidos — da família geométrica (MEREDITH; LEMSTRÖM; WIGGINS, 2002) aos baseados em alinhamento local mais recentes (ZHU et al., 2026) — respondem a uma pergunta diferente: onde um motivo se repete dentro de uma única obra, entre vozes ou seções, e não onde um motivo de uma versão reaparece, transformado, em outra versão da mesma obra. Já os trabalhos que comparam variantes melódicas (MONGEAU; SANKOFF, 1990; JANSSEN; VAN KRANENBURG; VOLK, 2017) e os que adaptam o BLAST à música (KILIAN; HOOS, 2004; BOUNTOURIDIS et al., 2017) produzem medidas de semelhança, ocorrências de um padrão de consulta ou rótulos de classificação, e não um mapeamento das correspondências motívicas entre duas versões.</w:t>
      </w:r>
    </w:p>
    <w:p>
      <w:pPr>
        <w:pStyle w:val="TE-Normal"/>
        <w:rPr/>
      </w:pPr>
      <w:r>
        <w:rPr/>
        <w:t>O problema, portanto, é a ausência de um método capaz de alinhar sequencialmente duas versões simbólicas de uma composição, no nível motívico, tolerando transformações musicalmente reconhecíveis, e produzindo um resultado sobre o qual se possam aplicar critérios objetivos de avaliação — em vez de depender exclusivamente do julgamento qualitativo de um analista.</w:t>
      </w:r>
    </w:p>
    <w:p>
      <w:pPr>
        <w:pStyle w:val="TE-Normal"/>
        <w:rPr/>
      </w:pPr>
      <w:r>
        <w:rPr/>
        <w:t xml:space="preserve">Este trabalho delimita-se à investigação desse problema em partituras simbólicas, tomando como corpus os corais a quatro vozes de J. S. Bach (peças em que quatro linhas melódicas — soprano, contralto, tenor e baixo — soam simultaneamente em harmonia): um corpus de domínio público, amplamente utilizado em pesquisa de musicologia computacional e já fixado antes do início deste trabalho: sua composição não foi escolhida ou ajustada pelo autor em função dos resultados que o método deveria produzir, o que reduz o risco de viés de seleção presente em corpora construídos </w:t>
      </w:r>
      <w:r>
        <w:rPr>
          <w:i/>
          <w:iCs/>
        </w:rPr>
        <w:t>ad hoc</w:t>
      </w:r>
      <w:r>
        <w:rPr/>
        <w:t xml:space="preserve"> pelo próprio autor. A ênfase do TCC I recai sobre a fundamentação teórica e o desenho do método de alinhamento; a implementação do protótipo e a aplicação preliminar dos critérios de avaliação estão previstas para o TCC II.</w:t>
      </w:r>
    </w:p>
    <w:p>
      <w:pPr>
        <w:pStyle w:val="T2-TituloSecundario"/>
        <w:numPr>
          <w:ilvl w:val="1"/>
          <w:numId w:val="6"/>
        </w:numPr>
        <w:rPr/>
      </w:pPr>
      <w:bookmarkStart w:id="24" w:name="__RefHeading___Toc1050_1503872338"/>
      <w:bookmarkStart w:id="25" w:name="_Toc238404364"/>
      <w:bookmarkEnd w:id="24"/>
      <w:r>
        <w:rPr/>
        <w:t>Objetivos</w:t>
      </w:r>
      <w:bookmarkEnd w:id="25"/>
    </w:p>
    <w:p>
      <w:pPr>
        <w:pStyle w:val="T3-TituloTerciario"/>
        <w:numPr>
          <w:ilvl w:val="2"/>
          <w:numId w:val="6"/>
        </w:numPr>
        <w:ind w:left="0"/>
        <w:rPr/>
      </w:pPr>
      <w:bookmarkStart w:id="26" w:name="__RefHeading___Toc1056_1503872338"/>
      <w:bookmarkStart w:id="27" w:name="_Toc238404365"/>
      <w:bookmarkEnd w:id="26"/>
      <w:r>
        <w:rPr/>
        <w:t>Objetivo geral</w:t>
      </w:r>
      <w:bookmarkEnd w:id="27"/>
    </w:p>
    <w:p>
      <w:pPr>
        <w:pStyle w:val="TE-Normal"/>
        <w:rPr/>
      </w:pPr>
      <w:r>
        <w:rPr/>
        <w:t xml:space="preserve">Propor um método para identificação de correspondências motívicas entre diferentes versões simbólicas de uma mesma composição musical, tolerante a transformações como transposição, inversão, retrogradação e variação rítmica, por meio de uma heurística de alinhamento de sequências inspirada no BLAST (</w:t>
      </w:r>
      <w:r>
        <w:rPr>
          <w:i/>
          <w:iCs/>
        </w:rPr>
        <w:t xml:space="preserve">seed-and-extend</w:t>
      </w:r>
      <w:r>
        <w:rPr/>
        <w:t xml:space="preserve">), tendo como corpus de estudo os corais a quatro vozes de J. S. Bach, com aplicação voltada à preparação de edições críticas e à curadoria de acervos digitais de partituras simbólicas.</w:t>
      </w:r>
    </w:p>
    <w:p>
      <w:pPr>
        <w:pStyle w:val="T3-TituloTerciario"/>
        <w:numPr>
          <w:ilvl w:val="2"/>
          <w:numId w:val="6"/>
        </w:numPr>
        <w:ind w:left="0"/>
        <w:rPr/>
      </w:pPr>
      <w:bookmarkStart w:id="28" w:name="__RefHeading___Toc1054_1503872338"/>
      <w:bookmarkStart w:id="29" w:name="_Toc238404366"/>
      <w:bookmarkEnd w:id="28"/>
      <w:r>
        <w:rPr/>
        <w:t>Objetivos específicos</w:t>
      </w:r>
      <w:bookmarkEnd w:id="29"/>
    </w:p>
    <w:p>
      <w:pPr>
        <w:pStyle w:val="TE-Alnea"/>
        <w:numPr>
          <w:ilvl w:val="0"/>
          <w:numId w:val="11"/>
        </w:numPr>
        <w:tabs>
          <w:tab w:val="clear" w:pos="709"/>
          <w:tab w:val="left" w:pos="1369" w:leader="none"/>
        </w:tabs>
        <w:ind w:hanging="360" w:left="1369"/>
        <w:rPr/>
      </w:pPr>
      <w:r>
        <w:rPr/>
        <w:t xml:space="preserve">revisar a fundamentação teórico-musical sobre transformação motívica (</w:t>
      </w:r>
      <w:r>
        <w:rPr>
          <w:i/>
          <w:iCs/>
        </w:rPr>
        <w:t xml:space="preserve">Grundgestalt</w:t>
      </w:r>
      <w:r>
        <w:rPr/>
        <w:t xml:space="preserve">, </w:t>
      </w:r>
      <w:r>
        <w:rPr>
          <w:i/>
          <w:iCs/>
        </w:rPr>
        <w:t xml:space="preserve">developing variation</w:t>
      </w:r>
      <w:r>
        <w:rPr/>
        <w:t xml:space="preserve">) e os métodos computacionais de alinhamento de sequências e de descoberta de padrões musicais, situando o método proposto em relação aos trabalhos existentes;</w:t>
      </w:r>
    </w:p>
    <w:p>
      <w:pPr>
        <w:pStyle w:val="TE-Alnea"/>
        <w:numPr>
          <w:ilvl w:val="0"/>
          <w:numId w:val="5"/>
        </w:numPr>
        <w:tabs>
          <w:tab w:val="clear" w:pos="709"/>
          <w:tab w:val="left" w:pos="1369" w:leader="none"/>
        </w:tabs>
        <w:ind w:hanging="360" w:left="1369"/>
        <w:rPr/>
      </w:pPr>
      <w:r>
        <w:rPr/>
        <w:t>especificar uma representação simbólica dos motivos musicais adequada à aplicação das transformações consideradas (transposição, inversão, retrogradação, variação rítmica) e à comparação entre versões;</w:t>
      </w:r>
    </w:p>
    <w:p>
      <w:pPr>
        <w:pStyle w:val="TE-Alnea"/>
        <w:numPr>
          <w:ilvl w:val="0"/>
          <w:numId w:val="5"/>
        </w:numPr>
        <w:tabs>
          <w:tab w:val="clear" w:pos="709"/>
          <w:tab w:val="left" w:pos="1369" w:leader="none"/>
        </w:tabs>
        <w:ind w:hanging="360" w:left="1369"/>
        <w:rPr/>
      </w:pPr>
      <w:r>
        <w:rPr/>
        <w:t xml:space="preserve">adaptar a heurística </w:t>
      </w:r>
      <w:r>
        <w:rPr>
          <w:i/>
          <w:iCs/>
        </w:rPr>
        <w:t xml:space="preserve">seed-and-extend</w:t>
      </w:r>
      <w:r>
        <w:rPr/>
        <w:t xml:space="preserve">, originária da bioinformática, ao domínio simbólico musical, definindo os critérios de pontuação e de extensão do alinhamento;</w:t>
      </w:r>
    </w:p>
    <w:p>
      <w:pPr>
        <w:pStyle w:val="TE-Alnea"/>
        <w:numPr>
          <w:ilvl w:val="0"/>
          <w:numId w:val="5"/>
        </w:numPr>
        <w:tabs>
          <w:tab w:val="clear" w:pos="709"/>
          <w:tab w:val="left" w:pos="2546" w:leader="none"/>
        </w:tabs>
        <w:ind w:hanging="360" w:left="1369"/>
        <w:rPr/>
      </w:pPr>
      <w:r>
        <w:rPr/>
        <w:t>especificar a arquitetura de um protótipo do método — requisitos, componentes e parâmetros — a ser implementado sobre o corpus de corais de Bach no TCC II;</w:t>
      </w:r>
    </w:p>
    <w:p>
      <w:pPr>
        <w:pStyle w:val="TE-Alnea"/>
        <w:numPr>
          <w:ilvl w:val="0"/>
          <w:numId w:val="5"/>
        </w:numPr>
        <w:tabs>
          <w:tab w:val="clear" w:pos="709"/>
          <w:tab w:val="left" w:pos="2546" w:leader="none"/>
        </w:tabs>
        <w:ind w:hanging="360" w:left="1369"/>
        <w:rPr/>
      </w:pPr>
      <w:r>
        <w:rPr/>
        <w:t>propor critérios objetivos para avaliação de correspondências motívicas identificadas pelo método, a serem aplicados preliminarmente aos resultados obtidos após a implementação do protótipo.</w:t>
      </w:r>
    </w:p>
    <w:p>
      <w:pPr>
        <w:pStyle w:val="TE-Normal"/>
        <w:ind w:hanging="0"/>
        <w:rPr/>
      </w:pPr>
      <w:r>
        <w:rPr/>
      </w:r>
    </w:p>
    <w:p>
      <w:pPr>
        <w:pStyle w:val="T2-TituloSecundario"/>
        <w:numPr>
          <w:ilvl w:val="1"/>
          <w:numId w:val="6"/>
        </w:numPr>
        <w:rPr/>
      </w:pPr>
      <w:bookmarkStart w:id="30" w:name="__RefHeading___Toc1048_1503872338"/>
      <w:bookmarkStart w:id="31" w:name="_Toc238404367"/>
      <w:bookmarkEnd w:id="30"/>
      <w:r>
        <w:rPr/>
        <w:t>Justificativa</w:t>
      </w:r>
      <w:bookmarkEnd w:id="31"/>
    </w:p>
    <w:p>
      <w:pPr>
        <w:pStyle w:val="TE-Normal"/>
        <w:rPr/>
      </w:pPr>
      <w:r>
        <w:rPr/>
        <w:t>Reconhecer quando um motivo reaparece, transformado, em outra versão de uma composição musical tem relevância tanto para a pesquisa em ciência da computação aplicada à música quanto para a prática da análise musical assistida por computador.</w:t>
      </w:r>
    </w:p>
    <w:p>
      <w:pPr>
        <w:pStyle w:val="TE-Normal"/>
        <w:rPr/>
      </w:pPr>
      <w:r>
        <w:rPr/>
        <w:t xml:space="preserve">Do ponto de vista da musicologia, comparar versões de uma mesma obra (diferentes edições, arranjos ou revisões autorais) é uma tarefa recorrente na crítica textual musical (a comparação sistemática de fontes de uma obra para reconstituir ou documentar sua transmissão), mas que, no nível da identidade motívica, ainda depende em grande parte do julgamento e da disponibilidade de tempo do analista, já que as ferramentas computacionais disponíveis operam sobretudo no nível notacional, como se discute no Capítulo 4. O próprio corpus utilizado neste trabalho ilustra essa relevância prática. Os corais a quatro vozes de Bach chegaram até nós por duas vias distintas — parte transmitida dentro de obras maiores, como cantatas e paixões, muitas vezes em autógrafos do compositor, e parte preservada apenas em coletâneas organizadas postumamente. Entre essas fontes, é documentado que uma mesma harmonização pode aparecer registrada em tonalidades diferentes — uma transposição que um editor, hoje, só consegue identificar comparando manualmente fonte por fonte </w:t>
      </w:r>
      <w:r>
        <w:rPr>
          <w:highlight w:val="yellow"/>
        </w:rPr>
        <w:t>[CITAR: TERRY, 1915 — confirmar com coorientador ou localizar exemplo específico antes da entrega]</w:t>
      </w:r>
      <w:r>
        <w:rPr/>
        <w:t>. Um método automatizado de alinhamento tolerante a esse tipo de transformação teria aplicação direta para pesquisadores e editores envolvidos na preparação de edições críticas dos corais de Bach, bem como para curadores de acervos digitais que reúnem diferentes edições e fontes de uma mesma obra.</w:t>
      </w:r>
    </w:p>
    <w:p>
      <w:pPr>
        <w:pStyle w:val="TE-Normal"/>
        <w:rPr/>
      </w:pPr>
      <w:r>
        <w:rPr/>
        <w:t xml:space="preserve">Do ponto de vista computacional, o problema é relevante porque leva heurísticas de alinhamento consolidadas na bioinformática a uma tarefa não tratada nos trabalhos consultados. A analogia entre sequências biológicas e musicais não é nova: o BLAST (ALTSCHUL et al., 1990) já foi adaptado à busca de padrões e à classificação de melodias (KILIAN; HOOS, 2004; BOUNTOURIDIS et al., 2017). Essas adaptações, porém, respondem a perguntas de recuperação e classificação. Aplicar a mesma lógica, de busca por âncoras seguida de extensão tolerante a diferenças, à correspondência motívica entre versões de uma mesma obra, com as transformações explicitamente modeladas e avaliadas, estende essa analogia a um problema diferente e contribui especificamente para a musicologia computacional.</w:t>
      </w:r>
    </w:p>
    <w:p>
      <w:pPr>
        <w:pStyle w:val="TE-Normal"/>
        <w:rPr/>
      </w:pPr>
      <w:r>
        <w:rPr/>
        <w:t xml:space="preserve">Por fim, a tolerância a transformações aproxima o método da forma como a correspondência motívica é reconhecida na prática, embora com uma distinção importante entre o ouvinte e o analista. A percepção melódica opera sobre relações entre notas, e não sobre a identidade exata de cada nota (NARMOUR, 1990), e por isso um trecho transposto, que preserva essas relações, tende a ser reconhecido como o mesmo trecho. Para as demais transformações, a evidência é mais restrita. Em experimentos com melodias curtas, Dowling (1972) observou que ouvintes reconhecem inversões, retrógrados e retrógrados da inversão acima do acaso, mas com dificuldade crescente nessa ordem. O método proposto não pretende, portanto, modelar o que um ouvinte percebe. Pretende apoiar o analista, que reconhece essas relações pela leitura da partitura, tornando explícitas e verificáveis correspondências que um método restrito a repetições literais deixaria de fora.</w:t>
      </w:r>
    </w:p>
    <w:p>
      <w:pPr>
        <w:pStyle w:val="T2-TituloSecundario"/>
        <w:numPr>
          <w:ilvl w:val="1"/>
          <w:numId w:val="6"/>
        </w:numPr>
        <w:rPr/>
      </w:pPr>
      <w:bookmarkStart w:id="32" w:name="__RefHeading___Toc1046_1503872338"/>
      <w:bookmarkStart w:id="33" w:name="_Toc238404368"/>
      <w:bookmarkEnd w:id="32"/>
      <w:r>
        <w:rPr/>
        <w:t>Delimitação do Escopo</w:t>
      </w:r>
      <w:bookmarkEnd w:id="33"/>
    </w:p>
    <w:p>
      <w:pPr>
        <w:pStyle w:val="TE-Normal"/>
        <w:rPr/>
      </w:pPr>
      <w:r>
        <w:rPr/>
        <w:t>O escopo desta pesquisa limita-se à investigação de um método de alinhamento motívico entre versões simbólicas — não sonoras — de uma mesma composição musical, tomando como corpus de estudo os corais a quatro vozes de J. S. Bach disponíveis em formato simbólico (MusicXML, **kern, MEI).</w:t>
      </w:r>
    </w:p>
    <w:p>
      <w:pPr>
        <w:pStyle w:val="TE-Normal"/>
        <w:rPr/>
      </w:pPr>
      <w:r>
        <w:rPr/>
        <w:t>Dos três formatos, MusicXML foi adotado como formato de trabalho principal: é o formato em que o corpus de corais de Bach já é distribuído nativamente pelo music21 (CUTHBERT; ARIZA, 2010), com suporte completo de leitura e escrita na ferramenta. O **kern permanece relevante como formato de comparação, por sua tradição em pesquisa computacional de música — inclusive em Zhu et al. (2026). Já o MEI, apesar de ser o formato mais alinhado à aplicação de edições críticas que motiva este trabalho, tem hoje suporte apenas de leitura no music21, o que o torna um alvo de interoperabilidade para trabalhos futuros, não o formato de trabalho deste protótipo.</w:t>
      </w:r>
    </w:p>
    <w:p>
      <w:pPr>
        <w:pStyle w:val="TE-Normal"/>
        <w:rPr/>
      </w:pPr>
      <w:r>
        <w:rPr/>
        <w:t>A título de exemplo, a mesma nota — dó central, semínima — é representada nos três formatos conforme a Figura 1.</w:t>
      </w:r>
    </w:p>
    <w:p>
      <w:pPr>
        <w:pStyle w:val="TE-Figura"/>
        <w:rPr/>
      </w:pPr>
      <w:r>
        <w:rPr/>
        <w:drawing>
          <wp:inline distT="0" distB="0" distL="0" distR="0">
            <wp:extent cx="5220000" cy="2578006"/>
            <wp:effectExtent l="0" t="0" r="0" b="0"/>
            <wp:docPr id="101" name="Formatos MusicXML kern MEI" descr="Representação da mesma nota em MusicXML, kern e M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ormatos MusicXML kern MEI" descr="Representação da mesma nota em MusicXML, kern e MEI"/>
                    <pic:cNvPicPr>
                      <a:picLocks noChangeAspect="1" noChangeArrowheads="1"/>
                    </pic:cNvPicPr>
                  </pic:nvPicPr>
                  <pic:blipFill>
                    <a:blip r:embed="rId56"/>
                    <a:stretch>
                      <a:fillRect/>
                    </a:stretch>
                  </pic:blipFill>
                  <pic:spPr bwMode="auto">
                    <a:xfrm>
                      <a:off x="0" y="0"/>
                      <a:ext cx="5220000" cy="2578006"/>
                    </a:xfrm>
                    <a:prstGeom prst="rect">
                      <a:avLst/>
                    </a:prstGeom>
                  </pic:spPr>
                </pic:pic>
              </a:graphicData>
            </a:graphic>
          </wp:inline>
        </w:drawing>
      </w:r>
    </w:p>
    <w:p>
      <w:pPr>
        <w:pStyle w:val="TE-LegendaFigura"/>
        <w:numPr>
          <w:ilvl w:val="0"/>
          <w:numId w:val="7"/>
        </w:numPr>
        <w:rPr/>
      </w:pPr>
      <w:r>
        <w:rPr/>
        <w:t>Representação da mesma nota (dó central, semínima) em MusicXML, **kern e MEI</w:t>
      </w:r>
    </w:p>
    <w:p>
      <w:pPr>
        <w:pStyle w:val="TE-FonteFiguraQuadroTabela"/>
        <w:rPr/>
      </w:pPr>
      <w:r>
        <w:rPr/>
        <w:t>Fonte: elaborado pelo autor (2026).</w:t>
      </w:r>
    </w:p>
    <w:p>
      <w:pPr>
        <w:pStyle w:val="TE-Normal"/>
        <w:rPr/>
      </w:pPr>
      <w:r>
        <w:rPr/>
      </w:r>
    </w:p>
    <w:p>
      <w:pPr>
        <w:pStyle w:val="TE-Normal"/>
        <w:rPr/>
      </w:pPr>
      <w:r>
        <w:rPr/>
        <w:t xml:space="preserve">O método deve tolerar, no nível motívico, as diferenças mais prováveis entre versões de uma mesma obra: transposição, variação rítmica e inserção ou remoção de notas. Como generalidade, deve tolerar também inversão e retrogradação, transformações relevantes quando uma versão é um arranjo ou uma reelaboração da outra, e não uma edição. Nesta etapa do trabalho, prioriza-se a fundamentação teórica, a especificação da representação simbólica dos motivos e o desenho da heurística de alinhamento; a estratégia concreta de construção dos pares de versões utilizados nos testes — seja a partir de variantes documentadas na tradição de fontes dos corais, de transformações geradas programaticamente sobre o corpus, ou de uma combinação de ambas — é detalhada no capítulo de Procedimentos Metodológicos. Para os fins deste trabalho, o termo </w:t>
      </w:r>
      <w:r>
        <w:rPr>
          <w:i/>
          <w:iCs/>
        </w:rPr>
        <w:t>versão</w:t>
      </w:r>
      <w:r>
        <w:rPr/>
        <w:t xml:space="preserve"> abrange tanto edições e fontes distintas de uma mesma obra quanto harmonizações diferentes, feitas pelo próprio Bach, de uma mesma melodia de coral. A segunda acepção é mais ampla do que a noção editorial de versão, mas é a que o corpus oferece em maior quantidade. Ela é declarada explicitamente para que os resultados obtidos sobre esses pares sejam lidos nessa chave.</w:t>
      </w:r>
    </w:p>
    <w:p>
      <w:pPr>
        <w:pStyle w:val="TE-Normal"/>
        <w:rPr>
          <w:highlight w:val="yellow"/>
        </w:rPr>
      </w:pPr>
      <w:r>
        <w:rPr/>
        <w:t>A implementação do protótipo e a aplicação preliminar dos critérios de avaliação sobre o corpus não fazem parte do TCC I, estando previstas para o TCC II, conforme o Capítulo 7. Não estão previstos neste escopo: o processamento de áudio ou de imagens de partitura sem codificação simbólica prévia; e a aplicação do método a repertórios distintos dos corais de Bach. </w:t>
      </w:r>
    </w:p>
    <w:p>
      <w:pPr>
        <w:pStyle w:val="T2-TituloSecundario"/>
        <w:numPr>
          <w:ilvl w:val="1"/>
          <w:numId w:val="6"/>
        </w:numPr>
        <w:rPr/>
      </w:pPr>
      <w:r>
        <w:rPr/>
        <w:t>Estrutura do Trabalho</w:t>
      </w:r>
    </w:p>
    <w:p>
      <w:pPr>
        <w:pStyle w:val="TE-Normal"/>
        <w:rPr/>
      </w:pPr>
      <w:r>
        <w:rPr/>
        <w:t xml:space="preserve">Além desta introdução, o trabalho está organizado em seis capítulos. O Capítulo 2 revisa a fundamentação teórico-musical da transformação motívica, de Schoenberg a Narmour. O Capítulo 3 apresenta os fundamentos computacionais do alinhamento de sequências, do algoritmo de Needleman-Wunsch à heurística do BLAST. O Capítulo 4 examina os trabalhos relacionados em música simbólica e posiciona a contribuição deste trabalho em relação a eles. O Capítulo 5 descreve a modelagem do protótipo que adapta a heurística </w:t>
      </w:r>
      <w:r>
        <w:rPr>
          <w:i/>
          <w:iCs/>
        </w:rPr>
        <w:t xml:space="preserve">seed-and-extend</w:t>
      </w:r>
      <w:r>
        <w:rPr/>
        <w:t xml:space="preserve"> ao problema de correspondência motívica entre versões. O Capítulo 6 detalha os procedimentos metodológicos, incluindo o corpus, os conjuntos de teste, os parâmetros e os critérios de avaliação, e o Capítulo 7 apresenta o cronograma do TCC I e do TCC II.</w:t>
      </w:r>
    </w:p>
    <w:p>
      <w:pPr>
        <w:sectPr>
          <w:headerReference w:type="even" r:id="rId27"/>
          <w:headerReference w:type="default" r:id="rId28"/>
          <w:headerReference w:type="first" r:id="rId29"/>
          <w:type w:val="nextPage"/>
          <w:pgSz w:w="11906" w:h="16838"/>
          <w:pgMar w:left="1701" w:right="1134" w:gutter="0" w:header="720" w:top="1701" w:footer="0" w:bottom="1531"/>
          <w:pgNumType w:start="1" w:fmt="decimal"/>
          <w:formProt w:val="false"/>
          <w:titlePg/>
          <w:textDirection w:val="lrTb"/>
          <w:docGrid w:type="default" w:linePitch="100" w:charSpace="8192"/>
        </w:sectPr>
        <w:pStyle w:val="TE-Normal"/>
        <w:rPr/>
      </w:pPr>
      <w:r>
        <w:rPr/>
      </w:r>
    </w:p>
    <w:p>
      <w:pPr>
        <w:pStyle w:val="T1-TituloPrimario"/>
        <w:numPr>
          <w:ilvl w:val="0"/>
          <w:numId w:val="6"/>
        </w:numPr>
        <w:ind w:hanging="283" w:left="283"/>
        <w:rPr/>
      </w:pPr>
      <w:bookmarkStart w:id="34" w:name="__RefHeading___Toc1002_1503872338"/>
      <w:bookmarkEnd w:id="34"/>
      <w:r>
        <w:rPr/>
        <w:t>Fundamentação Teórico-Musical da Transformação Motívica</w:t>
      </w:r>
    </w:p>
    <w:p>
      <w:pPr>
        <w:pStyle w:val="TE-Normal"/>
        <w:rPr/>
      </w:pPr>
      <w:r>
        <w:rPr/>
        <w:t xml:space="preserve">Este capítulo revisa a fundamentação teórico-musical sobre identidade e transformação motívica que sustenta a premissa central deste trabalho: a de que um motivo pode ser transposto, invertido, retrogradado ou ritmicamente alterado e, ainda assim, ser reconhecido como o mesmo motivo. Parte-se do conceito de Schoenberg de </w:t>
      </w:r>
      <w:r>
        <w:rPr>
          <w:i/>
          <w:iCs/>
        </w:rPr>
        <w:t xml:space="preserve">Grundgestalt</w:t>
      </w:r>
      <w:r>
        <w:rPr/>
        <w:t xml:space="preserve"> e </w:t>
      </w:r>
      <w:r>
        <w:rPr>
          <w:i/>
          <w:iCs/>
        </w:rPr>
        <w:t xml:space="preserve">developing variation</w:t>
      </w:r>
      <w:r>
        <w:rPr/>
        <w:t xml:space="preserve">, passa-se pelo método analítico de Réti — e pela crítica que Frisch lhe dirige — e chega-se ao modelo de implicação-realização de Narmour, que desloca a discussão do plano estrutural para o plano perceptivo: em que medida, para um ouvinte, um motivo transformado ainda soa como o mesmo motivo.</w:t>
      </w:r>
    </w:p>
    <w:p>
      <w:pPr>
        <w:pStyle w:val="TE-Normal"/>
        <w:rPr/>
      </w:pPr>
      <w:r>
        <w:rPr/>
        <w:t>Das quatro transformações consideradas neste trabalho, a transposição é a menos contestada teoricamente: nenhum dos quatro autores revisados a trata como uma ruptura de identidade — Réti e Frisch analisam sistematicamente temas que mudam de tonalidade ao longo de uma obra sem que isso comprometa sua leitura como o mesmo tema. Já a variação rítmica não encontra tratamento equivalente nesses autores, que discutem transformação motívica quase exclusivamente no plano intervalar e estrutural; sua fundamentação, neste trabalho, é tratada no plano computacional, na etapa de pontuação da heurística descrita no Capítulo 5, e não neste capítulo teórico-musical.</w:t>
      </w:r>
    </w:p>
    <w:p>
      <w:pPr>
        <w:pStyle w:val="TE-Normal"/>
        <w:rPr/>
      </w:pPr>
      <w:r>
        <w:rPr>
          <w:highlight w:val="yellow"/>
        </w:rPr>
        <w:t xml:space="preserve">[CONFERIR NO FUNDAMENTALS OF MUSICAL COMPOSITION, capítulo sobre o motivo: se Schoenberg lista modificações rítmicas do motivo, a frase acima sobre variação rítmica está incorreta e precisa ser reescrita — ver também se o termo </w:t>
      </w:r>
      <w:r>
        <w:rPr>
          <w:i/>
          <w:iCs/>
          <w:highlight w:val="yellow"/>
        </w:rPr>
        <w:t xml:space="preserve">Grundgestalt</w:t>
      </w:r>
      <w:r>
        <w:rPr>
          <w:highlight w:val="yellow"/>
        </w:rPr>
        <w:t xml:space="preserve"> aparece no livro]</w:t>
      </w:r>
    </w:p>
    <w:p>
      <w:pPr>
        <w:pStyle w:val="TE-Normal"/>
        <w:rPr/>
      </w:pPr>
      <w:r>
        <w:rPr>
          <w:highlight w:val="yellow"/>
        </w:rPr>
        <w:t>[REVISAR COM COORIENTADOR: este capítulo é uma primeira proposta de fundamentação teórico-musical, redigida antes do retorno do coorientador de música sobre quais referências e ênfases ele considera adequadas — sujeito a revisão]</w:t>
      </w:r>
    </w:p>
    <w:p>
      <w:pPr>
        <w:pStyle w:val="T2-TituloSecundario"/>
        <w:numPr>
          <w:ilvl w:val="1"/>
          <w:numId w:val="6"/>
        </w:numPr>
        <w:rPr/>
      </w:pPr>
      <w:bookmarkStart w:id="35" w:name="__RefHeading___Toc1044_1503872338"/>
      <w:bookmarkEnd w:id="35"/>
      <w:r>
        <w:rPr>
          <w:i/>
          <w:iCs/>
        </w:rPr>
        <w:t xml:space="preserve">Grundgestalt</w:t>
      </w:r>
      <w:r>
        <w:rPr/>
        <w:t xml:space="preserve"> e </w:t>
      </w:r>
      <w:r>
        <w:rPr>
          <w:i/>
          <w:iCs/>
        </w:rPr>
        <w:t xml:space="preserve">developing variation</w:t>
      </w:r>
    </w:p>
    <w:p>
      <w:pPr>
        <w:pStyle w:val="TE-Normal"/>
        <w:rPr/>
      </w:pPr>
      <w:r>
        <w:rPr/>
        <w:t xml:space="preserve">Arnold Schoenberg (1967), em </w:t>
      </w:r>
      <w:r>
        <w:rPr>
          <w:i/>
          <w:iCs/>
        </w:rPr>
        <w:t>Fundamentals of Musical Composition</w:t>
      </w:r>
      <w:r>
        <w:rPr/>
        <w:t xml:space="preserve"> — coletânea de suas anotações de ensino organizada postumamente por Gerald Strang e Leonard Stein —, descreve a </w:t>
      </w:r>
      <w:r>
        <w:rPr>
          <w:i/>
          <w:iCs/>
        </w:rPr>
        <w:t xml:space="preserve">Grundgestalt</w:t>
      </w:r>
      <w:r>
        <w:rPr/>
        <w:t xml:space="preserve"> (forma básica) como a célula temática elementar da qual uma composição inteira deriva. Para Schoenberg, praticamente todo elemento de uma peça bem construída — motivos, frases, seções inteiras — pode ser rastreado até essa ideia germinal, apresentada logo no início da obra.</w:t>
      </w:r>
    </w:p>
    <w:p>
      <w:pPr>
        <w:pStyle w:val="TE-Normal"/>
        <w:rPr/>
      </w:pPr>
      <w:r>
        <w:rPr/>
        <w:t xml:space="preserve">O mecanismo pelo qual a </w:t>
      </w:r>
      <w:r>
        <w:rPr>
          <w:i/>
          <w:iCs/>
        </w:rPr>
        <w:t xml:space="preserve">Grundgestalt</w:t>
      </w:r>
      <w:r>
        <w:rPr/>
        <w:t xml:space="preserve"> se desdobra ao longo da peça é o que Schoenberg chama de </w:t>
      </w:r>
      <w:r>
        <w:rPr>
          <w:i/>
          <w:iCs/>
        </w:rPr>
        <w:t xml:space="preserve">developing variation</w:t>
      </w:r>
      <w:r>
        <w:rPr/>
        <w:t xml:space="preserve">: a ideia básica não é simplesmente repetida, mas continuamente variada, gerando novo material sem que a variação rompa o vínculo de identidade com a forma original. Uma variação pode alterar intervalos, ritmo, direção ou contorno do material original; o que a mantém reconhecível como desenvolvimento da mesma ideia, e não como material inteiramente novo, é a preservação de alguma relação estrutural com a </w:t>
      </w:r>
      <w:r>
        <w:rPr>
          <w:i/>
          <w:iCs/>
        </w:rPr>
        <w:t xml:space="preserve">Grundgestalt</w:t>
      </w:r>
      <w:r>
        <w:rPr/>
        <w:t xml:space="preserve">.</w:t>
      </w:r>
    </w:p>
    <w:p>
      <w:pPr>
        <w:pStyle w:val="TE-Normal"/>
        <w:rPr/>
      </w:pPr>
      <w:r>
        <w:rPr/>
        <w:t>É esse mecanismo — identidade preservada através de transformações sucessivas — que fundamenta teoricamente a premissa central deste trabalho. Onde Schoenberg descreve a transformação motívica como processo composicional interno a uma única obra, este trabalho a trata como problema computacional: dadas duas versões simbólicas de uma composição, identificar os pontos em que a mesma ideia básica, mesmo transformada, reaparece.</w:t>
      </w:r>
    </w:p>
    <w:p>
      <w:pPr>
        <w:pStyle w:val="T2-TituloSecundario"/>
        <w:numPr>
          <w:ilvl w:val="1"/>
          <w:numId w:val="6"/>
        </w:numPr>
        <w:rPr/>
      </w:pPr>
      <w:bookmarkStart w:id="36" w:name="__RefHeading___Toc1042_1503872338"/>
      <w:bookmarkEnd w:id="36"/>
      <w:r>
        <w:rPr/>
        <w:t>O processo temático em Réti e sua extensão crítica por Frisch</w:t>
      </w:r>
    </w:p>
    <w:p>
      <w:pPr>
        <w:pStyle w:val="TE-Normal"/>
        <w:rPr/>
      </w:pPr>
      <w:r>
        <w:rPr/>
        <w:t xml:space="preserve">Rudolph Réti, em </w:t>
      </w:r>
      <w:r>
        <w:rPr>
          <w:i/>
          <w:iCs/>
        </w:rPr>
        <w:t>The Thematic Process in Music</w:t>
      </w:r>
      <w:r>
        <w:rPr/>
        <w:t xml:space="preserve"> (1951), leva a intuição de Schoenberg a um método analítico sistemático. Para Réti, a diversidade temática na superfície de uma obra — os diferentes temas de uma sinfonia, por exemplo — esconde uma unidade motívica subjacente: os vários movimentos de uma obra derivariam, em sua leitura, de uma mesma ideia germinal, com o compositor preservando a substância dessa ideia por trás de uma aparência sempre renovada. O repertório de transformações que Réti reconhece entre essas formas já inclui inversão e retrogradação, além de uma operação própria que chama de interversão: o reagrupamento das notas de uma célula em outra ordem — transformação que este trabalho não se propõe a tratar.</w:t>
      </w:r>
    </w:p>
    <w:p>
      <w:pPr>
        <w:pStyle w:val="TE-Normal"/>
        <w:rPr/>
      </w:pPr>
      <w:r>
        <w:rPr/>
        <w:t>O método de Réti para demonstrar essa unidade, porém, tornou-se alvo de crítica recorrente na literatura teórico-musical: dependia fortemente da escolha do próprio analista sobre quais notas de um tema correspondiam à célula motívica básica e quais eram ornamentação dispensável — um julgamento sem critério objetivo declarado, e por isso pouco reprodutível. Frisch (1984) nomeia esse problema diretamente ao revisar a tradição analítica schoenberguiana: parte das análises de Réti isolaria alturas de seu contexto rítmico e harmônico, relegando a segundo plano tudo o que não se encaixasse na forma que o analista já pretendia demonstrar.</w:t>
      </w:r>
    </w:p>
    <w:p>
      <w:pPr>
        <w:pStyle w:val="TE-Normal"/>
        <w:rPr/>
      </w:pPr>
      <w:r>
        <w:rPr/>
        <w:t xml:space="preserve">É em resposta a essa fragilidade metodológica que Frisch (1984) propõe um uso mais disciplinado do conceito schoenberguiano de </w:t>
      </w:r>
      <w:r>
        <w:rPr>
          <w:i/>
          <w:iCs/>
        </w:rPr>
        <w:t xml:space="preserve">developing variation</w:t>
      </w:r>
      <w:r>
        <w:rPr/>
        <w:t xml:space="preserve">, aplicando-o a dezoito obras de Brahms com maior rigor analítico e atenção ao contexto harmônico e rítmico que Réti costumava deixar de lado. De Réti a Frisch, portanto, uma análise intuitiva dá lugar a uma análise mais disciplinada da transformação motívica — caminho que este trabalho continua, no sentido de que os critérios de pontuação e extensão da heurística proposta (Capítulo 5) substituem o julgamento subjetivo do analista por regras explícitas e reprodutíveis.</w:t>
      </w:r>
    </w:p>
    <w:p>
      <w:pPr>
        <w:pStyle w:val="TE-Normal"/>
        <w:rPr/>
      </w:pPr>
      <w:r>
        <w:rPr>
          <w:highlight w:val="yellow"/>
        </w:rPr>
        <w:t>[CONFIRMAR COM COORIENTADOR: a caracterização de Réti (1951) acima se apoia em fontes secundárias — sem acesso direto ao texto primário —, assim como a crítica de Frisch a Réti resumida logo acima; e a decisão de excluir explicitamente a interversão do escopo (mencionada no parágrafo anterior) ainda não foi validada com a orientação]</w:t>
      </w:r>
    </w:p>
    <w:p>
      <w:pPr>
        <w:pStyle w:val="T2-TituloSecundario"/>
        <w:numPr>
          <w:ilvl w:val="1"/>
          <w:numId w:val="6"/>
        </w:numPr>
        <w:rPr/>
      </w:pPr>
      <w:bookmarkStart w:id="37" w:name="__RefHeading___Toc1040_1503872338"/>
      <w:bookmarkEnd w:id="37"/>
      <w:r>
        <w:rPr/>
        <w:t>Percepção melódica: o modelo de implicação-realização de Narmour</w:t>
      </w:r>
    </w:p>
    <w:p>
      <w:pPr>
        <w:pStyle w:val="TE-Normal"/>
        <w:rPr/>
      </w:pPr>
      <w:r>
        <w:rPr/>
        <w:t xml:space="preserve">Enquanto Schoenberg, Réti e Frisch tratam a transformação motívica do ponto de vista de quem compõe ou analisa uma partitura, Eugene Narmour, em </w:t>
      </w:r>
      <w:r>
        <w:rPr>
          <w:i/>
          <w:iCs/>
        </w:rPr>
        <w:t>The Analysis and Cognition of Basic Melodic Structures</w:t>
      </w:r>
      <w:r>
        <w:rPr/>
        <w:t xml:space="preserve"> (1990), aborda a melodia do ponto de vista de quem ouve. Seu modelo de implicação-realização, que expande a teoria da expectativa melódica de Leonard Meyer, propõe que a percepção de uma melodia é guiada por expectativas geradas nota a nota: cada intervalo ouvido implica, para o ouvinte, algo sobre o intervalo que deve vir a seguir.</w:t>
      </w:r>
    </w:p>
    <w:p>
      <w:pPr>
        <w:pStyle w:val="TE-Normal"/>
        <w:rPr/>
      </w:pPr>
      <w:r>
        <w:rPr/>
        <w:t xml:space="preserve">O modelo parte de duas hipóteses gerais, fundamentadas em princípios da psicologia da Gestalt. Um padrão melódico similar ao anterior implica continuidade: um pequeno intervalo tende a ser seguido por outro pequeno intervalo, na mesma direção, no que Narmour chama de processo. Um padrão marcadamente diferente, por sua vez, implica mudança: um intervalo grande tende a ser seguido por uma reversão de direção. Essas expectativas não são hipóteses conscientes do ouvinte, mas tendências perceptivas de baixo nível, moduladas por conhecimento estilístico aprendido — fatores que Narmour chama, respectivamente, de ascendentes (</w:t>
      </w:r>
      <w:r>
        <w:rPr>
          <w:i/>
          <w:iCs/>
        </w:rPr>
        <w:t xml:space="preserve">bottom-up</w:t>
      </w:r>
      <w:r>
        <w:rPr/>
        <w:t xml:space="preserve">) e descendentes (</w:t>
      </w:r>
      <w:r>
        <w:rPr>
          <w:i/>
          <w:iCs/>
        </w:rPr>
        <w:t xml:space="preserve">top-down</w:t>
      </w:r>
      <w:r>
        <w:rPr/>
        <w:t xml:space="preserve">).</w:t>
      </w:r>
    </w:p>
    <w:p>
      <w:pPr>
        <w:pStyle w:val="TE-Normal"/>
        <w:rPr/>
      </w:pPr>
      <w:r>
        <w:rPr/>
        <w:t xml:space="preserve">A relevância desse modelo para este trabalho está em deslocar a discussão da tolerância à transformação do plano estrutural para o plano perceptivo. Schoenberg, Réti e Frisch explicam por que um compositor pode transformar um motivo sem romper sua identidade. Narmour ajuda a explicar por que certas transformações preservam, para o ouvinte, algo do original: a percepção melódica opera sobre relações, como intervalo e direção, e não sobre a identidade exata de cada nota. Essa explicação cobre bem a transposição, que conserva todas essas relações.</w:t>
      </w:r>
    </w:p>
    <w:p>
      <w:pPr>
        <w:pStyle w:val="TE-Normal"/>
        <w:rPr/>
      </w:pPr>
      <w:r>
        <w:rPr/>
        <w:t xml:space="preserve">O mesmo não vale, sem ressalvas, para inversão e retrogradação. Dowling (1972) testou diretamente o reconhecimento dessas transformações em melodias curtas. Os ouvintes as identificaram acima do acaso, mas com dificuldade crescente da inversão para o retrógrado e deste para o retrógrado da inversão, e sem distinguir as transformações que preservam os intervalos exatos daquelas que preservam apenas o contorno. Esse resultado delimita o alcance da fundamentação perceptiva: ela sustenta a tolerância à transposição, mas não autoriza afirmar que inversões e retrogradações soam como o mesmo motivo. Neste trabalho, a tolerância a essas duas transformações apoia-se, por isso, no plano analítico, o de Schoenberg, Réti e Frisch, e não no perceptivo, em coerência com seu reposicionamento como generalidade do método (Capítulo 5).</w:t>
      </w:r>
    </w:p>
    <w:p>
      <w:pPr>
        <w:pStyle w:val="T2-TituloSecundario"/>
        <w:numPr>
          <w:ilvl w:val="1"/>
          <w:numId w:val="6"/>
        </w:numPr>
        <w:rPr/>
      </w:pPr>
      <w:bookmarkStart w:id="38" w:name="__RefHeading___Toc1038_1503872338"/>
      <w:bookmarkEnd w:id="38"/>
      <w:r>
        <w:rPr/>
        <w:t>Considerações do capítulo</w:t>
      </w:r>
    </w:p>
    <w:p>
      <w:pPr>
        <w:sectPr>
          <w:headerReference w:type="even" r:id="rId30"/>
          <w:headerReference w:type="default" r:id="rId31"/>
          <w:headerReference w:type="first" r:id="rId32"/>
          <w:type w:val="nextPage"/>
          <w:pgSz w:w="11906" w:h="16838"/>
          <w:pgMar w:left="1701" w:right="1134" w:gutter="0" w:header="720" w:top="1701" w:footer="0" w:bottom="1531"/>
          <w:pgNumType w:fmt="decimal"/>
          <w:formProt w:val="false"/>
          <w:titlePg/>
          <w:textDirection w:val="lrTb"/>
          <w:docGrid w:type="default" w:linePitch="100" w:charSpace="8192"/>
        </w:sectPr>
        <w:pStyle w:val="TE-Normal"/>
        <w:rPr/>
      </w:pPr>
      <w:r>
        <w:rPr/>
        <w:t xml:space="preserve">Este capítulo revisou três perspectivas sobre a transformação motívica: a composicional, em Schoenberg; a analítica, em Réti e na resposta crítica de Frisch; e a perceptiva, em Narmour, delimitada pelos experimentos de Dowling (1972). As duas primeiras convergem para a conclusão de que a identidade de um motivo sobrevive a transformações estruturais, do ponto de vista de quem compõe e de quem analisa. Do ponto de vista de quem ouve, essa conclusão está bem sustentada no caso da transposição, mas não no da inversão e da retrogradação. Nenhuma das três perspectivas, além disso, oferece um critério objetivo e computável para decidir quando essa identidade se mantém. É essa lacuna, situada entre a fundamentação teórico-musical deste capítulo e a fundamentação computacional do Capítulo 3, que a heurística proposta neste trabalho tenta preencher.</w:t>
      </w:r>
    </w:p>
    <w:p>
      <w:pPr>
        <w:pStyle w:val="T1-TituloPrimario"/>
        <w:numPr>
          <w:ilvl w:val="0"/>
          <w:numId w:val="6"/>
        </w:numPr>
        <w:ind w:hanging="283" w:left="283"/>
        <w:rPr/>
      </w:pPr>
      <w:bookmarkStart w:id="39" w:name="__RefHeading___Toc1000_1503872338"/>
      <w:bookmarkEnd w:id="39"/>
      <w:r>
        <w:rPr/>
        <w:t>Alinhamento de Sequências: Fundamentos Computacionais</w:t>
      </w:r>
    </w:p>
    <w:p>
      <w:pPr>
        <w:pStyle w:val="TE-Normal"/>
        <w:rPr/>
      </w:pPr>
      <w:r>
        <w:rPr/>
        <w:t xml:space="preserve">Este capítulo apresenta a linha de algoritmos que fundamenta computacionalmente o método proposto. Parte-se do problema geral de comparar duas sequências tolerando diferenças pontuais, passa-se pela solução clássica de programação dinâmica para alinhamento global e por sua variante para alinhamento local, e chega-se à heurística </w:t>
      </w:r>
      <w:r>
        <w:rPr>
          <w:i/>
          <w:iCs/>
        </w:rPr>
        <w:t xml:space="preserve">seed-and-extend</w:t>
      </w:r>
      <w:r>
        <w:rPr/>
        <w:t xml:space="preserve"> do BLAST — a estratégia adaptada, no Capítulo 5, ao domínio da música simbólica. Cada seção situa o algoritmo correspondente no problema que ele resolve e na limitação que motivou o algoritmo seguinte.</w:t>
      </w:r>
    </w:p>
    <w:p>
      <w:pPr>
        <w:pStyle w:val="T2-TituloSecundario"/>
        <w:numPr>
          <w:ilvl w:val="1"/>
          <w:numId w:val="6"/>
        </w:numPr>
        <w:rPr/>
      </w:pPr>
      <w:bookmarkStart w:id="40" w:name="__RefHeading___Toc1036_1503872338"/>
      <w:bookmarkEnd w:id="40"/>
      <w:r>
        <w:rPr/>
        <w:t>O problema do alinhamento de sequências</w:t>
      </w:r>
    </w:p>
    <w:p>
      <w:pPr>
        <w:pStyle w:val="TE-Normal"/>
        <w:rPr/>
      </w:pPr>
      <w:r>
        <w:rPr/>
        <w:t xml:space="preserve">Comparar duas sequências — de aminoácidos, de nucleotídeos, ou, como neste trabalho, de eventos musicais — é o problema de encontrar a melhor correspondência possível entre seus elementos, admitindo que nem todo elemento de uma tenha um correspondente exato na outra. Essa correspondência é descrita em termos de três operações básicas: substituição (um elemento de uma sequência corresponde a um elemento diferente na outra), inserção e deleção (um elemento de uma sequência não tem correspondente na outra). Um alinhamento é, portanto, uma forma de dispor as duas sequências lado a lado, com espaços (</w:t>
      </w:r>
      <w:r>
        <w:rPr>
          <w:i/>
          <w:iCs/>
        </w:rPr>
        <w:t xml:space="preserve">gaps</w:t>
      </w:r>
      <w:r>
        <w:rPr/>
        <w:t xml:space="preserve">) inseridos onde necessário, de modo a maximizar a semelhança total entre elementos correspondentes.</w:t>
      </w:r>
    </w:p>
    <w:p>
      <w:pPr>
        <w:pStyle w:val="TE-Normal"/>
        <w:rPr/>
      </w:pPr>
      <w:r>
        <w:rPr/>
        <w:t>Duas variantes do problema se distinguem pela extensão da correspondência exigida. No alinhamento global, as duas sequências inteiras devem ser alinhadas de ponta a ponta — adequado quando se espera que sequências completas sejam homólogas</w:t>
      </w:r>
      <w:r>
        <w:rPr>
          <w:rStyle w:val="FootnoteReference"/>
        </w:rPr>
        <w:footnoteReference w:id="2"/>
      </w:r>
      <w:r>
        <w:rPr/>
        <w:t>. No alinhamento local, busca-se o par de subsequências mais semelhante entre as duas sequências, ignorando as regiões nas extremidades que não contribuem para esse trecho — adequado quando apenas parte das sequências deve corresponder, com o restante podendo divergir livremente ou não ter correspondente algum.</w:t>
      </w:r>
    </w:p>
    <w:p>
      <w:pPr>
        <w:pStyle w:val="TE-Normal"/>
        <w:rPr/>
      </w:pPr>
      <w:r>
        <w:rPr/>
        <w:t>O que torna esse problema tratável computacionalmente é sua estrutura ótima recursiva: o melhor alinhamento entre dois prefixos das sequências pode ser construído a partir dos melhores alinhamentos de prefixos menores. Essa propriedade é o que permite resolvê-lo por programação dinâmica</w:t>
      </w:r>
      <w:r>
        <w:rPr>
          <w:rStyle w:val="FootnoteReference"/>
        </w:rPr>
        <w:footnoteReference w:id="3"/>
      </w:r>
      <w:r>
        <w:rPr/>
        <w:t>, evitando recalcular repetidamente as mesmas subsoluções.</w:t>
      </w:r>
    </w:p>
    <w:p>
      <w:pPr>
        <w:pStyle w:val="T2-TituloSecundario"/>
        <w:numPr>
          <w:ilvl w:val="1"/>
          <w:numId w:val="6"/>
        </w:numPr>
        <w:rPr/>
      </w:pPr>
      <w:bookmarkStart w:id="41" w:name="__RefHeading___Toc1034_1503872338"/>
      <w:bookmarkEnd w:id="41"/>
      <w:r>
        <w:rPr/>
        <w:t>Alinhamento global: Needleman-Wunsch</w:t>
      </w:r>
    </w:p>
    <w:p>
      <w:pPr>
        <w:pStyle w:val="TE-Normal"/>
        <w:rPr/>
      </w:pPr>
      <w:r>
        <w:rPr/>
        <w:t>Needleman e Wunsch (1970) propuseram o primeiro método sistemático para alinhamento global por programação dinâmica, originalmente aplicado à comparação de sequências de aminoácidos em proteínas. O algoritmo constrói uma matriz em que cada célula (i, j) armazena a pontuação do melhor alinhamento possível entre os primeiros i elementos de uma sequência e os primeiros j elementos da outra. Cada célula é calculada a partir de três células vizinhas já resolvidas — a diagonal (correspondendo a um par elemento a elemento, com pontuação de acerto ou penalidade de erro), a célula à esquerda e a célula acima (correspondendo, cada uma, à inserção de um espaço em uma das sequências) — escolhendo-se sempre a opção de maior pontuação acumulada.</w:t>
      </w:r>
    </w:p>
    <w:p>
      <w:pPr>
        <w:pStyle w:val="TE-Normal"/>
        <w:rPr/>
      </w:pPr>
      <w:r>
        <w:rPr/>
        <w:t xml:space="preserve">Formalmente, sejam a = a₁…aₙ e b = b₁…bₘ as duas sequências, s(aᵢ, bⱼ) a pontuação atribuída à correspondência entre dois elementos e g &gt; 0 a penalidade por espaço. A célula F(i, j) é dada pela Equação 1, com F(i, 0) = −i·g e F(0, j) = −j·g:</w:t>
      </w:r>
    </w:p>
    <w:tbl>
      <w:tblPr>
        <w:tblW w:w="9070" w:type="dxa"/>
        <w:tblBorders>
          <w:top w:val="nil"/>
          <w:left w:val="nil"/>
          <w:bottom w:val="nil"/>
          <w:right w:val="nil"/>
          <w:insideH w:val="nil"/>
          <w:insideV w:val="nil"/>
        </w:tblBorders>
        <w:tblLook w:val="0000"/>
      </w:tblPr>
      <w:tblGrid>
        <w:gridCol w:w="8219"/>
        <w:gridCol w:w="851"/>
      </w:tblGrid>
      <w:tr>
        <w:tc>
          <w:tcPr>
            <w:tcW w:w="8219" w:type="dxa"/>
            <w:vAlign w:val="center"/>
          </w:tcPr>
          <w:p>
            <w:pPr>
              <w:pStyle w:val="TE-NormalNaoIdentado"/>
              <w:spacing w:before="120" w:after="120" w:line="240" w:lineRule="auto"/>
              <w:ind w:firstLine="0"/>
              <w:jc w:val="center"/>
              <w:rPr/>
            </w:pPr>
            <w:r>
              <w:rPr>
                <w:rFonts w:ascii="Cambria Math" w:hAnsi="Cambria Math"/>
                <w:i/>
                <w:iCs/>
              </w:rPr>
              <w:t xml:space="preserve">F(i, j) = máx { F(i−1, j−1) + s(aᵢ, bⱼ),  F(i−1, j) − g,  F(i, j−1) − g }</w:t>
            </w:r>
          </w:p>
        </w:tc>
        <w:tc>
          <w:tcPr>
            <w:tcW w:w="851" w:type="dxa"/>
            <w:vAlign w:val="center"/>
          </w:tcPr>
          <w:p>
            <w:pPr>
              <w:pStyle w:val="TE-NormalNaoIdentado"/>
              <w:spacing w:before="120" w:after="120" w:line="240" w:lineRule="auto"/>
              <w:ind w:firstLine="0"/>
              <w:jc w:val="right"/>
              <w:rPr/>
            </w:pPr>
            <w:r>
              <w:rPr/>
              <w:t>Eq. 1</w:t>
            </w:r>
          </w:p>
        </w:tc>
      </w:tr>
    </w:tbl>
    <w:p>
      <w:pPr>
        <w:pStyle w:val="TE-Normal"/>
        <w:rPr/>
      </w:pPr>
      <w:r>
        <w:rPr/>
        <w:t xml:space="preserve">Preenchida a matriz inteira, um processo de retrocesso (</w:t>
      </w:r>
      <w:r>
        <w:rPr>
          <w:i/>
          <w:iCs/>
        </w:rPr>
        <w:t xml:space="preserve">traceback</w:t>
      </w:r>
      <w:r>
        <w:rPr/>
        <w:t xml:space="preserve">) percorre o caminho de decisões que levou à célula final, reconstruindo o alinhamento ótimo. Por exigir que as duas sequências sejam percorridas até o fim, o algoritmo garante uma correspondência de ponta a ponta — mas essa mesma exigência é uma limitação quando apenas um trecho das sequências, e não sua totalidade, deve corresponder.</w:t>
      </w:r>
      <w:r>
        <w:rPr/>
        <w:t xml:space="preserve"> A Figura 2 ilustra o preenchimento de uma célula e o caminho de retrocesso.</w:t>
      </w:r>
    </w:p>
    <w:p>
      <w:pPr>
        <w:pStyle w:val="TE-Figura"/>
        <w:rPr/>
      </w:pPr>
      <w:r>
        <w:rPr/>
        <w:drawing>
          <wp:inline distT="0" distB="0" distL="0" distR="0">
            <wp:extent cx="5508000" cy="2291151"/>
            <wp:effectExtent l="0" t="0" r="0" b="0"/>
            <wp:docPr id="102" name="Matriz Needleman-Wunsch" descr="Matriz de programação dinâmica do alinhamento de Needleman-Wun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Matriz Needleman-Wunsch" descr="Matriz de programação dinâmica do alinhamento de Needleman-Wunsch"/>
                    <pic:cNvPicPr>
                      <a:picLocks noChangeAspect="1" noChangeArrowheads="1"/>
                    </pic:cNvPicPr>
                  </pic:nvPicPr>
                  <pic:blipFill>
                    <a:blip r:embed="rId57"/>
                    <a:stretch>
                      <a:fillRect/>
                    </a:stretch>
                  </pic:blipFill>
                  <pic:spPr bwMode="auto">
                    <a:xfrm>
                      <a:off x="0" y="0"/>
                      <a:ext cx="5508000" cy="2291151"/>
                    </a:xfrm>
                    <a:prstGeom prst="rect">
                      <a:avLst/>
                    </a:prstGeom>
                  </pic:spPr>
                </pic:pic>
              </a:graphicData>
            </a:graphic>
          </wp:inline>
        </w:drawing>
      </w:r>
    </w:p>
    <w:p>
      <w:pPr>
        <w:pStyle w:val="TE-LegendaFigura"/>
        <w:numPr>
          <w:ilvl w:val="0"/>
          <w:numId w:val="7"/>
        </w:numPr>
        <w:rPr/>
      </w:pPr>
      <w:r>
        <w:rPr/>
        <w:t xml:space="preserve">Matriz de programação dinâmica do alinhamento de Needleman-Wunsch: preenchimento de uma célula a partir da diagonal, da esquerda e de cima, e caminho de </w:t>
      </w:r>
      <w:r>
        <w:rPr>
          <w:i/>
          <w:iCs/>
        </w:rPr>
        <w:t xml:space="preserve">traceback</w:t>
      </w:r>
      <w:r>
        <w:rPr/>
        <w:t xml:space="preserve"> até a origem</w:t>
      </w:r>
    </w:p>
    <w:p>
      <w:pPr>
        <w:pStyle w:val="TE-FonteFiguraQuadroTabela"/>
        <w:rPr/>
      </w:pPr>
      <w:r>
        <w:rPr/>
        <w:t>Fonte: elaborado pelo autor (2026).</w:t>
      </w:r>
    </w:p>
    <w:p>
      <w:pPr>
        <w:pStyle w:val="T2-TituloSecundario"/>
        <w:numPr>
          <w:ilvl w:val="1"/>
          <w:numId w:val="6"/>
        </w:numPr>
        <w:rPr/>
      </w:pPr>
      <w:bookmarkStart w:id="42" w:name="__RefHeading___Toc1032_1503872338"/>
      <w:bookmarkEnd w:id="42"/>
      <w:r>
        <w:rPr/>
        <w:t>Alinhamento local: Smith-Waterman</w:t>
      </w:r>
    </w:p>
    <w:p>
      <w:pPr>
        <w:pStyle w:val="TE-Normal"/>
        <w:rPr/>
      </w:pPr>
      <w:r>
        <w:rPr/>
        <w:t>Smith e Waterman (1981) adaptaram a recorrência de Needleman-Wunsch para o alinhamento local com uma mudança pontual, porém decisiva: pontuações negativas na matriz são zeradas em vez de propagadas. Na prática, isso permite que o algoritmo reinicie o alinhamento em qualquer ponto em que a correspondência deixa de compensar, em vez de carregar um histórico de penalidades acumuladas. O alinhamento ótimo passa a ser lido a partir da célula de maior pontuação em toda a matriz — não necessariamente no canto inferior direito, como em Needleman-Wunsch — e o retrocesso é interrompido assim que encontra uma célula zerada, delimitando o início do trecho correspondente.</w:t>
      </w:r>
    </w:p>
    <w:p>
      <w:pPr>
        <w:pStyle w:val="TE-Normal"/>
        <w:rPr/>
      </w:pPr>
      <w:r>
        <w:rPr/>
        <w:t xml:space="preserve">A recorrência difere da Equação 1 apenas pelo piso zero e pela inicialização H(i, 0) = H(0, j) = 0:</w:t>
      </w:r>
    </w:p>
    <w:tbl>
      <w:tblPr>
        <w:tblW w:w="9070" w:type="dxa"/>
        <w:tblBorders>
          <w:top w:val="nil"/>
          <w:left w:val="nil"/>
          <w:bottom w:val="nil"/>
          <w:right w:val="nil"/>
          <w:insideH w:val="nil"/>
          <w:insideV w:val="nil"/>
        </w:tblBorders>
        <w:tblLook w:val="0000"/>
      </w:tblPr>
      <w:tblGrid>
        <w:gridCol w:w="8219"/>
        <w:gridCol w:w="851"/>
      </w:tblGrid>
      <w:tr>
        <w:tc>
          <w:tcPr>
            <w:tcW w:w="8219" w:type="dxa"/>
            <w:vAlign w:val="center"/>
          </w:tcPr>
          <w:p>
            <w:pPr>
              <w:pStyle w:val="TE-NormalNaoIdentado"/>
              <w:spacing w:before="120" w:after="120" w:line="240" w:lineRule="auto"/>
              <w:ind w:firstLine="0"/>
              <w:jc w:val="center"/>
              <w:rPr/>
            </w:pPr>
            <w:r>
              <w:rPr>
                <w:rFonts w:ascii="Cambria Math" w:hAnsi="Cambria Math"/>
                <w:i/>
                <w:iCs/>
              </w:rPr>
              <w:t xml:space="preserve">H(i, j) = máx { 0,  H(i−1, j−1) + s(aᵢ, bⱼ),  H(i−1, j) − g,  H(i, j−1) − g }</w:t>
            </w:r>
          </w:p>
        </w:tc>
        <w:tc>
          <w:tcPr>
            <w:tcW w:w="851" w:type="dxa"/>
            <w:vAlign w:val="center"/>
          </w:tcPr>
          <w:p>
            <w:pPr>
              <w:pStyle w:val="TE-NormalNaoIdentado"/>
              <w:spacing w:before="120" w:after="120" w:line="240" w:lineRule="auto"/>
              <w:ind w:firstLine="0"/>
              <w:jc w:val="right"/>
              <w:rPr/>
            </w:pPr>
            <w:r>
              <w:rPr/>
              <w:t>Eq. 2</w:t>
            </w:r>
          </w:p>
        </w:tc>
      </w:tr>
    </w:tbl>
    <w:p>
      <w:pPr>
        <w:pStyle w:val="TE-Normal"/>
        <w:rPr/>
      </w:pPr>
      <w:r>
        <w:rPr/>
        <w:t xml:space="preserve">O resultado é a capacidade de encontrar o par de subsequências mais semelhante entre duas sequências maiores, ignorando o que vem antes e depois — exatamente o tipo de correspondência que este trabalho busca entre versões de uma composição, quando apenas um motivo, e não a peça inteira, precisa corresponder. Na formulação usual, com penalidade de </w:t>
      </w:r>
      <w:r>
        <w:rPr>
          <w:i/>
          <w:iCs/>
        </w:rPr>
        <w:t xml:space="preserve">gap</w:t>
      </w:r>
      <w:r>
        <w:rPr/>
        <w:t xml:space="preserve"> linear, ambos os algoritmos têm a mesma complexidade: O(nm) em tempo e espaço, para sequências de tamanho n e m. Esse custo quadrático é aceitável para comparar duas sequências isoladas, mas torna-se proibitivo quando a busca precisa ser repetida contra um volume grande de sequências — o problema que o BLAST foi desenhado para resolver.</w:t>
      </w:r>
    </w:p>
    <w:p>
      <w:pPr>
        <w:pStyle w:val="T2-TituloSecundario"/>
        <w:numPr>
          <w:ilvl w:val="1"/>
          <w:numId w:val="6"/>
        </w:numPr>
        <w:rPr/>
      </w:pPr>
      <w:bookmarkStart w:id="43" w:name="__RefHeading___Toc1030_1503872338"/>
      <w:bookmarkEnd w:id="43"/>
      <w:r>
        <w:rPr/>
        <w:t xml:space="preserve">A heurística </w:t>
      </w:r>
      <w:r>
        <w:rPr>
          <w:i/>
          <w:iCs/>
        </w:rPr>
        <w:t xml:space="preserve">seed-and-extend</w:t>
      </w:r>
      <w:r>
        <w:rPr/>
        <w:t xml:space="preserve">: BLAST</w:t>
      </w:r>
    </w:p>
    <w:p>
      <w:pPr>
        <w:pStyle w:val="TE-Normal"/>
        <w:rPr/>
      </w:pPr>
      <w:r>
        <w:rPr/>
        <w:t xml:space="preserve">O BLAST (</w:t>
      </w:r>
      <w:r>
        <w:rPr>
          <w:i/>
          <w:iCs/>
        </w:rPr>
        <w:t xml:space="preserve">Basic Local Alignment Search Tool</w:t>
      </w:r>
      <w:r>
        <w:rPr/>
        <w:t xml:space="preserve">; ALTSCHUL et al., 1990) nasceu da necessidade de buscar alinhamentos locais significativos em bancos de dados genômicos grandes demais para que o algoritmo exato de Smith-Waterman fosse aplicado a cada comparação. A ideia central é abrir mão da garantia de encontrar o alinhamento ótimo em troca de um ganho de velocidade suficiente para tornar a busca em larga escala viável — apostando que um alinhamento local genuinamente significativo quase sempre contém, em algum ponto, um pequeno trecho idêntico, ou muito semelhante, entre as duas sequências.</w:t>
      </w:r>
    </w:p>
    <w:p>
      <w:pPr>
        <w:pStyle w:val="TE-Normal"/>
        <w:rPr/>
      </w:pPr>
      <w:r>
        <w:rPr/>
        <w:t xml:space="preserve">Esse pequeno trecho é a semente (</w:t>
      </w:r>
      <w:r>
        <w:rPr>
          <w:i/>
          <w:iCs/>
        </w:rPr>
        <w:t xml:space="preserve">seed</w:t>
      </w:r>
      <w:r>
        <w:rPr/>
        <w:t xml:space="preserve">): uma subsequência curta, de tamanho fixo, extraída da sequência de consulta. Em vez de comparar a consulta contra o banco de dados posição a posição, o BLAST localiza rapidamente onde essas sementes ocorrem — tipicamente por meio de uma tabela de posições pré-indexada — e só então investe processamento nos pontos em que houve uma coincidência (um </w:t>
      </w:r>
      <w:r>
        <w:rPr>
          <w:i/>
          <w:iCs/>
        </w:rPr>
        <w:t xml:space="preserve">hit</w:t>
      </w:r>
      <w:r>
        <w:rPr/>
        <w:t xml:space="preserve">). A partir de cada semente encontrada, o algoritmo estende o alinhamento em ambas as direções, acumulando pontuação, e interrompe a extensão assim que a pontuação cai um determinado valor abaixo do melhor escore já observado naquele trecho, critério conhecido como </w:t>
      </w:r>
      <w:r>
        <w:rPr>
          <w:i/>
          <w:iCs/>
        </w:rPr>
        <w:t xml:space="preserve">X-drop</w:t>
      </w:r>
      <w:r>
        <w:rPr/>
        <w:t xml:space="preserve">, evitando gastar processamento em extensões que já não têm chance de superar o que foi encontrado até ali. Na formulação original de 1990, essa extensão não admite espaços (</w:t>
      </w:r>
      <w:r>
        <w:rPr>
          <w:i/>
          <w:iCs/>
        </w:rPr>
        <w:t xml:space="preserve">gaps</w:t>
      </w:r>
      <w:r>
        <w:rPr/>
        <w:t xml:space="preserve">): uma única inserção ou remoção interrompe o alinhamento. Altschul et al. (1997) superaram esse limite com uma versão do BLAST com </w:t>
      </w:r>
      <w:r>
        <w:rPr>
          <w:i/>
          <w:iCs/>
        </w:rPr>
        <w:t xml:space="preserve">gaps</w:t>
      </w:r>
      <w:r>
        <w:rPr/>
        <w:t xml:space="preserve"> (</w:t>
      </w:r>
      <w:r>
        <w:rPr>
          <w:i/>
          <w:iCs/>
        </w:rPr>
        <w:t xml:space="preserve">gapped BLAST</w:t>
      </w:r>
      <w:r>
        <w:rPr/>
        <w:t xml:space="preserve">). Ela mantém a etapa de sementes, mas passa a estender os </w:t>
      </w:r>
      <w:r>
        <w:rPr>
          <w:i/>
          <w:iCs/>
        </w:rPr>
        <w:t xml:space="preserve">hits</w:t>
      </w:r>
      <w:r>
        <w:rPr/>
        <w:t xml:space="preserve"> mais promissores por programação dinâmica, explorando apenas as células da matriz cuja pontuação não caia mais do que um limiar abaixo do melhor escore já encontrado. É a mesma lógica de </w:t>
      </w:r>
      <w:r>
        <w:rPr>
          <w:i/>
          <w:iCs/>
        </w:rPr>
        <w:t xml:space="preserve">X-drop</w:t>
      </w:r>
      <w:r>
        <w:rPr/>
        <w:t xml:space="preserve">, agora aplicada a um alinhamento que admite inserções e remoções. Esta é a versão adotada pelo método deste trabalho, pelas razões discutidas no Capítulo 5.</w:t>
      </w:r>
    </w:p>
    <w:p>
      <w:pPr>
        <w:pStyle w:val="TE-Normal"/>
        <w:rPr/>
      </w:pPr>
      <w:r>
        <w:rPr/>
        <w:t xml:space="preserve">Sendo S o escore acumulado no ponto corrente da extensão e Sₘₐₓ o maior escore observado desde o início dela, o critério de X-drop interrompe a extensão quando:</w:t>
      </w:r>
    </w:p>
    <w:tbl>
      <w:tblPr>
        <w:tblW w:w="9070" w:type="dxa"/>
        <w:tblBorders>
          <w:top w:val="nil"/>
          <w:left w:val="nil"/>
          <w:bottom w:val="nil"/>
          <w:right w:val="nil"/>
          <w:insideH w:val="nil"/>
          <w:insideV w:val="nil"/>
        </w:tblBorders>
        <w:tblLook w:val="0000"/>
      </w:tblPr>
      <w:tblGrid>
        <w:gridCol w:w="8219"/>
        <w:gridCol w:w="851"/>
      </w:tblGrid>
      <w:tr>
        <w:tc>
          <w:tcPr>
            <w:tcW w:w="8219" w:type="dxa"/>
            <w:vAlign w:val="center"/>
          </w:tcPr>
          <w:p>
            <w:pPr>
              <w:pStyle w:val="TE-NormalNaoIdentado"/>
              <w:spacing w:before="120" w:after="120" w:line="240" w:lineRule="auto"/>
              <w:ind w:firstLine="0"/>
              <w:jc w:val="center"/>
              <w:rPr/>
            </w:pPr>
            <w:r>
              <w:rPr>
                <w:rFonts w:ascii="Cambria Math" w:hAnsi="Cambria Math"/>
                <w:i/>
                <w:iCs/>
              </w:rPr>
              <w:t xml:space="preserve">S &lt; Sₘₐₓ − X</w:t>
            </w:r>
          </w:p>
        </w:tc>
        <w:tc>
          <w:tcPr>
            <w:tcW w:w="851" w:type="dxa"/>
            <w:vAlign w:val="center"/>
          </w:tcPr>
          <w:p>
            <w:pPr>
              <w:pStyle w:val="TE-NormalNaoIdentado"/>
              <w:spacing w:before="120" w:after="120" w:line="240" w:lineRule="auto"/>
              <w:ind w:firstLine="0"/>
              <w:jc w:val="right"/>
              <w:rPr/>
            </w:pPr>
            <w:r>
              <w:rPr/>
              <w:t>Eq. 3</w:t>
            </w:r>
          </w:p>
        </w:tc>
      </w:tr>
    </w:tbl>
    <w:p>
      <w:pPr>
        <w:pStyle w:val="TE-Normal"/>
        <w:rPr/>
      </w:pPr>
      <w:r>
        <w:rPr/>
        <w:t xml:space="preserve">O resultado é a estratégia </w:t>
      </w:r>
      <w:r>
        <w:rPr>
          <w:i/>
          <w:iCs/>
        </w:rPr>
        <w:t xml:space="preserve">seed-and-extend</w:t>
      </w:r>
      <w:r>
        <w:rPr/>
        <w:t xml:space="preserve">: localizar pequenas âncoras idênticas ou quase idênticas entre duas sequências e, só a partir delas, estender tolerando diferenças, em vez de comparar as sequências inteiras posição a posição. É exatamente essa lógica, e não o BLAST enquanto ferramenta de bioinformática, que este trabalho adapta ao domínio simbólico musical.</w:t>
      </w:r>
    </w:p>
    <w:p>
      <w:pPr>
        <w:pStyle w:val="T2-TituloSecundario"/>
        <w:numPr>
          <w:ilvl w:val="1"/>
          <w:numId w:val="6"/>
        </w:numPr>
        <w:rPr/>
      </w:pPr>
      <w:bookmarkStart w:id="44" w:name="__RefHeading___Toc1028_1503872338"/>
      <w:bookmarkEnd w:id="44"/>
      <w:r>
        <w:rPr/>
        <w:t>Considerações do capítulo</w:t>
      </w:r>
    </w:p>
    <w:p>
      <w:pPr>
        <w:pStyle w:val="TE-Normal"/>
        <w:rPr/>
      </w:pPr>
      <w:r>
        <w:rPr/>
        <w:t xml:space="preserve">A sequência histórica apresentada — alinhamento global exato, alinhamento local exato, alinhamento local heurístico — é também uma sequência de concessões: cada algoritmo abre mão de uma garantia do anterior em troca de aplicabilidade a um problema que o anterior não resolvia bem. É exatamente o último desses passos, o </w:t>
      </w:r>
      <w:r>
        <w:rPr>
          <w:i/>
          <w:iCs/>
        </w:rPr>
        <w:t xml:space="preserve">seed-and-extend</w:t>
      </w:r>
      <w:r>
        <w:rPr/>
        <w:t xml:space="preserve"> do BLAST, que este trabalho adapta ao domínio da música simbólica, na heurística descrita no Capítulo 5. Antes de detalhar essa adaptação, porém, é preciso situar o problema dentro do que já foi feito computacionalmente sobre música simbólica , incluindo as próprias adaptações do BLAST à música, assunto do capítulo seguinte.</w:t>
      </w:r>
    </w:p>
    <w:p>
      <w:pPr>
        <w:sectPr>
          <w:headerReference w:type="even" r:id="rId33"/>
          <w:headerReference w:type="default" r:id="rId34"/>
          <w:headerReference w:type="first" r:id="rId35"/>
          <w:footnotePr>
            <w:numFmt w:val="decimal"/>
          </w:footnotePr>
          <w:type w:val="nextPage"/>
          <w:pgSz w:w="11906" w:h="16838"/>
          <w:pgMar w:left="1701" w:right="1134" w:gutter="0" w:header="720" w:top="1701" w:footer="0" w:bottom="1531"/>
          <w:pgNumType w:fmt="decimal"/>
          <w:formProt w:val="false"/>
          <w:titlePg/>
          <w:textDirection w:val="lrTb"/>
          <w:docGrid w:type="default" w:linePitch="100" w:charSpace="8192"/>
        </w:sectPr>
        <w:pStyle w:val="TE-Normal"/>
        <w:rPr/>
      </w:pPr>
      <w:r>
        <w:rPr/>
      </w:r>
    </w:p>
    <w:p>
      <w:pPr>
        <w:pStyle w:val="T1-TituloPrimario"/>
        <w:numPr>
          <w:ilvl w:val="0"/>
          <w:numId w:val="6"/>
        </w:numPr>
        <w:ind w:hanging="283" w:left="283"/>
        <w:rPr/>
      </w:pPr>
      <w:bookmarkStart w:id="45" w:name="__RefHeading___Toc998_1503872338"/>
      <w:bookmarkEnd w:id="45"/>
      <w:r>
        <w:rPr/>
        <w:t>Trabalhos Relacionados em Música Simbólica</w:t>
      </w:r>
    </w:p>
    <w:p>
      <w:pPr>
        <w:pStyle w:val="TE-Normal"/>
        <w:rPr/>
      </w:pPr>
      <w:r>
        <w:rPr/>
        <w:t xml:space="preserve">Este capítulo situa o método proposto em relação a cinco linhas de trabalho computacional já aplicadas à música simbólica. Três delas operam dentro de uma única peça ou no nível do símbolo notacional: a comparação notacional entre arquivos de partitura, a descoberta geométrica de padrões repetidos e o alinhamento local aplicado à extração de motivos entre vozes de uma mesma obra. As outras duas estão mais próximas do problema deste trabalho: a medição de similaridade entre variantes de uma mesma melodia e a adaptação da heurística do BLAST à música simbólica. Nenhuma delas resolve, isoladamente, o problema de correspondência motívica entre versões de uma composição, mas cada uma cobre parte dele. Essa cobertura parcial justifica examinar seus mecanismos em detalhe antes da modelagem apresentada no capítulo seguinte.</w:t>
      </w:r>
    </w:p>
    <w:p>
      <w:pPr>
        <w:pStyle w:val="T2-TituloSecundario"/>
        <w:numPr>
          <w:ilvl w:val="1"/>
          <w:numId w:val="6"/>
        </w:numPr>
        <w:rPr/>
      </w:pPr>
      <w:bookmarkStart w:id="46" w:name="__RefHeading___Toc1026_1503872338"/>
      <w:bookmarkEnd w:id="46"/>
      <w:r>
        <w:rPr/>
        <w:t>Comparação notacional: o musicdiff</w:t>
      </w:r>
    </w:p>
    <w:p>
      <w:pPr>
        <w:pStyle w:val="TE-Normal"/>
        <w:rPr/>
      </w:pPr>
      <w:r>
        <w:rPr/>
        <w:t xml:space="preserve">O musicdiff nasceu de um problema prático: comparar arquivos de partitura para edição colaborativa, controle de versão e avaliação de sistemas de reconhecimento óptico de partituras (OMR, do inglês </w:t>
      </w:r>
      <w:r>
        <w:rPr>
          <w:i/>
          <w:iCs/>
        </w:rPr>
        <w:t>Optical Music Recognition</w:t>
      </w:r>
      <w:r>
        <w:rPr/>
        <w:t xml:space="preserve">), verificando se a saída de um desses sistemas corresponde à transcrição de referência. Inspirados no modelo clássico do </w:t>
      </w:r>
      <w:r>
        <w:rPr>
          <w:i/>
          <w:iCs/>
        </w:rPr>
        <w:t xml:space="preserve">diff</w:t>
      </w:r>
      <w:r>
        <w:rPr/>
        <w:t xml:space="preserve"> usado para arquivos de texto — que localiza a menor sequência de inserções, remoções e substituições capaz de transformar um arquivo no outro —, Foscarin, Jacquemard e Fournier-S'niehotta (2019) propõem um procedimento equivalente para partituras em formato XML.</w:t>
      </w:r>
    </w:p>
    <w:p>
      <w:pPr>
        <w:pStyle w:val="TE-Normal"/>
        <w:rPr/>
      </w:pPr>
      <w:r>
        <w:rPr/>
        <w:t xml:space="preserve">A diferença em relação a um </w:t>
      </w:r>
      <w:r>
        <w:rPr>
          <w:i/>
          <w:iCs/>
        </w:rPr>
        <w:t xml:space="preserve">diff</w:t>
      </w:r>
      <w:r>
        <w:rPr/>
        <w:t xml:space="preserve"> textual está na representação: os autores constroem uma representação intermediária em árvore do conteúdo notacional da partitura, capturando a estrutura hierárquica de compassos, vozes e eventos, e combinam distância de edição de sequências com distância de edição de árvores para localizar as diferenças entre duas partituras. O resultado aponta, símbolo a símbolo, onde uma nota, uma pausa ou outro elemento notacional foi inserido, removido ou substituído entre as duas versões comparadas.</w:t>
      </w:r>
    </w:p>
    <w:p>
      <w:pPr>
        <w:pStyle w:val="TE-Normal"/>
        <w:rPr/>
      </w:pPr>
      <w:r>
        <w:rPr/>
        <w:t xml:space="preserve">É justamente essa granularidade — cada diferença corresponde a um símbolo notacional isolado — que separa o musicdiff do problema deste trabalho. Uma passagem transposta um tom acima, por exemplo, é registrada como uma sequência de substituições de altura, nota a nota: sob a métrica do </w:t>
      </w:r>
      <w:r>
        <w:rPr>
          <w:i/>
          <w:iCs/>
        </w:rPr>
        <w:t xml:space="preserve">diff</w:t>
      </w:r>
      <w:r>
        <w:rPr/>
        <w:t xml:space="preserve"> notacional, quase nada naquele trecho é “igual” entre as duas versões. Para um músico, porém, a passagem é reconhecida instantaneamente como o mesmo motivo, apenas deslocado. O musicdiff responde com precisão à pergunta “o que mudou, símbolo a símbolo?” — mas não à pergunta que motiva este trabalho: essa mudança preserva a identidade motívica do trecho?</w:t>
      </w:r>
    </w:p>
    <w:p>
      <w:pPr>
        <w:pStyle w:val="T2-TituloSecundario"/>
        <w:numPr>
          <w:ilvl w:val="1"/>
          <w:numId w:val="6"/>
        </w:numPr>
        <w:rPr/>
      </w:pPr>
      <w:bookmarkStart w:id="47" w:name="__RefHeading___Toc1024_1503872338"/>
      <w:bookmarkEnd w:id="47"/>
      <w:r>
        <w:rPr/>
        <w:t>Descoberta geométrica de padrões: a família SIATEC</w:t>
      </w:r>
    </w:p>
    <w:p>
      <w:pPr>
        <w:pStyle w:val="TE-Normal"/>
        <w:rPr/>
      </w:pPr>
      <w:r>
        <w:rPr/>
        <w:t>Meredith, Lemström e Wiggins (2002) atacam um problema diferente do musicdiff: não comparar dois arquivos, mas descobrir, dentro de uma única peça polifônica, quais padrões se repetem. A estratégia representa a peça como um conjunto de pontos em um espaço multidimensional — tipicamente, tempo de início no eixo horizontal e altura no eixo vertical — e busca padrões geométricos que se repetem sob translação nesse espaço.</w:t>
      </w:r>
    </w:p>
    <w:p>
      <w:pPr>
        <w:pStyle w:val="TE-Normal"/>
        <w:rPr/>
      </w:pPr>
      <w:r>
        <w:rPr/>
        <w:t>O algoritmo SIA identifica os padrões máximos passíveis de translação dentro do conjunto de pontos; o SIATEC, construído sobre o SIA, localiza todas as ocorrências de cada padrão descoberto, agrupando-as em classes de equivalência translacional. A elegância dessa formulação geométrica é que uma única operação — a translação no plano tempo-altura — captura ao mesmo tempo repetições no tempo (o mesmo padrão reaparecendo mais adiante na peça) e repetições transpostas (o mesmo padrão reaparecendo em outra altura): ambas são, geometricamente, apenas translações do mesmo conjunto de pontos.</w:t>
      </w:r>
    </w:p>
    <w:p>
      <w:pPr>
        <w:pStyle w:val="TE-Normal"/>
        <w:rPr/>
      </w:pPr>
      <w:r>
        <w:rPr/>
        <w:t>Essa formulação tem, porém, um limite natural: por operar exclusivamente por translação, a família SIATEC não captura, sem extensões adicionais, padrões relacionados por inversão ou retrogradação — transformações que exigem refletir o conjunto de pontos, não apenas deslocá-lo. E, como o musicdiff, o SIATEC opera dentro de uma única peça: sua unidade de comparação é o conjunto de pontos de uma obra, não a correspondência entre duas versões distintas dela.</w:t>
      </w:r>
    </w:p>
    <w:p>
      <w:pPr>
        <w:pStyle w:val="T2-TituloSecundario"/>
        <w:numPr>
          <w:ilvl w:val="1"/>
          <w:numId w:val="6"/>
        </w:numPr>
        <w:rPr/>
      </w:pPr>
      <w:bookmarkStart w:id="48" w:name="__RefHeading___Toc1022_1503872338"/>
      <w:bookmarkEnd w:id="48"/>
      <w:r>
        <w:rPr/>
        <w:t>Alinhamento local intra-obra</w:t>
      </w:r>
    </w:p>
    <w:p>
      <w:pPr>
        <w:pStyle w:val="TE-Normal"/>
        <w:rPr/>
      </w:pPr>
      <w:r>
        <w:rPr/>
        <w:t>Entre os trabalhos revisados, o de Zhu et al. (2026) é o mais próximo deste, por adotar a mesma família algorítmica: o alinhamento local de Smith-Waterman (1981), discutido no Capítulo 3. Os autores extraem, de cada voz de uma peça polifônica, uma sequência de intervalos diatônicos, e aplicam alinhamento local par a par entre as vozes da mesma peça — soprano contra contralto, contralto contra tenor, e assim por diante — para segmentar trechos onde duas vozes se assemelham.</w:t>
      </w:r>
    </w:p>
    <w:p>
      <w:pPr>
        <w:pStyle w:val="TE-Normal"/>
        <w:rPr/>
      </w:pPr>
      <w:r>
        <w:rPr/>
        <w:t xml:space="preserve">A partir dessa segmentação, os autores aplicam métodos baseados em cadeias de caracteres para identificar motivos candidatos, constroem um grafo acíclico dirigido ponderado para medir a importância relativa de cada motivo encontrado, e aplicam um procedimento de seleção e filtragem guiado por regras e informação estrutural da peça, validando o método sobre o conjunto de dados JKUPDD. Os próprios autores descrevem o problema como detecção de motivo intra-obra (</w:t>
      </w:r>
      <w:r>
        <w:rPr>
          <w:i/>
          <w:iCs/>
        </w:rPr>
        <w:t xml:space="preserve">intra-opus</w:t>
      </w:r>
      <w:r>
        <w:rPr/>
        <w:t xml:space="preserve">).</w:t>
      </w:r>
    </w:p>
    <w:p>
      <w:pPr>
        <w:pStyle w:val="TE-Normal"/>
        <w:rPr/>
      </w:pPr>
      <w:r>
        <w:rPr/>
        <w:t>A diferença em relação a este trabalho está no eixo da comparação, não no algoritmo: Zhu et al. (2026) alinham vozes diferentes de uma mesma peça, em busca de repetição e imitação internas a ela; este trabalho alinha versões diferentes da mesma peça, em busca de correspondência entre elas. É o mesmo Smith-Waterman aplicado a dois problemas distintos.</w:t>
      </w:r>
    </w:p>
    <w:p>
      <w:pPr>
        <w:pStyle w:val="T2-TituloSecundario"/>
        <w:numPr>
          <w:ilvl w:val="1"/>
          <w:numId w:val="6"/>
        </w:numPr>
        <w:rPr/>
      </w:pPr>
      <w:r>
        <w:rPr/>
        <w:t>Similaridade entre variantes melódicas</w:t>
      </w:r>
    </w:p>
    <w:p>
      <w:pPr>
        <w:pStyle w:val="TE-Normal"/>
        <w:rPr/>
      </w:pPr>
      <w:r>
        <w:rPr/>
        <w:t xml:space="preserve">Uma linha de pesquisa anterior às discutidas até aqui trata justamente da comparação entre versões de uma mesma melodia. Mongeau e Sankoff (1990) adaptam conceitos da teoria de comparação de sequências para medir a semelhança global entre duas partituras, com uma medida projetada para reconhecer a mesma linha melódica apesar de diferenças de tonalidade, modo ou andamento. A principal contribuição do trabalho está em duas operações de edição próprias do domínio musical, somadas à inserção, à remoção e à substituição da distância de edição clássica. Na fragmentação, uma nota de uma sequência corresponde a várias notas mais curtas da outra; a consolidação é a operação inversa. Os autores aplicam a medida a um conjunto de variações de Mozart sobre um mesmo tema, e a análise de agrupamento dos resultados reproduz as impressões subjetivas de semelhança entre as variações. O artigo apresenta ainda uma generalização do algoritmo para detectar trechos localmente semelhantes entre duas partituras.</w:t>
      </w:r>
    </w:p>
    <w:p>
      <w:pPr>
        <w:pStyle w:val="TE-Normal"/>
        <w:rPr/>
      </w:pPr>
      <w:r>
        <w:rPr/>
        <w:t xml:space="preserve">Mais recentemente, Janssen, van Kranenburg e Volk (2017) partem de uma constatação consolidada nos estudos de canções folclóricas: variantes de uma mesma canção são reconhecidas por segmentos melódicos salientes, como frases e motivos, enquanto o restante da melodia pode variar consideravelmente. Os autores comparam diversas medidas de similaridade na tarefa de localizar ocorrências de segmentos melódicos em variantes, entre elas distâncias vetoriais, alinhamento local, transformada </w:t>
      </w:r>
      <w:r>
        <w:rPr>
          <w:i/>
          <w:iCs/>
        </w:rPr>
        <w:t xml:space="preserve">wavelet</w:t>
      </w:r>
      <w:r>
        <w:rPr/>
        <w:t xml:space="preserve"> e indução de estrutura, e as avaliam contra anotações humanas.</w:t>
      </w:r>
    </w:p>
    <w:p>
      <w:pPr>
        <w:pStyle w:val="TE-Normal"/>
        <w:rPr/>
      </w:pPr>
      <w:r>
        <w:rPr/>
        <w:t xml:space="preserve">Entre as linhas revisadas, esta é a que compartilha com este trabalho o eixo da comparação: ambas comparam versões, e não vozes ou seções de uma mesma peça. As diferenças estão no tipo de resultado e no repertório de transformações. Mongeau e Sankoff (1990) produzem essencialmente uma medida de semelhança entre partituras, e não um mapeamento das correspondências localizadas entre elas. Janssen, van Kranenburg e Volk (2017) fazem uma avaliação comparativa de medidas já existentes sobre melodias folclóricas monofônicas, e não propõem um método novo. Em ambos os casos, as variações tratadas são as típicas da transmissão de uma melodia, como transposição, alterações rítmicas e ornamentação, sem inversão ou retrogradação. As operações de fragmentação e consolidação, em particular, são diretamente relevantes para a tolerância rítmica exigida pelo método deste trabalho, como se discute no Capítulo 5.</w:t>
      </w:r>
    </w:p>
    <w:p>
      <w:pPr>
        <w:pStyle w:val="T2-TituloSecundario"/>
        <w:numPr>
          <w:ilvl w:val="1"/>
          <w:numId w:val="6"/>
        </w:numPr>
        <w:rPr/>
      </w:pPr>
      <w:r>
        <w:rPr/>
        <w:t>Heurísticas do BLAST aplicadas à música simbólica</w:t>
      </w:r>
    </w:p>
    <w:p>
      <w:pPr>
        <w:pStyle w:val="TE-Normal"/>
        <w:rPr/>
      </w:pPr>
      <w:r>
        <w:rPr/>
        <w:t xml:space="preserve">A analogia entre sequências biológicas e musicais que motiva este trabalho não é inédita. Kilian e Hoos (2004) propõem o MusicBLAST, que adapta a versão com </w:t>
      </w:r>
      <w:r>
        <w:rPr>
          <w:i/>
          <w:iCs/>
        </w:rPr>
        <w:t xml:space="preserve">gaps</w:t>
      </w:r>
      <w:r>
        <w:rPr/>
        <w:t xml:space="preserve"> do BLAST (ALTSCHUL et al., 1997) à busca aproximada de padrões em dados musicais simbólicos. A matriz de pontuação entre aminoácidos é substituída por uma função de similaridade entre notas, que pode se basear em altura, intervalo, duração ou proporção rítmica. A partir de janelas de alta similaridade, o algoritmo estende alinhamentos com </w:t>
      </w:r>
      <w:r>
        <w:rPr>
          <w:i/>
          <w:iCs/>
        </w:rPr>
        <w:t xml:space="preserve">gaps</w:t>
      </w:r>
      <w:r>
        <w:rPr/>
        <w:t xml:space="preserve"> nas duas direções, recupera múltiplas ocorrências de um padrão de consulta, inclusive incompletas e imperfeitas, e as ordena por uma medida de significância. Os autores observam ainda que, em princípio, as operações de fragmentação e consolidação de Mongeau e Sankoff (1990) poderiam ser integradas ao BLAST, ao custo de redesenhar seus critérios de interrupção. A avaliação apresentada é preliminar e se restringe a exemplos ilustrativos, como o alinhamento entre uma execução em MIDI e a partitura correspondente; os autores deixam uma avaliação detalhada para trabalhos posteriores.</w:t>
      </w:r>
    </w:p>
    <w:p>
      <w:pPr>
        <w:pStyle w:val="TE-Normal"/>
        <w:rPr/>
      </w:pPr>
      <w:r>
        <w:rPr/>
        <w:t xml:space="preserve">Bountouridis et al. (2017) retomam a mesma analogia com outra motivação: o alinhamento par a par por programação dinâmica, método mais usado para comparar melodias codificadas simbolicamente, não escala bem em tempo de execução. Os autores aplicam a indexação do BLAST a duas coleções, uma de melodias folclóricas e outra de melodias de versões </w:t>
      </w:r>
      <w:r>
        <w:rPr>
          <w:i/>
          <w:iCs/>
        </w:rPr>
        <w:t xml:space="preserve">cover</w:t>
      </w:r>
      <w:r>
        <w:rPr/>
        <w:t xml:space="preserve">, e obtêm desempenho de classificação comparável ao de abordagens exaustivas. Complementam esse resultado com alinhamento múltiplo de sequências e modelos ocultos de Markov de perfil.</w:t>
      </w:r>
    </w:p>
    <w:p>
      <w:pPr>
        <w:pStyle w:val="TE-Normal"/>
        <w:rPr/>
      </w:pPr>
      <w:r>
        <w:rPr/>
        <w:t xml:space="preserve">Esses dois trabalhos mostram que a heurística </w:t>
      </w:r>
      <w:r>
        <w:rPr>
          <w:i/>
          <w:iCs/>
        </w:rPr>
        <w:t xml:space="preserve">seed-and-extend</w:t>
      </w:r>
      <w:r>
        <w:rPr/>
        <w:t xml:space="preserve"> é aplicável à música simbólica. Por isso, a adaptação do BLAST, por si só, não constitui a contribuição deste trabalho. O que os separa do problema aqui investigado é a tarefa. Ambos tratam de recuperação, isto é, localizar onde um padrão de consulta ocorre em uma coleção, ou de classificação, isto é, decidir a que família uma melodia pertence. Nenhum deles trata do mapeamento de correspondências entre duas versões de uma mesma obra. Além disso, nenhum dos dois, pelo que descrevem os próprios autores, modela inversão ou retrogradação, nem avalia a identificação de transformações específicas contra um gabarito.</w:t>
      </w:r>
    </w:p>
    <w:p>
      <w:pPr>
        <w:pStyle w:val="T2-TituloSecundario"/>
        <w:numPr>
          <w:ilvl w:val="1"/>
          <w:numId w:val="6"/>
        </w:numPr>
        <w:rPr/>
      </w:pPr>
      <w:bookmarkStart w:id="49" w:name="__RefHeading___Toc1020_1503872338"/>
      <w:bookmarkEnd w:id="49"/>
      <w:r>
        <w:rPr/>
        <w:t>Síntese e posicionamento deste trabalho</w:t>
      </w:r>
    </w:p>
    <w:p>
      <w:pPr>
        <w:pStyle w:val="TE-Normal"/>
        <w:rPr/>
      </w:pPr>
      <w:r>
        <w:rPr/>
        <w:t xml:space="preserve">Colocados lado a lado, os trabalhos revisados delimitam por exclusão o problema investigado. O musicdiff compara duas partituras, mas no nível do símbolo notacional, sem tolerância a transformações que preservam a identidade motívica. O SIATEC e Zhu et al. (2026) buscam padrões dentro de uma única peça: o primeiro por translação, o que captura repetição e transposição, mas não inversão ou retrogradação; o segundo por alinhamento local entre vozes simultâneas. Mongeau e Sankoff (1990) e Janssen, van Kranenburg e Volk (2017) comparam variantes de uma mesma melodia, mas produzem medidas de semelhança ou localizam segmentos, sem tratar inversão ou retrogradação. Por fim, o MusicBLAST (KILIAN; HOOS, 2004) e Bountouridis et al. (2017) adaptam o BLAST à música simbólica, mas para tarefas de recuperação e classificação. O Quadro 1 resume essas diferenças.</w:t>
      </w:r>
    </w:p>
    <w:p>
      <w:pPr>
        <w:pStyle w:val="TE-LegendaQuadro"/>
        <w:numPr>
          <w:ilvl w:val="0"/>
          <w:numId w:val="9"/>
        </w:numPr>
        <w:rPr/>
      </w:pPr>
      <w:r>
        <w:rPr/>
        <w:t>Comparação entre os trabalhos relacionados e este trabalho</w:t>
      </w:r>
    </w:p>
    <w:tbl>
      <w:tblPr>
        <w:tblStyle w:val="Tabelacomgrade"/>
        <w:tblW w:w="9070" w:type="dxa"/>
        <w:tblLook w:val="04A0" w:firstRow="1" w:lastRow="0" w:firstColumn="1" w:lastColumn="0" w:noHBand="0" w:noVBand="1"/>
      </w:tblPr>
      <w:tblGrid>
        <w:gridCol w:w="1900"/>
        <w:gridCol w:w="1560"/>
        <w:gridCol w:w="1830"/>
        <w:gridCol w:w="2080"/>
        <w:gridCol w:w="1700"/>
      </w:tblGrid>
      <w:tr>
        <w:trPr>
          <w:cantSplit/>
          <w:tblHeader/>
        </w:trPr>
        <w:tc>
          <w:tcPr>
            <w:tcW w:w="1900" w:type="dxa"/>
          </w:tcPr>
          <w:p>
            <w:pPr>
              <w:pStyle w:val="TE-CorpoTabela"/>
              <w:jc w:val="center"/>
              <w:rPr/>
            </w:pPr>
            <w:r>
              <w:rPr>
                <w:b/>
              </w:rPr>
              <w:t xml:space="preserve">Trabalho</w:t>
            </w:r>
          </w:p>
        </w:tc>
        <w:tc>
          <w:tcPr>
            <w:tcW w:w="1560" w:type="dxa"/>
          </w:tcPr>
          <w:p>
            <w:pPr>
              <w:pStyle w:val="TE-CorpoTabela"/>
              <w:jc w:val="center"/>
              <w:rPr/>
            </w:pPr>
            <w:r>
              <w:rPr>
                <w:b/>
              </w:rPr>
              <w:t xml:space="preserve">Unidade de comparação</w:t>
            </w:r>
          </w:p>
        </w:tc>
        <w:tc>
          <w:tcPr>
            <w:tcW w:w="1830" w:type="dxa"/>
          </w:tcPr>
          <w:p>
            <w:pPr>
              <w:pStyle w:val="TE-CorpoTabela"/>
              <w:jc w:val="center"/>
              <w:rPr/>
            </w:pPr>
            <w:r>
              <w:rPr>
                <w:b/>
              </w:rPr>
              <w:t xml:space="preserve">Tipo de resultado</w:t>
            </w:r>
          </w:p>
        </w:tc>
        <w:tc>
          <w:tcPr>
            <w:tcW w:w="2080" w:type="dxa"/>
          </w:tcPr>
          <w:p>
            <w:pPr>
              <w:pStyle w:val="TE-CorpoTabela"/>
              <w:jc w:val="center"/>
              <w:rPr/>
            </w:pPr>
            <w:r>
              <w:rPr>
                <w:b/>
              </w:rPr>
              <w:t xml:space="preserve">Transformações tratadas</w:t>
            </w:r>
          </w:p>
        </w:tc>
        <w:tc>
          <w:tcPr>
            <w:tcW w:w="1700" w:type="dxa"/>
          </w:tcPr>
          <w:p>
            <w:pPr>
              <w:pStyle w:val="TE-CorpoTabela"/>
              <w:jc w:val="center"/>
              <w:rPr/>
            </w:pPr>
            <w:r>
              <w:rPr>
                <w:b/>
              </w:rPr>
              <w:t xml:space="preserve">Estratégia de busca</w:t>
            </w:r>
          </w:p>
        </w:tc>
      </w:tr>
      <w:tr>
        <w:trPr>
          <w:cantSplit/>
        </w:trPr>
        <w:tc>
          <w:tcPr>
            <w:tcW w:w="1900" w:type="dxa"/>
          </w:tcPr>
          <w:p>
            <w:pPr>
              <w:pStyle w:val="TE-CorpoTabela"/>
              <w:jc w:val="left"/>
              <w:rPr/>
            </w:pPr>
            <w:r>
              <w:rPr/>
              <w:t xml:space="preserve">musicdiff (FOSCARIN; JACQUEMARD; FOURNIER-S'NIEHOTTA, 2019)</w:t>
            </w:r>
          </w:p>
        </w:tc>
        <w:tc>
          <w:tcPr>
            <w:tcW w:w="1560" w:type="dxa"/>
          </w:tcPr>
          <w:p>
            <w:pPr>
              <w:pStyle w:val="TE-CorpoTabela"/>
              <w:jc w:val="left"/>
              <w:rPr/>
            </w:pPr>
            <w:r>
              <w:rPr/>
              <w:t xml:space="preserve">Duas partituras (versões)</w:t>
            </w:r>
          </w:p>
        </w:tc>
        <w:tc>
          <w:tcPr>
            <w:tcW w:w="1830" w:type="dxa"/>
          </w:tcPr>
          <w:p>
            <w:pPr>
              <w:pStyle w:val="TE-CorpoTabela"/>
              <w:jc w:val="left"/>
              <w:rPr/>
            </w:pPr>
            <w:r>
              <w:rPr/>
              <w:t xml:space="preserve">Diferenças notacionais localizadas</w:t>
            </w:r>
          </w:p>
        </w:tc>
        <w:tc>
          <w:tcPr>
            <w:tcW w:w="2080" w:type="dxa"/>
          </w:tcPr>
          <w:p>
            <w:pPr>
              <w:pStyle w:val="TE-CorpoTabela"/>
              <w:jc w:val="left"/>
              <w:rPr/>
            </w:pPr>
            <w:r>
              <w:rPr/>
              <w:t xml:space="preserve">Nenhuma (comparação símbolo a símbolo)</w:t>
            </w:r>
          </w:p>
        </w:tc>
        <w:tc>
          <w:tcPr>
            <w:tcW w:w="1700" w:type="dxa"/>
          </w:tcPr>
          <w:p>
            <w:pPr>
              <w:pStyle w:val="TE-CorpoTabela"/>
              <w:jc w:val="left"/>
              <w:rPr/>
            </w:pPr>
            <w:r>
              <w:rPr/>
              <w:t xml:space="preserve">Distância de edição de sequências e de árvores</w:t>
            </w:r>
          </w:p>
        </w:tc>
      </w:tr>
      <w:tr>
        <w:trPr>
          <w:cantSplit/>
        </w:trPr>
        <w:tc>
          <w:tcPr>
            <w:tcW w:w="1900" w:type="dxa"/>
          </w:tcPr>
          <w:p>
            <w:pPr>
              <w:pStyle w:val="TE-CorpoTabela"/>
              <w:jc w:val="left"/>
              <w:rPr/>
            </w:pPr>
            <w:r>
              <w:rPr/>
              <w:t xml:space="preserve">SIATEC (MEREDITH; LEMSTRÖM; WIGGINS, 2002)</w:t>
            </w:r>
          </w:p>
        </w:tc>
        <w:tc>
          <w:tcPr>
            <w:tcW w:w="1560" w:type="dxa"/>
          </w:tcPr>
          <w:p>
            <w:pPr>
              <w:pStyle w:val="TE-CorpoTabela"/>
              <w:jc w:val="left"/>
              <w:rPr/>
            </w:pPr>
            <w:r>
              <w:rPr/>
              <w:t xml:space="preserve">Uma peça</w:t>
            </w:r>
          </w:p>
        </w:tc>
        <w:tc>
          <w:tcPr>
            <w:tcW w:w="1830" w:type="dxa"/>
          </w:tcPr>
          <w:p>
            <w:pPr>
              <w:pStyle w:val="TE-CorpoTabela"/>
              <w:jc w:val="left"/>
              <w:rPr/>
            </w:pPr>
            <w:r>
              <w:rPr/>
              <w:t xml:space="preserve">Padrões repetidos e suas ocorrências</w:t>
            </w:r>
          </w:p>
        </w:tc>
        <w:tc>
          <w:tcPr>
            <w:tcW w:w="2080" w:type="dxa"/>
          </w:tcPr>
          <w:p>
            <w:pPr>
              <w:pStyle w:val="TE-CorpoTabela"/>
              <w:jc w:val="left"/>
              <w:rPr/>
            </w:pPr>
            <w:r>
              <w:rPr/>
              <w:t xml:space="preserve">Translação (repetição e transposição)</w:t>
            </w:r>
          </w:p>
        </w:tc>
        <w:tc>
          <w:tcPr>
            <w:tcW w:w="1700" w:type="dxa"/>
          </w:tcPr>
          <w:p>
            <w:pPr>
              <w:pStyle w:val="TE-CorpoTabela"/>
              <w:jc w:val="left"/>
              <w:rPr/>
            </w:pPr>
            <w:r>
              <w:rPr/>
              <w:t xml:space="preserve">Geométrica, sobre conjuntos de pontos</w:t>
            </w:r>
          </w:p>
        </w:tc>
      </w:tr>
      <w:tr>
        <w:trPr>
          <w:cantSplit/>
        </w:trPr>
        <w:tc>
          <w:tcPr>
            <w:tcW w:w="1900" w:type="dxa"/>
          </w:tcPr>
          <w:p>
            <w:pPr>
              <w:pStyle w:val="TE-CorpoTabela"/>
              <w:jc w:val="left"/>
              <w:rPr/>
            </w:pPr>
            <w:r>
              <w:rPr/>
              <w:t xml:space="preserve">ZHU et al. (2026)</w:t>
            </w:r>
          </w:p>
        </w:tc>
        <w:tc>
          <w:tcPr>
            <w:tcW w:w="1560" w:type="dxa"/>
          </w:tcPr>
          <w:p>
            <w:pPr>
              <w:pStyle w:val="TE-CorpoTabela"/>
              <w:jc w:val="left"/>
              <w:rPr/>
            </w:pPr>
            <w:r>
              <w:rPr/>
              <w:t xml:space="preserve">Vozes de uma mesma peça</w:t>
            </w:r>
          </w:p>
        </w:tc>
        <w:tc>
          <w:tcPr>
            <w:tcW w:w="1830" w:type="dxa"/>
          </w:tcPr>
          <w:p>
            <w:pPr>
              <w:pStyle w:val="TE-CorpoTabela"/>
              <w:jc w:val="left"/>
              <w:rPr/>
            </w:pPr>
            <w:r>
              <w:rPr/>
              <w:t xml:space="preserve">Motivos da peça</w:t>
            </w:r>
          </w:p>
        </w:tc>
        <w:tc>
          <w:tcPr>
            <w:tcW w:w="2080" w:type="dxa"/>
          </w:tcPr>
          <w:p>
            <w:pPr>
              <w:pStyle w:val="TE-CorpoTabela"/>
              <w:jc w:val="left"/>
              <w:rPr/>
            </w:pPr>
            <w:r>
              <w:rPr/>
              <w:t xml:space="preserve">Transposição (intervalos diatônicos)</w:t>
            </w:r>
          </w:p>
        </w:tc>
        <w:tc>
          <w:tcPr>
            <w:tcW w:w="1700" w:type="dxa"/>
          </w:tcPr>
          <w:p>
            <w:pPr>
              <w:pStyle w:val="TE-CorpoTabela"/>
              <w:jc w:val="left"/>
              <w:rPr/>
            </w:pPr>
            <w:r>
              <w:rPr/>
              <w:t xml:space="preserve">Alinhamento local (Smith-Waterman)</w:t>
            </w:r>
          </w:p>
        </w:tc>
      </w:tr>
      <w:tr>
        <w:trPr>
          <w:cantSplit/>
        </w:trPr>
        <w:tc>
          <w:tcPr>
            <w:tcW w:w="1900" w:type="dxa"/>
          </w:tcPr>
          <w:p>
            <w:pPr>
              <w:pStyle w:val="TE-CorpoTabela"/>
              <w:jc w:val="left"/>
              <w:rPr/>
            </w:pPr>
            <w:r>
              <w:rPr/>
              <w:t xml:space="preserve">MONGEAU; SANKOFF (1990)</w:t>
            </w:r>
          </w:p>
        </w:tc>
        <w:tc>
          <w:tcPr>
            <w:tcW w:w="1560" w:type="dxa"/>
          </w:tcPr>
          <w:p>
            <w:pPr>
              <w:pStyle w:val="TE-CorpoTabela"/>
              <w:jc w:val="left"/>
              <w:rPr/>
            </w:pPr>
            <w:r>
              <w:rPr/>
              <w:t xml:space="preserve">Duas melodias (variantes)</w:t>
            </w:r>
          </w:p>
        </w:tc>
        <w:tc>
          <w:tcPr>
            <w:tcW w:w="1830" w:type="dxa"/>
          </w:tcPr>
          <w:p>
            <w:pPr>
              <w:pStyle w:val="TE-CorpoTabela"/>
              <w:jc w:val="left"/>
              <w:rPr/>
            </w:pPr>
            <w:r>
              <w:rPr/>
              <w:t xml:space="preserve">Medida de semelhança</w:t>
            </w:r>
          </w:p>
        </w:tc>
        <w:tc>
          <w:tcPr>
            <w:tcW w:w="2080" w:type="dxa"/>
          </w:tcPr>
          <w:p>
            <w:pPr>
              <w:pStyle w:val="TE-CorpoTabela"/>
              <w:jc w:val="left"/>
              <w:rPr/>
            </w:pPr>
            <w:r>
              <w:rPr/>
              <w:t xml:space="preserve">Tonalidade, modo, andamento e ritmo (fragmentação e consolidação)</w:t>
            </w:r>
          </w:p>
        </w:tc>
        <w:tc>
          <w:tcPr>
            <w:tcW w:w="1700" w:type="dxa"/>
          </w:tcPr>
          <w:p>
            <w:pPr>
              <w:pStyle w:val="TE-CorpoTabela"/>
              <w:jc w:val="left"/>
              <w:rPr/>
            </w:pPr>
            <w:r>
              <w:rPr/>
              <w:t xml:space="preserve">Programação dinâmica exaustiva</w:t>
            </w:r>
          </w:p>
        </w:tc>
      </w:tr>
      <w:tr>
        <w:trPr>
          <w:cantSplit/>
        </w:trPr>
        <w:tc>
          <w:tcPr>
            <w:tcW w:w="1900" w:type="dxa"/>
          </w:tcPr>
          <w:p>
            <w:pPr>
              <w:pStyle w:val="TE-CorpoTabela"/>
              <w:jc w:val="left"/>
              <w:rPr/>
            </w:pPr>
            <w:r>
              <w:rPr/>
              <w:t xml:space="preserve">JANSSEN; VAN KRANENBURG; VOLK (2017)</w:t>
            </w:r>
          </w:p>
        </w:tc>
        <w:tc>
          <w:tcPr>
            <w:tcW w:w="1560" w:type="dxa"/>
          </w:tcPr>
          <w:p>
            <w:pPr>
              <w:pStyle w:val="TE-CorpoTabela"/>
              <w:jc w:val="left"/>
              <w:rPr/>
            </w:pPr>
            <w:r>
              <w:rPr/>
              <w:t xml:space="preserve">Segmento e variantes de uma canção</w:t>
            </w:r>
          </w:p>
        </w:tc>
        <w:tc>
          <w:tcPr>
            <w:tcW w:w="1830" w:type="dxa"/>
          </w:tcPr>
          <w:p>
            <w:pPr>
              <w:pStyle w:val="TE-CorpoTabela"/>
              <w:jc w:val="left"/>
              <w:rPr/>
            </w:pPr>
            <w:r>
              <w:rPr/>
              <w:t xml:space="preserve">Ocorrências de segmentos</w:t>
            </w:r>
          </w:p>
        </w:tc>
        <w:tc>
          <w:tcPr>
            <w:tcW w:w="2080" w:type="dxa"/>
          </w:tcPr>
          <w:p>
            <w:pPr>
              <w:pStyle w:val="TE-CorpoTabela"/>
              <w:jc w:val="left"/>
              <w:rPr/>
            </w:pPr>
            <w:r>
              <w:rPr/>
              <w:t xml:space="preserve">Variação entre variantes folclóricas</w:t>
            </w:r>
          </w:p>
        </w:tc>
        <w:tc>
          <w:tcPr>
            <w:tcW w:w="1700" w:type="dxa"/>
          </w:tcPr>
          <w:p>
            <w:pPr>
              <w:pStyle w:val="TE-CorpoTabela"/>
              <w:jc w:val="left"/>
              <w:rPr/>
            </w:pPr>
            <w:r>
              <w:rPr/>
              <w:t xml:space="preserve">Comparação de medidas, incluindo alinhamento local</w:t>
            </w:r>
          </w:p>
        </w:tc>
      </w:tr>
      <w:tr>
        <w:trPr>
          <w:cantSplit/>
        </w:trPr>
        <w:tc>
          <w:tcPr>
            <w:tcW w:w="1900" w:type="dxa"/>
          </w:tcPr>
          <w:p>
            <w:pPr>
              <w:pStyle w:val="TE-CorpoTabela"/>
              <w:jc w:val="left"/>
              <w:rPr/>
            </w:pPr>
            <w:r>
              <w:rPr/>
              <w:t xml:space="preserve">MusicBLAST (KILIAN; HOOS, 2004)</w:t>
            </w:r>
          </w:p>
        </w:tc>
        <w:tc>
          <w:tcPr>
            <w:tcW w:w="1560" w:type="dxa"/>
          </w:tcPr>
          <w:p>
            <w:pPr>
              <w:pStyle w:val="TE-CorpoTabela"/>
              <w:jc w:val="left"/>
              <w:rPr/>
            </w:pPr>
            <w:r>
              <w:rPr/>
              <w:t xml:space="preserve">Padrão de consulta e peça</w:t>
            </w:r>
          </w:p>
        </w:tc>
        <w:tc>
          <w:tcPr>
            <w:tcW w:w="1830" w:type="dxa"/>
          </w:tcPr>
          <w:p>
            <w:pPr>
              <w:pStyle w:val="TE-CorpoTabela"/>
              <w:jc w:val="left"/>
              <w:rPr/>
            </w:pPr>
            <w:r>
              <w:rPr/>
              <w:t xml:space="preserve">Ocorrências do padrão, com significância</w:t>
            </w:r>
          </w:p>
        </w:tc>
        <w:tc>
          <w:tcPr>
            <w:tcW w:w="2080" w:type="dxa"/>
          </w:tcPr>
          <w:p>
            <w:pPr>
              <w:pStyle w:val="TE-CorpoTabela"/>
              <w:jc w:val="left"/>
              <w:rPr/>
            </w:pPr>
            <w:r>
              <w:rPr/>
              <w:t xml:space="preserve">Dependem da função de similaridade adotada</w:t>
            </w:r>
          </w:p>
        </w:tc>
        <w:tc>
          <w:tcPr>
            <w:tcW w:w="1700" w:type="dxa"/>
          </w:tcPr>
          <w:p>
            <w:pPr>
              <w:pStyle w:val="TE-CorpoTabela"/>
              <w:jc w:val="left"/>
              <w:rPr/>
            </w:pPr>
            <w:r>
              <w:rPr/>
              <w:t xml:space="preserve">Seed-and-extend com </w:t>
            </w:r>
            <w:r>
              <w:rPr>
                <w:i/>
                <w:iCs/>
              </w:rPr>
              <w:t xml:space="preserve">gaps</w:t>
            </w:r>
          </w:p>
        </w:tc>
      </w:tr>
      <w:tr>
        <w:trPr>
          <w:cantSplit/>
        </w:trPr>
        <w:tc>
          <w:tcPr>
            <w:tcW w:w="1900" w:type="dxa"/>
          </w:tcPr>
          <w:p>
            <w:pPr>
              <w:pStyle w:val="TE-CorpoTabela"/>
              <w:jc w:val="left"/>
              <w:rPr/>
            </w:pPr>
            <w:r>
              <w:rPr/>
              <w:t xml:space="preserve">BOUNTOURIDIS et al. (2017)</w:t>
            </w:r>
          </w:p>
        </w:tc>
        <w:tc>
          <w:tcPr>
            <w:tcW w:w="1560" w:type="dxa"/>
          </w:tcPr>
          <w:p>
            <w:pPr>
              <w:pStyle w:val="TE-CorpoTabela"/>
              <w:jc w:val="left"/>
              <w:rPr/>
            </w:pPr>
            <w:r>
              <w:rPr/>
              <w:t xml:space="preserve">Melodia e coleção</w:t>
            </w:r>
          </w:p>
        </w:tc>
        <w:tc>
          <w:tcPr>
            <w:tcW w:w="1830" w:type="dxa"/>
          </w:tcPr>
          <w:p>
            <w:pPr>
              <w:pStyle w:val="TE-CorpoTabela"/>
              <w:jc w:val="left"/>
              <w:rPr/>
            </w:pPr>
            <w:r>
              <w:rPr/>
              <w:t xml:space="preserve">Classificação de melodias</w:t>
            </w:r>
          </w:p>
        </w:tc>
        <w:tc>
          <w:tcPr>
            <w:tcW w:w="2080" w:type="dxa"/>
          </w:tcPr>
          <w:p>
            <w:pPr>
              <w:pStyle w:val="TE-CorpoTabela"/>
              <w:jc w:val="left"/>
              <w:rPr/>
            </w:pPr>
            <w:r>
              <w:rPr/>
              <w:t xml:space="preserve">Variação entre melodias de uma mesma família</w:t>
            </w:r>
          </w:p>
        </w:tc>
        <w:tc>
          <w:tcPr>
            <w:tcW w:w="1700" w:type="dxa"/>
          </w:tcPr>
          <w:p>
            <w:pPr>
              <w:pStyle w:val="TE-CorpoTabela"/>
              <w:jc w:val="left"/>
              <w:rPr/>
            </w:pPr>
            <w:r>
              <w:rPr/>
              <w:t xml:space="preserve">Indexação do BLAST</w:t>
            </w:r>
          </w:p>
        </w:tc>
      </w:tr>
      <w:tr>
        <w:trPr>
          <w:cantSplit/>
        </w:trPr>
        <w:tc>
          <w:tcPr>
            <w:tcW w:w="1900" w:type="dxa"/>
          </w:tcPr>
          <w:p>
            <w:pPr>
              <w:pStyle w:val="TE-CorpoTabela"/>
              <w:jc w:val="left"/>
              <w:rPr/>
            </w:pPr>
            <w:r>
              <w:rPr>
                <w:b/>
              </w:rPr>
              <w:t xml:space="preserve">Este trabalho</w:t>
            </w:r>
          </w:p>
        </w:tc>
        <w:tc>
          <w:tcPr>
            <w:tcW w:w="1560" w:type="dxa"/>
          </w:tcPr>
          <w:p>
            <w:pPr>
              <w:pStyle w:val="TE-CorpoTabela"/>
              <w:jc w:val="left"/>
              <w:rPr/>
            </w:pPr>
            <w:r>
              <w:rPr>
                <w:b/>
              </w:rPr>
              <w:t xml:space="preserve">Duas versões de uma obra</w:t>
            </w:r>
          </w:p>
        </w:tc>
        <w:tc>
          <w:tcPr>
            <w:tcW w:w="1830" w:type="dxa"/>
          </w:tcPr>
          <w:p>
            <w:pPr>
              <w:pStyle w:val="TE-CorpoTabela"/>
              <w:jc w:val="left"/>
              <w:rPr/>
            </w:pPr>
            <w:r>
              <w:rPr>
                <w:b/>
              </w:rPr>
              <w:t xml:space="preserve">Correspondências localizadas, com tipo de transformação</w:t>
            </w:r>
          </w:p>
        </w:tc>
        <w:tc>
          <w:tcPr>
            <w:tcW w:w="2080" w:type="dxa"/>
          </w:tcPr>
          <w:p>
            <w:pPr>
              <w:pStyle w:val="TE-CorpoTabela"/>
              <w:jc w:val="left"/>
              <w:rPr/>
            </w:pPr>
            <w:r>
              <w:rPr>
                <w:b/>
              </w:rPr>
              <w:t xml:space="preserve">Transposição, variação rítmica, inserção e deleção; inversão e retrogradação</w:t>
            </w:r>
          </w:p>
        </w:tc>
        <w:tc>
          <w:tcPr>
            <w:tcW w:w="1700" w:type="dxa"/>
          </w:tcPr>
          <w:p>
            <w:pPr>
              <w:pStyle w:val="TE-CorpoTabela"/>
              <w:jc w:val="left"/>
              <w:rPr/>
            </w:pPr>
            <w:r>
              <w:rPr>
                <w:b/>
              </w:rPr>
              <w:t xml:space="preserve">Seed-and-extend com </w:t>
            </w:r>
            <w:r>
              <w:rPr>
                <w:b/>
                <w:i/>
                <w:iCs/>
              </w:rPr>
              <w:t xml:space="preserve">gaps</w:t>
            </w:r>
            <w:r>
              <w:rPr>
                <w:b/>
              </w:rPr>
              <w:t xml:space="preserve"> e variantes indexadas</w:t>
            </w:r>
          </w:p>
        </w:tc>
      </w:tr>
    </w:tbl>
    <w:p>
      <w:pPr>
        <w:pStyle w:val="TE-FonteFiguraQuadroTabela"/>
        <w:rPr/>
      </w:pPr>
      <w:r>
        <w:rPr/>
        <w:t>Fonte: elaborado pelo autor (2026).</w:t>
      </w:r>
    </w:p>
    <w:p>
      <w:pPr>
        <w:pStyle w:val="TE-Normal"/>
        <w:rPr/>
      </w:pPr>
      <w:r>
        <w:rPr/>
        <w:t xml:space="preserve">A contribuição deste trabalho, portanto, não está em nenhum desses elementos isolados, e sim em uma combinação que, na literatura consultada, nenhum dos trabalhos revisados reúne. O primeiro elemento é a comparação entre versões de uma mesma obra, com saída na forma de correspondências localizadas em ambas as versões, e não de uma medida global de semelhança ou de uma lista de ocorrências de um padrão de consulta. O segundo é a heurística </w:t>
      </w:r>
      <w:r>
        <w:rPr>
          <w:i/>
          <w:iCs/>
        </w:rPr>
        <w:t xml:space="preserve">seed-and-extend</w:t>
      </w:r>
      <w:r>
        <w:rPr/>
        <w:t xml:space="preserve"> com indexação explícita das variantes de cada semente sob inversão e retrogradação, ao lado da invariância à transposição obtida pela própria representação. O terceiro são critérios objetivos de avaliação calculados contra um gabarito de transformações conhecidas. É nessa combinação que se situa a heurística apresentada no Capítulo 5.</w:t>
      </w:r>
    </w:p>
    <w:p>
      <w:pPr>
        <w:pStyle w:val="T2-TituloSecundario"/>
        <w:numPr>
          <w:ilvl w:val="1"/>
          <w:numId w:val="6"/>
        </w:numPr>
        <w:rPr/>
      </w:pPr>
      <w:bookmarkStart w:id="50" w:name="__RefHeading___Toc1018_1503872338"/>
      <w:bookmarkEnd w:id="50"/>
      <w:r>
        <w:rPr/>
        <w:t>Considerações do capítulo</w:t>
      </w:r>
    </w:p>
    <w:p>
      <w:pPr>
        <w:pStyle w:val="TE-Normal"/>
        <w:rPr/>
      </w:pPr>
      <w:r>
        <w:rPr/>
        <w:t xml:space="preserve">Este capítulo revisou cinco linhas de trabalho computacional já aplicadas à música simbólica: comparação notacional, descoberta geométrica de padrões, alinhamento local intra-obra, similaridade entre variantes melódicas e adaptações do BLAST à música. Para cada uma, mostrou que parte do problema de correspondência motívica entre versões ela cobre e que parte deixa em aberto. Combinada à fundamentação teórico-musical do Capítulo 2 e à fundamentação computacional do Capítulo 3, essa revisão completa o panorama necessário para apresentar, no capítulo seguinte, a modelagem do protótipo que adapta a heurística </w:t>
      </w:r>
      <w:r>
        <w:rPr>
          <w:i/>
          <w:iCs/>
        </w:rPr>
        <w:t xml:space="preserve">seed-and-extend</w:t>
      </w:r>
      <w:r>
        <w:rPr/>
        <w:t xml:space="preserve"> a esse problema.</w:t>
      </w:r>
    </w:p>
    <w:p>
      <w:pPr>
        <w:pStyle w:val="Normal"/>
        <w:rPr>
          <w:sz w:val="26"/>
        </w:rPr>
      </w:pPr>
      <w:r>
        <w:rPr>
          <w:sz w:val="26"/>
        </w:rPr>
      </w:r>
      <w:r>
        <w:br w:type="page"/>
      </w:r>
    </w:p>
    <w:p>
      <w:pPr>
        <w:pStyle w:val="T1-TituloPrimario"/>
        <w:numPr>
          <w:ilvl w:val="0"/>
          <w:numId w:val="6"/>
        </w:numPr>
        <w:ind w:hanging="283" w:left="283"/>
        <w:rPr/>
      </w:pPr>
      <w:bookmarkStart w:id="200" w:name="__RefHeading___Toc9001_1503872338"/>
      <w:bookmarkEnd w:id="200"/>
      <w:r>
        <w:rPr/>
        <w:t>MODELAGEM DO PROTÓTIPO</w:t>
      </w:r>
    </w:p>
    <w:p>
      <w:pPr>
        <w:pStyle w:val="TE-Normal"/>
        <w:rPr/>
      </w:pPr>
      <w:r>
        <w:rPr/>
        <w:t>Este capítulo apresenta a modelagem do protótipo que implementa o método de alinhamento motívico descrito nos capítulos anteriores. Descreve-se a solução proposta em termos de arquitetura geral, os requisitos funcionais e não funcionais que orientam o desenvolvimento, o caso de uso que caracteriza a interação com a ferramenta e o projeto interno de seus componentes. Por se tratar de uma ferramenta de análise, sem interface gráfica voltada a um usuário final, algumas seções do modelo institucional de TCC foram adaptadas ao formato do protótipo — a adaptação é explicitada em cada seção correspondente. A implementação do protótipo aqui modelado e a aplicação preliminar dos critérios de avaliação estão previstas para o TCC II; este capítulo estabelece o desenho que orienta essa implementação.</w:t>
      </w:r>
    </w:p>
    <w:p>
      <w:pPr>
        <w:pStyle w:val="TE-Normal"/>
        <w:rPr/>
      </w:pPr>
      <w:r>
        <w:rPr>
          <w:highlight w:val="yellow"/>
        </w:rPr>
        <w:t>CONFIRMAR ABORDAGEM: as seções 5.3 (Diagrama de Caso de Uso) e 5.5 (Wireframes) do modelo institucional pressupõem um sistema com interface gráfica; como o protótipo é uma ferramenta de linha de comando/biblioteca, essas seções foram adaptadas — ver nota em cada uma</w:t>
      </w:r>
    </w:p>
    <w:p>
      <w:pPr>
        <w:pStyle w:val="T2-TituloSecundario"/>
        <w:numPr>
          <w:ilvl w:val="1"/>
          <w:numId w:val="6"/>
        </w:numPr>
        <w:rPr/>
      </w:pPr>
      <w:bookmarkStart w:id="201" w:name="__RefHeading___Toc9002_1503872338"/>
      <w:bookmarkEnd w:id="201"/>
      <w:r>
        <w:rPr/>
        <w:t>Descrição da Solução Proposta</w:t>
      </w:r>
    </w:p>
    <w:p>
      <w:pPr>
        <w:pStyle w:val="TE-Normal"/>
        <w:rPr/>
      </w:pPr>
      <w:r>
        <w:rPr/>
        <w:t>A solução proposta é um protótipo de linha de comando que recebe como entrada duas versões simbólicas, em formato MusicXML, de uma mesma composição — no caso deste trabalho, dois corais a quatro vozes de J. S. Bach — e produz como saída um relatório das correspondências motívicas identificadas entre elas, incluindo a localização de cada correspondência em ambas as versões, o tipo de transformação envolvida (transposição, inversão, retrogradação, variação rítmica, ou uma combinação delas) e uma pontuação associada.</w:t>
      </w:r>
    </w:p>
    <w:p>
      <w:pPr>
        <w:pStyle w:val="TE-Normal"/>
        <w:rPr/>
      </w:pPr>
      <w:r>
        <w:rPr/>
        <w:t xml:space="preserve">Internamente, o protótipo organiza o processamento em quatro etapas sequenciais, que retomam a estrutura conceitual apresentada nos Capítulos 3 e 4 e são detalhadas nas subseções a seguir: representação simbólica, geração e indexação de sementes, busca e extensão, e filtragem. A última subseção justifica a escolha da heurística </w:t>
      </w:r>
      <w:r>
        <w:rPr>
          <w:i/>
          <w:iCs/>
        </w:rPr>
        <w:t xml:space="preserve">seed-and-extend</w:t>
      </w:r>
      <w:r>
        <w:rPr/>
        <w:t xml:space="preserve"> diante da alternativa de alinhamento exato.</w:t>
      </w:r>
    </w:p>
    <w:p>
      <w:pPr>
        <w:pStyle w:val="T3-TituloTerciario"/>
        <w:numPr>
          <w:ilvl w:val="2"/>
          <w:numId w:val="6"/>
        </w:numPr>
        <w:rPr/>
      </w:pPr>
      <w:r>
        <w:rPr/>
        <w:t>Representação simbólica</w:t>
      </w:r>
    </w:p>
    <w:p>
      <w:pPr>
        <w:pStyle w:val="TE-Normal"/>
        <w:rPr/>
      </w:pPr>
      <w:r>
        <w:rPr/>
        <w:t xml:space="preserve">A primeira etapa, de leitura e representação, usa o music21 (CUTHBERT; ARIZA, 2010) para carregar cada versão MusicXML e extrair, de cada voz, uma sequência de eventos musicais, cada um formado por um par de altura e duração. Essa sequência é convertida para uma representação baseada em intervalos melódicos diatônicos e proporções rítmicas, e não em alturas absolutas. Os intervalos são medidos em graus da escala, e não em semitons, por causa da natureza tonal do corpus: nos corais, a inversão musicalmente pertinente é a tonal, que espelha os graus dentro da tonalidade. Essa é também a representação adotada por Zhu et al. (2026). A escolha já embute parte da tolerância a transformações exigida pelo problema, porque uma passagem transposta produz a mesma sequência de intervalos que o original. As demais transformações correspondem a operações simples sobre essa sequência. A inversão equivale a trocar o sinal de cada intervalo. A retrogradação equivale a inverter a ordem da sequência e, ao mesmo tempo, trocar o sinal de cada intervalo, já que percorrer as alturas de trás para frente também inverte a direção de cada passo; as proporções rítmicas, no retrógrado, são lidas em ordem inversa e substituídas por suas recíprocas. Por exemplo, as alturas dó–ré–mi–sol geram os passos diatônicos (+1, +1, +2); seu retrógrado, sol–mi–ré–dó, gera (−2, −1, −1), e não (+2, +1, +1), que seria o retrógrado da inversão.</w:t>
      </w:r>
    </w:p>
    <w:p>
      <w:pPr>
        <w:pStyle w:val="TE-Normal"/>
        <w:rPr/>
      </w:pPr>
      <w:r>
        <w:rPr/>
        <w:t xml:space="preserve">Formalmente, cada voz é uma sequência de eventos V = (e₁, …, eₙ), com eₖ = (pₖ, dₖ), em que pₖ é a altura e dₖ a duração. Sua representação é a sequência S = (x₁, …, xₙ₋₁), definida pela Equação 4. Nela, δₖ é o intervalo diatônico, medido em graus da escala; cₖ é o intervalo em semitons; e rₖ é a proporção rítmica entre eventos consecutivos. A altura p₁ é guardada separadamente como âncora.</w:t>
      </w:r>
    </w:p>
    <w:tbl>
      <w:tblPr>
        <w:tblW w:w="9070" w:type="dxa"/>
        <w:tblBorders>
          <w:top w:val="nil"/>
          <w:left w:val="nil"/>
          <w:bottom w:val="nil"/>
          <w:right w:val="nil"/>
          <w:insideH w:val="nil"/>
          <w:insideV w:val="nil"/>
        </w:tblBorders>
        <w:tblLook w:val="0000"/>
      </w:tblPr>
      <w:tblGrid>
        <w:gridCol w:w="8219"/>
        <w:gridCol w:w="851"/>
      </w:tblGrid>
      <w:tr>
        <w:tc>
          <w:tcPr>
            <w:tcW w:w="8219" w:type="dxa"/>
            <w:vAlign w:val="center"/>
          </w:tcPr>
          <w:p>
            <w:pPr>
              <w:pStyle w:val="TE-NormalNaoIdentado"/>
              <w:spacing w:before="120" w:after="120" w:line="240" w:lineRule="auto"/>
              <w:ind w:firstLine="0"/>
              <w:jc w:val="center"/>
              <w:rPr/>
            </w:pPr>
            <w:r>
              <w:rPr>
                <w:rFonts w:ascii="Cambria Math" w:hAnsi="Cambria Math"/>
                <w:i/>
                <w:iCs/>
              </w:rPr>
              <w:t xml:space="preserve">xₖ = (δₖ, cₖ, rₖ),   δₖ = grau(pₖ₊₁) − grau(pₖ),   cₖ = pₖ₊₁ − pₖ,   rₖ = dₖ₊₁ / dₖ</w:t>
            </w:r>
          </w:p>
        </w:tc>
        <w:tc>
          <w:tcPr>
            <w:tcW w:w="851" w:type="dxa"/>
            <w:vAlign w:val="center"/>
          </w:tcPr>
          <w:p>
            <w:pPr>
              <w:pStyle w:val="TE-NormalNaoIdentado"/>
              <w:spacing w:before="120" w:after="120" w:line="240" w:lineRule="auto"/>
              <w:ind w:firstLine="0"/>
              <w:jc w:val="right"/>
              <w:rPr/>
            </w:pPr>
            <w:r>
              <w:rPr/>
              <w:t>Eq. 4</w:t>
            </w:r>
          </w:p>
        </w:tc>
      </w:tr>
    </w:tbl>
    <w:p>
      <w:pPr>
        <w:pStyle w:val="TE-Normal"/>
        <w:rPr/>
      </w:pPr>
      <w:r>
        <w:rPr/>
        <w:t xml:space="preserve">As transformações passam a ser funções sobre S, com m = n − 1 (Equações 5 e 6). A transposição deixa S invariante e é medida pela diferença entre as âncoras das duas versões.</w:t>
      </w:r>
    </w:p>
    <w:tbl>
      <w:tblPr>
        <w:tblW w:w="9070" w:type="dxa"/>
        <w:tblBorders>
          <w:top w:val="nil"/>
          <w:left w:val="nil"/>
          <w:bottom w:val="nil"/>
          <w:right w:val="nil"/>
          <w:insideH w:val="nil"/>
          <w:insideV w:val="nil"/>
        </w:tblBorders>
        <w:tblLook w:val="0000"/>
      </w:tblPr>
      <w:tblGrid>
        <w:gridCol w:w="8219"/>
        <w:gridCol w:w="851"/>
      </w:tblGrid>
      <w:tr>
        <w:tc>
          <w:tcPr>
            <w:tcW w:w="8219" w:type="dxa"/>
            <w:vAlign w:val="center"/>
          </w:tcPr>
          <w:p>
            <w:pPr>
              <w:pStyle w:val="TE-NormalNaoIdentado"/>
              <w:spacing w:before="120" w:after="120" w:line="240" w:lineRule="auto"/>
              <w:ind w:firstLine="0"/>
              <w:jc w:val="center"/>
              <w:rPr/>
            </w:pPr>
            <w:r>
              <w:rPr>
                <w:rFonts w:ascii="Cambria Math" w:hAnsi="Cambria Math"/>
                <w:i/>
                <w:iCs/>
              </w:rPr>
              <w:t xml:space="preserve">Inv(S)ₖ = (−δₖ, −cₖ, rₖ)</w:t>
            </w:r>
          </w:p>
        </w:tc>
        <w:tc>
          <w:tcPr>
            <w:tcW w:w="851" w:type="dxa"/>
            <w:vAlign w:val="center"/>
          </w:tcPr>
          <w:p>
            <w:pPr>
              <w:pStyle w:val="TE-NormalNaoIdentado"/>
              <w:spacing w:before="120" w:after="120" w:line="240" w:lineRule="auto"/>
              <w:ind w:firstLine="0"/>
              <w:jc w:val="right"/>
              <w:rPr/>
            </w:pPr>
            <w:r>
              <w:rPr/>
              <w:t>Eq. 5</w:t>
            </w:r>
          </w:p>
        </w:tc>
      </w:tr>
    </w:tbl>
    <w:tbl>
      <w:tblPr>
        <w:tblW w:w="9070" w:type="dxa"/>
        <w:tblBorders>
          <w:top w:val="nil"/>
          <w:left w:val="nil"/>
          <w:bottom w:val="nil"/>
          <w:right w:val="nil"/>
          <w:insideH w:val="nil"/>
          <w:insideV w:val="nil"/>
        </w:tblBorders>
        <w:tblLook w:val="0000"/>
      </w:tblPr>
      <w:tblGrid>
        <w:gridCol w:w="8219"/>
        <w:gridCol w:w="851"/>
      </w:tblGrid>
      <w:tr>
        <w:tc>
          <w:tcPr>
            <w:tcW w:w="8219" w:type="dxa"/>
            <w:vAlign w:val="center"/>
          </w:tcPr>
          <w:p>
            <w:pPr>
              <w:pStyle w:val="TE-NormalNaoIdentado"/>
              <w:spacing w:before="120" w:after="120" w:line="240" w:lineRule="auto"/>
              <w:ind w:firstLine="0"/>
              <w:jc w:val="center"/>
              <w:rPr/>
            </w:pPr>
            <w:r>
              <w:rPr>
                <w:rFonts w:ascii="Cambria Math" w:hAnsi="Cambria Math"/>
                <w:i/>
                <w:iCs/>
              </w:rPr>
              <w:t xml:space="preserve">Ret(S)ₖ = (−δₘ₊₁₋ₖ, −cₘ₊₁₋ₖ, 1 / rₘ₊₁₋ₖ)</w:t>
            </w:r>
          </w:p>
        </w:tc>
        <w:tc>
          <w:tcPr>
            <w:tcW w:w="851" w:type="dxa"/>
            <w:vAlign w:val="center"/>
          </w:tcPr>
          <w:p>
            <w:pPr>
              <w:pStyle w:val="TE-NormalNaoIdentado"/>
              <w:spacing w:before="120" w:after="120" w:line="240" w:lineRule="auto"/>
              <w:ind w:firstLine="0"/>
              <w:jc w:val="right"/>
              <w:rPr/>
            </w:pPr>
            <w:r>
              <w:rPr/>
              <w:t>Eq. 6</w:t>
            </w:r>
          </w:p>
        </w:tc>
      </w:tr>
    </w:tbl>
    <w:p>
      <w:pPr>
        <w:pStyle w:val="TE-Normal"/>
        <w:rPr/>
      </w:pPr>
      <w:r>
        <w:rPr/>
        <w:t xml:space="preserve">A representação diatônica tem, porém, um custo: um intervalo de terça é codificado da mesma forma, seja ele maior ou menor. Isso torna a representação mais permissiva e tende a aumentar o número de coincidências entre sementes. Para compensar essa perda sem abrir mão da invariância, o protótipo guarda, ao lado de cada intervalo diatônico, o intervalo cromático correspondente, usado apenas na etapa de pontuação como critério de desempate: coincidências diatônicas que também coincidem cromaticamente pontuam mais. O protótipo guarda também a altura absoluta da primeira nota de cada trecho. A representação intervalar descarta essa informação, mas ela é necessária para que o relatório final possa afirmar que uma correspondência envolve transposição e informar o intervalo de transposição.</w:t>
      </w:r>
    </w:p>
    <w:p>
      <w:pPr>
        <w:pStyle w:val="T3-TituloTerciario"/>
        <w:numPr>
          <w:ilvl w:val="2"/>
          <w:numId w:val="6"/>
        </w:numPr>
        <w:rPr/>
      </w:pPr>
      <w:r>
        <w:rPr/>
        <w:t>Geração e indexação de sementes</w:t>
      </w:r>
    </w:p>
    <w:p>
      <w:pPr>
        <w:pStyle w:val="TE-Normal"/>
        <w:rPr/>
      </w:pPr>
      <w:r>
        <w:rPr/>
        <w:t xml:space="preserve">A segunda etapa, de geração e indexação de sementes, percorre a sequência de uma das versões (a versão de consulta) extraindo subsequências curtas de tamanho fixo — as sementes — e as indexa em uma tabela de posições, seguindo a mesma lógica do BLAST (ALTSCHUL et al., 1990) descrita no Capítulo 3. A semente é definida apenas sobre a componente de intervalos melódicos diatônicos da sequência, sem a componente rítmica. Essa escolha é deliberada: transposição, inversão e retrogradação são operações discretas, com uma única forma alternativa bem definida para cada semente, o que permite indexar essas variantes de antemão; a variação rítmica, ao contrário, não tem um conjunto finito de formas possíveis — pode envolver alongamento, encurtamento, síncope ou inserção e remoção de notas —, o que inviabiliza o mesmo tratamento. Restringir a semente aos intervalos evita que uma passagem apenas ritmicamente alterada deixe de gerar qualquer </w:t>
      </w:r>
      <w:r>
        <w:rPr>
          <w:i/>
          <w:iCs/>
        </w:rPr>
        <w:t xml:space="preserve">hit</w:t>
      </w:r>
      <w:r>
        <w:rPr/>
        <w:t xml:space="preserve">; a tolerância rítmica é tratada inteiramente na pontuação da etapa de extensão, a seguir. Para cada semente, o protótipo indexa não apenas sua forma original, mas também suas variantes sob inversão e retrogradação, de modo que a etapa seguinte de busca não precise testar cada transformação separadamente. A transposição não exige uma variante indexada equivalente: como a semente já é definida sobre intervalos melódicos diatônicos, e não sobre alturas absolutas, uma passagem transposta gera a mesma sequência de intervalos que o original, produzindo naturalmente um </w:t>
      </w:r>
      <w:r>
        <w:rPr>
          <w:i/>
          <w:iCs/>
        </w:rPr>
        <w:t xml:space="preserve">hit</w:t>
      </w:r>
      <w:r>
        <w:rPr/>
        <w:t xml:space="preserve"> sem qualquer indexação adicional.</w:t>
      </w:r>
      <w:r>
        <w:rPr/>
        <w:t xml:space="preserve"> Formalmente, a semente iniciada na posição i é wᵢ = (δᵢ, …, δᵢ₊ₖ₋₁). O índice é uma tabela hash I que associa cada semente à lista de pares (i, T) em que ela ocorre, com T ∈ {Id, Inv, Ret} indicando a forma sob a qual foi indexada; a consulta a I tem custo esperado constante.</w:t>
      </w:r>
    </w:p>
    <w:p>
      <w:pPr>
        <w:pStyle w:val="TE-Normal"/>
        <w:rPr/>
      </w:pPr>
      <w:r>
        <w:rPr/>
        <w:t xml:space="preserve">Entre as transformações consideradas, transposição, variação rítmica e inserção ou remoção de notas são as diferenças mais prováveis entre versões de uma mesma obra, como edições, fontes e harmonizações distintas de uma mesma melodia. Inversão e retrogradação raramente aparecem nesse tipo de relação. São mantidas no método como generalidade, relevante quando uma versão é arranjo ou reelaboração da outra, e seu custo é pequeno, porque se resumem a variantes adicionais na tabela de sementes.</w:t>
      </w:r>
    </w:p>
    <w:p>
      <w:pPr>
        <w:pStyle w:val="TE-Normal"/>
        <w:rPr/>
      </w:pPr>
      <w:r>
        <w:rPr/>
        <w:t xml:space="preserve">Antes da indexação, as sementes passam por um filtro de baixa complexidade. Nos corais, a condução de vozes é predominantemente por graus conjuntos. Sementes formadas apenas por passos na mesma direção, isto é, fragmentos de escala, ocorrem em praticamente qualquer trecho de qualquer voz e geram coincidências sem valor motívico. O problema tem um análogo direto na bioinformática: ali, regiões de baixa complexidade composicional das sequências são identificadas e mascaradas antes da busca (WOOTTON; FEDERHEN, 1993), justamente porque produzem alinhamentos espúrios. O protótipo adota a mesma estratégia. Sementes de baixa complexidade são descartadas da indexação ou têm seu peso reduzido, e o critério exato é definido na calibração (Seção 6.4).</w:t>
      </w:r>
      <w:r>
        <w:rPr/>
        <w:t xml:space="preserve"> Como critério inicial, é mascarada toda semente cujos passos são todos iguais e de no máximo um grau (|δ| ≤ 1), isto é, notas repetidas ou fragmentos de escala em uma única direção.</w:t>
      </w:r>
    </w:p>
    <w:p>
      <w:pPr>
        <w:pStyle w:val="T3-TituloTerciario"/>
        <w:numPr>
          <w:ilvl w:val="2"/>
          <w:numId w:val="6"/>
        </w:numPr>
        <w:rPr/>
      </w:pPr>
      <w:r>
        <w:rPr/>
        <w:t xml:space="preserve">Busca e extensão com </w:t>
      </w:r>
      <w:r>
        <w:rPr>
          <w:i/>
          <w:iCs/>
        </w:rPr>
        <w:t xml:space="preserve">gaps</w:t>
      </w:r>
    </w:p>
    <w:p>
      <w:pPr>
        <w:pStyle w:val="TE-Normal"/>
        <w:rPr/>
      </w:pPr>
      <w:r>
        <w:rPr/>
        <w:t xml:space="preserve">A terceira etapa, de busca e extensão, percorre a sequência da outra versão em busca de coincidências com as sementes indexadas (os </w:t>
      </w:r>
      <w:r>
        <w:rPr>
          <w:i/>
          <w:iCs/>
        </w:rPr>
        <w:t xml:space="preserve">hits</w:t>
      </w:r>
      <w:r>
        <w:rPr/>
        <w:t xml:space="preserve">). A partir de cada </w:t>
      </w:r>
      <w:r>
        <w:rPr>
          <w:i/>
          <w:iCs/>
        </w:rPr>
        <w:t xml:space="preserve">hit</w:t>
      </w:r>
      <w:r>
        <w:rPr/>
        <w:t xml:space="preserve">, o alinhamento é estendido em ambas as direções. Diferentemente da formulação original do BLAST, a extensão admite espaços (</w:t>
      </w:r>
      <w:r>
        <w:rPr>
          <w:i/>
          <w:iCs/>
        </w:rPr>
        <w:t xml:space="preserve">gaps</w:t>
      </w:r>
      <w:r>
        <w:rPr/>
        <w:t xml:space="preserve">), seguindo a versão de Altschul et al. (1997) descrita no Capítulo 3: a partir da semente, o alinhamento é calculado por programação dinâmica restrita à vizinhança do </w:t>
      </w:r>
      <w:r>
        <w:rPr>
          <w:i/>
          <w:iCs/>
        </w:rPr>
        <w:t xml:space="preserve">hit</w:t>
      </w:r>
      <w:r>
        <w:rPr/>
        <w:t xml:space="preserve"> e interrompido pelo critério de </w:t>
      </w:r>
      <w:r>
        <w:rPr>
          <w:i/>
          <w:iCs/>
        </w:rPr>
        <w:t xml:space="preserve">X-drop</w:t>
      </w:r>
      <w:r>
        <w:rPr/>
        <w:t xml:space="preserve">. A admissão de </w:t>
      </w:r>
      <w:r>
        <w:rPr>
          <w:i/>
          <w:iCs/>
        </w:rPr>
        <w:t xml:space="preserve">gaps</w:t>
      </w:r>
      <w:r>
        <w:rPr/>
        <w:t xml:space="preserve"> é necessária porque parte das diferenças esperadas entre versões consiste justamente na inserção ou remoção de notas, como uma nota de passagem acrescentada ou um ornamento suprimido. Uma extensão sem </w:t>
      </w:r>
      <w:r>
        <w:rPr>
          <w:i/>
          <w:iCs/>
        </w:rPr>
        <w:t xml:space="preserve">gaps</w:t>
      </w:r>
      <w:r>
        <w:rPr/>
        <w:t xml:space="preserve"> não absorve esse tipo de diferença: uma única nota a mais desloca todo o restante do trecho e encerra a extensão. A pontuação acumulada combina os intervalos diatônicos, o desempate cromático e a divergência entre proporções rítmicas, e penaliza os </w:t>
      </w:r>
      <w:r>
        <w:rPr>
          <w:i/>
          <w:iCs/>
        </w:rPr>
        <w:t xml:space="preserve">gaps</w:t>
      </w:r>
      <w:r>
        <w:rPr/>
        <w:t xml:space="preserve"> segundo um custo a ser calibrado (Seção 6.4).</w:t>
      </w:r>
    </w:p>
    <w:p>
      <w:pPr>
        <w:pStyle w:val="TE-Normal"/>
        <w:rPr/>
      </w:pPr>
      <w:r>
        <w:rPr/>
        <w:t xml:space="preserve">Sendo xᵢ = (δᵢ, cᵢ, rᵢ) um elemento de S e yⱼ = (δ′ⱼ, c′ⱼ, r′ⱼ) um elemento de S′, a pontuação do par é dada pela Equação 7, em que [·] vale 1 se a condição é verdadeira e 0 caso contrário. O logaritmo torna simétricas as penalidades de dobrar e de dividir pela metade uma duração. A extensão aplica a recorrência de Smith-Waterman (Equação 2) com essa pontuação e penalidade linear g por espaço, mas apenas nas células cujo escore não viola o critério de X-drop (Equação 3). Os pesos α, β, γ e ρ, a penalidade g e o limiar X são parâmetros do método, calibrados conforme a Seção 6.4.</w:t>
      </w:r>
    </w:p>
    <w:tbl>
      <w:tblPr>
        <w:tblW w:w="9070" w:type="dxa"/>
        <w:tblBorders>
          <w:top w:val="nil"/>
          <w:left w:val="nil"/>
          <w:bottom w:val="nil"/>
          <w:right w:val="nil"/>
          <w:insideH w:val="nil"/>
          <w:insideV w:val="nil"/>
        </w:tblBorders>
        <w:tblLook w:val="0000"/>
      </w:tblPr>
      <w:tblGrid>
        <w:gridCol w:w="8219"/>
        <w:gridCol w:w="851"/>
      </w:tblGrid>
      <w:tr>
        <w:tc>
          <w:tcPr>
            <w:tcW w:w="8219" w:type="dxa"/>
            <w:vAlign w:val="center"/>
          </w:tcPr>
          <w:p>
            <w:pPr>
              <w:pStyle w:val="TE-NormalNaoIdentado"/>
              <w:spacing w:before="120" w:after="120" w:line="240" w:lineRule="auto"/>
              <w:ind w:firstLine="0"/>
              <w:jc w:val="center"/>
              <w:rPr/>
            </w:pPr>
            <w:r>
              <w:rPr>
                <w:rFonts w:ascii="Cambria Math" w:hAnsi="Cambria Math"/>
                <w:i/>
                <w:iCs/>
              </w:rPr>
              <w:t xml:space="preserve">s(xᵢ, yⱼ) = α·[δᵢ = δ′ⱼ] − β·[δᵢ ≠ δ′ⱼ] + γ·[cᵢ = c′ⱼ] − ρ·|log₂(rᵢ / r′ⱼ)|</w:t>
            </w:r>
          </w:p>
        </w:tc>
        <w:tc>
          <w:tcPr>
            <w:tcW w:w="851" w:type="dxa"/>
            <w:vAlign w:val="center"/>
          </w:tcPr>
          <w:p>
            <w:pPr>
              <w:pStyle w:val="TE-NormalNaoIdentado"/>
              <w:spacing w:before="120" w:after="120" w:line="240" w:lineRule="auto"/>
              <w:ind w:firstLine="0"/>
              <w:jc w:val="right"/>
              <w:rPr/>
            </w:pPr>
            <w:r>
              <w:rPr/>
              <w:t>Eq. 7</w:t>
            </w:r>
          </w:p>
        </w:tc>
      </w:tr>
    </w:tbl>
    <w:p>
      <w:pPr>
        <w:pStyle w:val="TE-Normal"/>
        <w:rPr/>
      </w:pPr>
      <w:r>
        <w:rPr/>
        <w:t xml:space="preserve">Uma extensão possível desse esquema são as operações de fragmentação e consolidação propostas por Mongeau e Sankoff (1990) e discutidas no Capítulo 4. Elas modelam diretamente a substituição de uma nota por várias notas mais curtas, e vice-versa, situação comum em variantes rítmicas. Com </w:t>
      </w:r>
      <w:r>
        <w:rPr>
          <w:i/>
          <w:iCs/>
        </w:rPr>
        <w:t xml:space="preserve">gaps</w:t>
      </w:r>
      <w:r>
        <w:rPr/>
        <w:t xml:space="preserve">, essa situação é tratada apenas de forma aproximada, como uma substituição seguida de inserções. Kilian e Hoos (2004) observam, porém, que integrar essas operações ao BLAST exigiria redesenhar seus critérios de interrupção. Por isso, o desenho apresentado neste trabalho adota apenas a extensão com </w:t>
      </w:r>
      <w:r>
        <w:rPr>
          <w:i/>
          <w:iCs/>
        </w:rPr>
        <w:t xml:space="preserve">gaps</w:t>
      </w:r>
      <w:r>
        <w:rPr/>
        <w:t xml:space="preserve">. A incorporação da fragmentação e da consolidação fica registrada como extensão candidata, a ser avaliada no TCC II a partir do desempenho observado nos casos de variação rítmica.</w:t>
      </w:r>
    </w:p>
    <w:p>
      <w:pPr>
        <w:pStyle w:val="TE-Normal"/>
        <w:rPr/>
      </w:pPr>
      <w:r>
        <w:rPr/>
        <w:t xml:space="preserve">As etapas de busca e extensão são aplicadas a todas as dezesseis combinações entre as quatro vozes das duas versões, e não apenas às vozes de mesmo nome. Essa escolha permite identificar correspondências em que um motivo muda de voz entre uma versão e outra, como numa troca entre tenor e contralto, e tem custo desprezível para sequências do tamanho de uma voz de coral.</w:t>
      </w:r>
    </w:p>
    <w:p>
      <w:pPr>
        <w:pStyle w:val="TE-Normal"/>
        <w:rPr/>
      </w:pPr>
      <w:r>
        <w:rPr/>
        <w:t xml:space="preserve">O Quadro 2 ilustra as etapas sobre um par real do segundo conjunto de teste (Seção 6.3): os sopranos das harmonizações BWV 244.15 e BWV 244.62 do coral da Paixão. Os pesos foram escolhidos apenas para fins ilustrativos (α = 2, β = 1, γ = 1, ρ = 1, g = 2, X = 5 e k = 4) e não correspondem a valores calibrados.</w:t>
      </w:r>
    </w:p>
    <w:p>
      <w:pPr>
        <w:pStyle w:val="TE-LegendaQuadro"/>
        <w:numPr>
          <w:ilvl w:val="0"/>
          <w:numId w:val="9"/>
        </w:numPr>
        <w:rPr/>
      </w:pPr>
      <w:r>
        <w:rPr/>
        <w:t>Exemplo de alinhamento entre os sopranos de BWV 244.15 e BWV 244.62</w:t>
      </w:r>
    </w:p>
    <w:tbl>
      <w:tblPr>
        <w:tblStyle w:val="Tabelacomgrade"/>
        <w:tblW w:w="9070" w:type="dxa"/>
        <w:tblLook w:val="04A0" w:firstRow="1" w:lastRow="0" w:firstColumn="1" w:lastColumn="0" w:noHBand="0" w:noVBand="1"/>
      </w:tblPr>
      <w:tblGrid>
        <w:gridCol w:w="2100"/>
        <w:gridCol w:w="6970"/>
      </w:tblGrid>
      <w:tr>
        <w:trPr>
          <w:cantSplit/>
          <w:tblHeader/>
        </w:trPr>
        <w:tc>
          <w:tcPr>
            <w:tcW w:w="2100" w:type="dxa"/>
          </w:tcPr>
          <w:p>
            <w:pPr>
              <w:pStyle w:val="TE-CorpoTabela"/>
              <w:jc w:val="center"/>
              <w:rPr/>
            </w:pPr>
            <w:r>
              <w:rPr>
                <w:b/>
              </w:rPr>
              <w:t xml:space="preserve">Etapa</w:t>
            </w:r>
          </w:p>
        </w:tc>
        <w:tc>
          <w:tcPr>
            <w:tcW w:w="6970" w:type="dxa"/>
          </w:tcPr>
          <w:p>
            <w:pPr>
              <w:pStyle w:val="TE-CorpoTabela"/>
              <w:jc w:val="center"/>
              <w:rPr/>
            </w:pPr>
            <w:r>
              <w:rPr>
                <w:b/>
              </w:rPr>
              <w:t xml:space="preserve">Resultado</w:t>
            </w:r>
          </w:p>
        </w:tc>
      </w:tr>
      <w:tr>
        <w:trPr>
          <w:cantSplit/>
        </w:trPr>
        <w:tc>
          <w:tcPr>
            <w:tcW w:w="2100" w:type="dxa"/>
          </w:tcPr>
          <w:p>
            <w:pPr>
              <w:pStyle w:val="TE-CorpoTabela"/>
              <w:jc w:val="left"/>
              <w:rPr/>
            </w:pPr>
            <w:r>
              <w:rPr>
                <w:b/>
              </w:rPr>
              <w:t xml:space="preserve">Representação</w:t>
            </w:r>
          </w:p>
        </w:tc>
        <w:tc>
          <w:tcPr>
            <w:tcW w:w="6970" w:type="dxa"/>
          </w:tcPr>
          <w:p>
            <w:pPr>
              <w:pStyle w:val="TE-CorpoTabela"/>
              <w:jc w:val="left"/>
              <w:rPr/>
            </w:pPr>
            <w:r>
              <w:rPr/>
              <w:t xml:space="preserve">Os dois sopranos começam pela mesma sequência de intervalos diatônicos, (3, −1, −1, −1, −1, 1, 4, 1, …), com as âncoras em fá♯4 (BWV 244.15) e mi4 (BWV 244.62).</w:t>
            </w:r>
          </w:p>
        </w:tc>
      </w:tr>
      <w:tr>
        <w:trPr>
          <w:cantSplit/>
        </w:trPr>
        <w:tc>
          <w:tcPr>
            <w:tcW w:w="2100" w:type="dxa"/>
          </w:tcPr>
          <w:p>
            <w:pPr>
              <w:pStyle w:val="TE-CorpoTabela"/>
              <w:jc w:val="left"/>
              <w:rPr/>
            </w:pPr>
            <w:r>
              <w:rPr>
                <w:b/>
              </w:rPr>
              <w:t xml:space="preserve">Semente</w:t>
            </w:r>
          </w:p>
        </w:tc>
        <w:tc>
          <w:tcPr>
            <w:tcW w:w="6970" w:type="dxa"/>
          </w:tcPr>
          <w:p>
            <w:pPr>
              <w:pStyle w:val="TE-CorpoTabela"/>
              <w:jc w:val="left"/>
              <w:rPr/>
            </w:pPr>
            <w:r>
              <w:rPr/>
              <w:t xml:space="preserve">w₁ = (3, −1, −1, −1) tem valores distintos, não é mascarada e é indexada a partir de BWV 244.15.</w:t>
            </w:r>
          </w:p>
        </w:tc>
      </w:tr>
      <w:tr>
        <w:trPr>
          <w:cantSplit/>
        </w:trPr>
        <w:tc>
          <w:tcPr>
            <w:tcW w:w="2100" w:type="dxa"/>
          </w:tcPr>
          <w:p>
            <w:pPr>
              <w:pStyle w:val="TE-CorpoTabela"/>
              <w:jc w:val="left"/>
              <w:rPr/>
            </w:pPr>
            <w:r>
              <w:rPr>
                <w:b/>
              </w:rPr>
              <w:t xml:space="preserve">Hit</w:t>
            </w:r>
          </w:p>
        </w:tc>
        <w:tc>
          <w:tcPr>
            <w:tcW w:w="6970" w:type="dxa"/>
          </w:tcPr>
          <w:p>
            <w:pPr>
              <w:pStyle w:val="TE-CorpoTabela"/>
              <w:jc w:val="left"/>
              <w:rPr/>
            </w:pPr>
            <w:r>
              <w:rPr/>
              <w:t xml:space="preserve">w₁ ocorre na posição 1 de BWV 244.62, na forma original (T = Id).</w:t>
            </w:r>
          </w:p>
        </w:tc>
      </w:tr>
      <w:tr>
        <w:trPr>
          <w:cantSplit/>
        </w:trPr>
        <w:tc>
          <w:tcPr>
            <w:tcW w:w="2100" w:type="dxa"/>
          </w:tcPr>
          <w:p>
            <w:pPr>
              <w:pStyle w:val="TE-CorpoTabela"/>
              <w:jc w:val="left"/>
              <w:rPr/>
            </w:pPr>
            <w:r>
              <w:rPr>
                <w:b/>
              </w:rPr>
              <w:t xml:space="preserve">Escore da semente</w:t>
            </w:r>
          </w:p>
        </w:tc>
        <w:tc>
          <w:tcPr>
            <w:tcW w:w="6970" w:type="dxa"/>
          </w:tcPr>
          <w:p>
            <w:pPr>
              <w:pStyle w:val="TE-CorpoTabela"/>
              <w:jc w:val="left"/>
              <w:rPr/>
            </w:pPr>
            <w:r>
              <w:rPr/>
              <w:t xml:space="preserve">4 pares idênticos × (α + γ) = 12.</w:t>
            </w:r>
          </w:p>
        </w:tc>
      </w:tr>
      <w:tr>
        <w:trPr>
          <w:cantSplit/>
        </w:trPr>
        <w:tc>
          <w:tcPr>
            <w:tcW w:w="2100" w:type="dxa"/>
          </w:tcPr>
          <w:p>
            <w:pPr>
              <w:pStyle w:val="TE-CorpoTabela"/>
              <w:jc w:val="left"/>
              <w:rPr/>
            </w:pPr>
            <w:r>
              <w:rPr>
                <w:b/>
              </w:rPr>
              <w:t xml:space="preserve">Extensão</w:t>
            </w:r>
          </w:p>
        </w:tc>
        <w:tc>
          <w:tcPr>
            <w:tcW w:w="6970" w:type="dxa"/>
          </w:tcPr>
          <w:p>
            <w:pPr>
              <w:pStyle w:val="TE-CorpoTabela"/>
              <w:jc w:val="left"/>
              <w:rPr/>
            </w:pPr>
            <w:r>
              <w:rPr/>
              <w:t xml:space="preserve">Mais 4 pares idênticos levam o escore a 24. Na 9ª posição, BWV 244.15 repete a nota ré5 (δ = 0), sem correspondente em BWV 244.62; um espaço a absorve (−g). A extensão atravessa o trecho ornamentado de BWV 244.62 com substituições e um segundo espaço.</w:t>
            </w:r>
          </w:p>
        </w:tc>
      </w:tr>
      <w:tr>
        <w:trPr>
          <w:cantSplit/>
        </w:trPr>
        <w:tc>
          <w:tcPr>
            <w:tcW w:w="2100" w:type="dxa"/>
          </w:tcPr>
          <w:p>
            <w:pPr>
              <w:pStyle w:val="TE-CorpoTabela"/>
              <w:jc w:val="left"/>
              <w:rPr/>
            </w:pPr>
            <w:r>
              <w:rPr>
                <w:b/>
              </w:rPr>
              <w:t xml:space="preserve">Resultado</w:t>
            </w:r>
          </w:p>
        </w:tc>
        <w:tc>
          <w:tcPr>
            <w:tcW w:w="6970" w:type="dxa"/>
          </w:tcPr>
          <w:p>
            <w:pPr>
              <w:pStyle w:val="TE-CorpoTabela"/>
              <w:jc w:val="left"/>
              <w:rPr/>
            </w:pPr>
            <w:r>
              <w:rPr/>
              <w:t xml:space="preserve">Escore máximo 31,6, cobrindo as 17 primeiras notas de BWV 244.15 e as 15 primeiras de BWV 244.62.</w:t>
            </w:r>
          </w:p>
        </w:tc>
      </w:tr>
      <w:tr>
        <w:trPr>
          <w:cantSplit/>
        </w:trPr>
        <w:tc>
          <w:tcPr>
            <w:tcW w:w="2100" w:type="dxa"/>
          </w:tcPr>
          <w:p>
            <w:pPr>
              <w:pStyle w:val="TE-CorpoTabela"/>
              <w:jc w:val="left"/>
              <w:rPr/>
            </w:pPr>
            <w:r>
              <w:rPr>
                <w:b/>
              </w:rPr>
              <w:t xml:space="preserve">Rótulo</w:t>
            </w:r>
          </w:p>
        </w:tc>
        <w:tc>
          <w:tcPr>
            <w:tcW w:w="6970" w:type="dxa"/>
          </w:tcPr>
          <w:p>
            <w:pPr>
              <w:pStyle w:val="TE-CorpoTabela"/>
              <w:jc w:val="left"/>
              <w:rPr/>
            </w:pPr>
            <w:r>
              <w:rPr/>
              <w:t xml:space="preserve">Transposição de uma segunda maior descendente (−2 semitons, pela diferença entre as âncoras), com divergências absorvidas por espaços.</w:t>
            </w:r>
          </w:p>
        </w:tc>
      </w:tr>
    </w:tbl>
    <w:p>
      <w:pPr>
        <w:pStyle w:val="TE-FonteFiguraQuadroTabela"/>
        <w:rPr/>
      </w:pPr>
      <w:r>
        <w:rPr/>
        <w:t>Fonte: elaborado pelo autor (2026).</w:t>
      </w:r>
    </w:p>
    <w:p>
      <w:pPr>
        <w:pStyle w:val="T3-TituloTerciario"/>
        <w:numPr>
          <w:ilvl w:val="2"/>
          <w:numId w:val="6"/>
        </w:numPr>
        <w:rPr/>
      </w:pPr>
      <w:r>
        <w:rPr/>
        <w:t>Filtragem e definição operacional de motivo</w:t>
      </w:r>
    </w:p>
    <w:p>
      <w:pPr>
        <w:pStyle w:val="TE-Normal"/>
        <w:rPr/>
      </w:pPr>
      <w:r>
        <w:rPr/>
        <w:t xml:space="preserve">A quarta etapa, de filtragem e geração do relatório, decide quais correspondências são reportadas. Essa decisão não pode depender de gabarito, que só existe nos pares de teste, e por isso é distinta das métricas de avaliação propostas no Capítulo 6. No BLAST, esse papel cabe ao E-value, o número esperado de alinhamentos com escore igual ou superior ao observado que surgiriam por acaso. Seu cálculo, porém, pressupõe um modelo estatístico calibrado para sequências biológicas e para o esquema de pontuação original, que não se transfere diretamente para a representação e a pontuação adotadas aqui. O protótipo estima, por isso, a significância de forma empírica. Para cada par de vozes, a busca completa é repetida P vezes sobre permutações aleatórias π da sequência comparada, e registra-se o escore máximo M(π) obtido em cada repetição. Esses máximos formam a distribuição de referência. O valor-p empírico de uma correspondência com escore S é estimado pela Equação 8, que soma uma unidade ao numerador e ao denominador para que o valor-p nunca seja nulo (PHIPSON; SMYTH, 2010). Usar o escore máximo, e não o escore de cada alinhamento isolado, controla a ocorrência de falsos positivos quando um mesmo par de vozes produz muitas correspondências.</w:t>
      </w:r>
    </w:p>
    <w:tbl>
      <w:tblPr>
        <w:tblW w:w="9070" w:type="dxa"/>
        <w:tblBorders>
          <w:top w:val="nil"/>
          <w:left w:val="nil"/>
          <w:bottom w:val="nil"/>
          <w:right w:val="nil"/>
          <w:insideH w:val="nil"/>
          <w:insideV w:val="nil"/>
        </w:tblBorders>
        <w:tblLook w:val="0000"/>
      </w:tblPr>
      <w:tblGrid>
        <w:gridCol w:w="8219"/>
        <w:gridCol w:w="851"/>
      </w:tblGrid>
      <w:tr>
        <w:tc>
          <w:tcPr>
            <w:tcW w:w="8219" w:type="dxa"/>
            <w:vAlign w:val="center"/>
          </w:tcPr>
          <w:p>
            <w:pPr>
              <w:pStyle w:val="TE-NormalNaoIdentado"/>
              <w:spacing w:before="120" w:after="120" w:line="240" w:lineRule="auto"/>
              <w:ind w:firstLine="0"/>
              <w:jc w:val="center"/>
              <w:rPr/>
            </w:pPr>
            <w:r>
              <w:rPr>
                <w:rFonts w:ascii="Cambria Math" w:hAnsi="Cambria Math"/>
                <w:i/>
                <w:iCs/>
              </w:rPr>
              <w:t xml:space="preserve">p̂ = ( 1 + #{ π : M(π) ≥ S } ) / ( 1 + P )</w:t>
            </w:r>
          </w:p>
        </w:tc>
        <w:tc>
          <w:tcPr>
            <w:tcW w:w="851" w:type="dxa"/>
            <w:vAlign w:val="center"/>
          </w:tcPr>
          <w:p>
            <w:pPr>
              <w:pStyle w:val="TE-NormalNaoIdentado"/>
              <w:spacing w:before="120" w:after="120" w:line="240" w:lineRule="auto"/>
              <w:ind w:firstLine="0"/>
              <w:jc w:val="right"/>
              <w:rPr/>
            </w:pPr>
            <w:r>
              <w:rPr/>
              <w:t>Eq. 8</w:t>
            </w:r>
          </w:p>
        </w:tc>
      </w:tr>
    </w:tbl>
    <w:p>
      <w:pPr>
        <w:pStyle w:val="TE-Normal"/>
        <w:rPr/>
      </w:pPr>
      <w:r>
        <w:rPr/>
        <w:t xml:space="preserve">Uma correspondência só é reportada se seu valor-p não exceder um limiar de significância p</w:t>
      </w:r>
      <w:r>
        <w:rPr>
          <w:i/>
          <w:iCs/>
        </w:rPr>
        <w:t xml:space="preserve"> e se tiver um comprimento mínimo ℓmin, ambos definidos na calibração (Seção 6.4).</w:t>
      </w:r>
    </w:p>
    <w:p>
      <w:pPr>
        <w:pStyle w:val="TE-Normal"/>
        <w:rPr/>
      </w:pPr>
      <w:r>
        <w:rPr/>
        <w:t xml:space="preserve">Essas etapas permitem dar ao termo </w:t>
      </w:r>
      <w:r>
        <w:rPr>
          <w:i/>
          <w:iCs/>
        </w:rPr>
        <w:t xml:space="preserve">motivo</w:t>
      </w:r>
      <w:r>
        <w:rPr/>
        <w:t xml:space="preserve">, no contexto do protótipo, uma definição operacional. Uma correspondência motívica é um trecho alinhado entre duas versões que atinge o comprimento mínimo, supera o limiar de significância empírica e não se reduz a uma região de baixa complexidade. A definição é deliberadamente mais estreita do que o conceito musicológico discutido no Capítulo 2 (não captura, por exemplo, a função formal de um motivo na obra), mas é o que torna a identificação reprodutível e avaliável por critérios objetivos.</w:t>
      </w:r>
    </w:p>
    <w:p>
      <w:pPr>
        <w:pStyle w:val="T3-TituloTerciario"/>
        <w:numPr>
          <w:ilvl w:val="2"/>
          <w:numId w:val="6"/>
        </w:numPr>
        <w:rPr/>
      </w:pPr>
      <w:r>
        <w:rPr/>
        <w:t xml:space="preserve">Escolha da heurística </w:t>
      </w:r>
      <w:r>
        <w:rPr>
          <w:i/>
          <w:iCs/>
        </w:rPr>
        <w:t xml:space="preserve">seed-and-extend</w:t>
      </w:r>
    </w:p>
    <w:p>
      <w:pPr>
        <w:pStyle w:val="TE-Normal"/>
        <w:rPr/>
      </w:pPr>
      <w:r>
        <w:rPr/>
        <w:t xml:space="preserve">O tamanho dessas sequências levanta uma questão legítima. Se cada voz de um coral tem poucas dezenas de eventos, o alinhamento exato de Smith-Waterman (1981), de custo quadrático, seria viável, e o principal argumento a favor do BLAST, a escala, pareceria não se aplicar. A escolha pela heurística se apoia em três razões. Primeiro, o Smith-Waterman, em sua forma básica, retorna um único alinhamento ótimo por par de sequências, enquanto a comparação entre versões exige localizar várias correspondências independentes, algo que o </w:t>
      </w:r>
      <w:r>
        <w:rPr>
          <w:i/>
          <w:iCs/>
        </w:rPr>
        <w:t xml:space="preserve">seed-and-extend</w:t>
      </w:r>
      <w:r>
        <w:rPr/>
        <w:t xml:space="preserve"> produz naturalmente, uma por </w:t>
      </w:r>
      <w:r>
        <w:rPr>
          <w:i/>
          <w:iCs/>
        </w:rPr>
        <w:t xml:space="preserve">hit</w:t>
      </w:r>
      <w:r>
        <w:rPr/>
        <w:t xml:space="preserve"> estendido. Segundo, a indexação de sementes permite tratar inversão e retrogradação como variantes adicionais na tabela, sem repetir o alinhamento completo para cada transformação. Terceiro, o mesmo desenho permite, sem mudança estrutural, buscar um motivo contra o corpus inteiro, cenário em que o argumento de escala volta a valer, como mostram Bountouridis et al. (2017). Em contrapartida, a heurística pode deixar de encontrar correspondências que o alinhamento exato encontraria. Por isso, o Smith-Waterman é adotado como referência de comparação na avaliação, conforme detalhado no Capítulo 6.</w:t>
      </w:r>
    </w:p>
    <w:p>
      <w:pPr>
        <w:pStyle w:val="TE-Normal"/>
        <w:rPr/>
      </w:pPr>
      <w:r>
        <w:rPr/>
        <w:t xml:space="preserve">O Quadro 3 apresenta o pseudocódigo do método completo, reunindo as quatro etapas descritas nas subseções anteriores.</w:t>
      </w:r>
    </w:p>
    <w:p>
      <w:pPr>
        <w:pStyle w:val="TE-LegendaQuadro"/>
        <w:numPr>
          <w:ilvl w:val="0"/>
          <w:numId w:val="9"/>
        </w:numPr>
        <w:rPr/>
      </w:pPr>
      <w:r>
        <w:rPr/>
        <w:t>Pseudocódigo do método de alinhamento motívico</w:t>
      </w:r>
    </w:p>
    <w:tbl>
      <w:tblPr>
        <w:tblStyle w:val="Tabelacomgrade"/>
        <w:tblW w:w="9070" w:type="dxa"/>
        <w:tblCellMar>
          <w:top w:w="85" w:type="dxa"/>
          <w:left w:w="85" w:type="dxa"/>
          <w:bottom w:w="85" w:type="dxa"/>
          <w:right w:w="85" w:type="dxa"/>
        </w:tblCellMar>
        <w:tblLook w:val="04A0"/>
      </w:tblPr>
      <w:tblGrid>
        <w:gridCol w:w="9070"/>
      </w:tblGrid>
      <w:tr>
        <w:tc>
          <w:tcPr>
            <w:tcW w:w="9070" w:type="dxa"/>
          </w:tcPr>
          <w:p>
            <w:pPr>
              <w:pStyle w:val="TE-NormalNaoIdentado"/>
              <w:spacing w:before="0" w:after="0" w:line="240" w:lineRule="auto"/>
              <w:ind w:firstLine="0"/>
              <w:jc w:val="left"/>
              <w:rPr/>
            </w:pPr>
            <w:r>
              <w:rPr>
                <w:rFonts w:ascii="Courier New" w:hAnsi="Courier New" w:cs="Courier New"/>
                <w:sz w:val="17"/>
                <w:szCs w:val="17"/>
              </w:rPr>
              <w:t xml:space="preserve">Algoritmo CorrespondenciasMotivicas(A, B, θ)</w:t>
            </w:r>
          </w:p>
          <w:p>
            <w:pPr>
              <w:pStyle w:val="TE-NormalNaoIdentado"/>
              <w:spacing w:before="0" w:after="0" w:line="240" w:lineRule="auto"/>
              <w:ind w:firstLine="0"/>
              <w:jc w:val="left"/>
              <w:rPr/>
            </w:pPr>
            <w:r>
              <w:rPr>
                <w:rFonts w:ascii="Courier New" w:hAnsi="Courier New" w:cs="Courier New"/>
                <w:sz w:val="17"/>
                <w:szCs w:val="17"/>
              </w:rPr>
              <w:t xml:space="preserve">Entrada: versões A e B; parâmetros θ = (k, α, β, γ, ρ, g, X, P, p*, ℓmin)</w:t>
            </w:r>
          </w:p>
          <w:p>
            <w:pPr>
              <w:pStyle w:val="TE-NormalNaoIdentado"/>
              <w:spacing w:before="0" w:after="0" w:line="240" w:lineRule="auto"/>
              <w:ind w:firstLine="0"/>
              <w:jc w:val="left"/>
              <w:rPr/>
            </w:pPr>
            <w:r>
              <w:rPr>
                <w:rFonts w:ascii="Courier New" w:hAnsi="Courier New" w:cs="Courier New"/>
                <w:sz w:val="17"/>
                <w:szCs w:val="17"/>
              </w:rPr>
              <w:t xml:space="preserve">Saída:   conjunto C de correspondências</w:t>
            </w:r>
          </w:p>
          <w:p>
            <w:pPr>
              <w:pStyle w:val="TE-NormalNaoIdentado"/>
              <w:spacing w:before="0" w:after="0" w:line="240" w:lineRule="auto"/>
              <w:ind w:firstLine="0"/>
              <w:jc w:val="left"/>
              <w:rPr/>
            </w:pPr>
            <w:r>
              <w:rPr>
                <w:rFonts w:ascii="Courier New" w:hAnsi="Courier New" w:cs="Courier New"/>
                <w:sz w:val="17"/>
                <w:szCs w:val="17"/>
              </w:rPr>
              <w:t xml:space="preserve"> 1  C ← ∅</w:t>
            </w:r>
          </w:p>
          <w:p>
            <w:pPr>
              <w:pStyle w:val="TE-NormalNaoIdentado"/>
              <w:spacing w:before="0" w:after="0" w:line="240" w:lineRule="auto"/>
              <w:ind w:firstLine="0"/>
              <w:jc w:val="left"/>
              <w:rPr/>
            </w:pPr>
            <w:r>
              <w:rPr>
                <w:rFonts w:ascii="Courier New" w:hAnsi="Courier New" w:cs="Courier New"/>
                <w:sz w:val="17"/>
                <w:szCs w:val="17"/>
              </w:rPr>
              <w:t xml:space="preserve"> 2  para cada voz u de A e cada voz v de B faça      ▹ 16 pares</w:t>
            </w:r>
          </w:p>
          <w:p>
            <w:pPr>
              <w:pStyle w:val="TE-NormalNaoIdentado"/>
              <w:spacing w:before="0" w:after="0" w:line="240" w:lineRule="auto"/>
              <w:ind w:firstLine="0"/>
              <w:jc w:val="left"/>
              <w:rPr/>
            </w:pPr>
            <w:r>
              <w:rPr>
                <w:rFonts w:ascii="Courier New" w:hAnsi="Courier New" w:cs="Courier New"/>
                <w:sz w:val="17"/>
                <w:szCs w:val="17"/>
              </w:rPr>
              <w:t xml:space="preserve"> 3      S ← Representa(u);  S′ ← Representa(v)       ▹ Eq. 4</w:t>
            </w:r>
          </w:p>
          <w:p>
            <w:pPr>
              <w:pStyle w:val="TE-NormalNaoIdentado"/>
              <w:spacing w:before="0" w:after="0" w:line="240" w:lineRule="auto"/>
              <w:ind w:firstLine="0"/>
              <w:jc w:val="left"/>
              <w:rPr/>
            </w:pPr>
            <w:r>
              <w:rPr>
                <w:rFonts w:ascii="Courier New" w:hAnsi="Courier New" w:cs="Courier New"/>
                <w:sz w:val="17"/>
                <w:szCs w:val="17"/>
              </w:rPr>
              <w:t xml:space="preserve"> 4      I ← ConstroiIndice(S, k)                      ▹ Id, Inv, Ret + máscara</w:t>
            </w:r>
          </w:p>
          <w:p>
            <w:pPr>
              <w:pStyle w:val="TE-NormalNaoIdentado"/>
              <w:spacing w:before="0" w:after="0" w:line="240" w:lineRule="auto"/>
              <w:ind w:firstLine="0"/>
              <w:jc w:val="left"/>
              <w:rPr/>
            </w:pPr>
            <w:r>
              <w:rPr>
                <w:rFonts w:ascii="Courier New" w:hAnsi="Courier New" w:cs="Courier New"/>
                <w:sz w:val="17"/>
                <w:szCs w:val="17"/>
              </w:rPr>
              <w:t xml:space="preserve"> 5      R ← Busca(I, S, S′)</w:t>
            </w:r>
          </w:p>
          <w:p>
            <w:pPr>
              <w:pStyle w:val="TE-NormalNaoIdentado"/>
              <w:spacing w:before="0" w:after="0" w:line="240" w:lineRule="auto"/>
              <w:ind w:firstLine="0"/>
              <w:jc w:val="left"/>
              <w:rPr/>
            </w:pPr>
            <w:r>
              <w:rPr>
                <w:rFonts w:ascii="Courier New" w:hAnsi="Courier New" w:cs="Courier New"/>
                <w:sz w:val="17"/>
                <w:szCs w:val="17"/>
              </w:rPr>
              <w:t xml:space="preserve"> 6      N ← { máx escore de Busca(I, S, π(S′)) : P permutações π }</w:t>
            </w:r>
          </w:p>
          <w:p>
            <w:pPr>
              <w:pStyle w:val="TE-NormalNaoIdentado"/>
              <w:spacing w:before="0" w:after="0" w:line="240" w:lineRule="auto"/>
              <w:ind w:firstLine="0"/>
              <w:jc w:val="left"/>
              <w:rPr/>
            </w:pPr>
            <w:r>
              <w:rPr>
                <w:rFonts w:ascii="Courier New" w:hAnsi="Courier New" w:cs="Courier New"/>
                <w:sz w:val="17"/>
                <w:szCs w:val="17"/>
              </w:rPr>
              <w:t xml:space="preserve"> 7      para cada a ∈ R com |a| ≥ ℓmin faça</w:t>
            </w:r>
          </w:p>
          <w:p>
            <w:pPr>
              <w:pStyle w:val="TE-NormalNaoIdentado"/>
              <w:spacing w:before="0" w:after="0" w:line="240" w:lineRule="auto"/>
              <w:ind w:firstLine="0"/>
              <w:jc w:val="left"/>
              <w:rPr/>
            </w:pPr>
            <w:r>
              <w:rPr>
                <w:rFonts w:ascii="Courier New" w:hAnsi="Courier New" w:cs="Courier New"/>
                <w:sz w:val="17"/>
                <w:szCs w:val="17"/>
              </w:rPr>
              <w:t xml:space="preserve"> 8          se ValorP(escore(a), N) ≤ p* então       ▹ Eq. 8</w:t>
            </w:r>
          </w:p>
          <w:p>
            <w:pPr>
              <w:pStyle w:val="TE-NormalNaoIdentado"/>
              <w:spacing w:before="0" w:after="0" w:line="240" w:lineRule="auto"/>
              <w:ind w:firstLine="0"/>
              <w:jc w:val="left"/>
              <w:rPr/>
            </w:pPr>
            <w:r>
              <w:rPr>
                <w:rFonts w:ascii="Courier New" w:hAnsi="Courier New" w:cs="Courier New"/>
                <w:sz w:val="17"/>
                <w:szCs w:val="17"/>
              </w:rPr>
              <w:t xml:space="preserve"> 9              C ← C ∪ { Rotula(a, u, v) }</w:t>
            </w:r>
          </w:p>
          <w:p>
            <w:pPr>
              <w:pStyle w:val="TE-NormalNaoIdentado"/>
              <w:spacing w:before="0" w:after="0" w:line="240" w:lineRule="auto"/>
              <w:ind w:firstLine="0"/>
              <w:jc w:val="left"/>
              <w:rPr/>
            </w:pPr>
            <w:r>
              <w:rPr>
                <w:rFonts w:ascii="Courier New" w:hAnsi="Courier New" w:cs="Courier New"/>
                <w:sz w:val="17"/>
                <w:szCs w:val="17"/>
              </w:rPr>
              <w:t xml:space="preserve">10  retorne C</w:t>
            </w:r>
          </w:p>
          <w:p>
            <w:pPr>
              <w:pStyle w:val="TE-NormalNaoIdentado"/>
              <w:spacing w:before="0" w:after="0" w:line="240" w:lineRule="auto"/>
              <w:ind w:firstLine="0"/>
              <w:jc w:val="left"/>
              <w:rPr/>
            </w:pPr>
            <w:r>
              <w:rPr>
                <w:rFonts w:ascii="Courier New" w:hAnsi="Courier New" w:cs="Courier New"/>
                <w:sz w:val="17"/>
                <w:szCs w:val="17"/>
              </w:rPr>
              <w:t xml:space="preserve"> </w:t>
            </w:r>
          </w:p>
          <w:p>
            <w:pPr>
              <w:pStyle w:val="TE-NormalNaoIdentado"/>
              <w:spacing w:before="0" w:after="0" w:line="240" w:lineRule="auto"/>
              <w:ind w:firstLine="0"/>
              <w:jc w:val="left"/>
              <w:rPr/>
            </w:pPr>
            <w:r>
              <w:rPr>
                <w:rFonts w:ascii="Courier New" w:hAnsi="Courier New" w:cs="Courier New"/>
                <w:sz w:val="17"/>
                <w:szCs w:val="17"/>
              </w:rPr>
              <w:t xml:space="preserve">Busca(I, S, S′)</w:t>
            </w:r>
          </w:p>
          <w:p>
            <w:pPr>
              <w:pStyle w:val="TE-NormalNaoIdentado"/>
              <w:spacing w:before="0" w:after="0" w:line="240" w:lineRule="auto"/>
              <w:ind w:firstLine="0"/>
              <w:jc w:val="left"/>
              <w:rPr/>
            </w:pPr>
            <w:r>
              <w:rPr>
                <w:rFonts w:ascii="Courier New" w:hAnsi="Courier New" w:cs="Courier New"/>
                <w:sz w:val="17"/>
                <w:szCs w:val="17"/>
              </w:rPr>
              <w:t xml:space="preserve"> 1  R ← ∅</w:t>
            </w:r>
          </w:p>
          <w:p>
            <w:pPr>
              <w:pStyle w:val="TE-NormalNaoIdentado"/>
              <w:spacing w:before="0" w:after="0" w:line="240" w:lineRule="auto"/>
              <w:ind w:firstLine="0"/>
              <w:jc w:val="left"/>
              <w:rPr/>
            </w:pPr>
            <w:r>
              <w:rPr>
                <w:rFonts w:ascii="Courier New" w:hAnsi="Courier New" w:cs="Courier New"/>
                <w:sz w:val="17"/>
                <w:szCs w:val="17"/>
              </w:rPr>
              <w:t xml:space="preserve"> 2  para j ← 1 até |S′| − k + 1 faça</w:t>
            </w:r>
          </w:p>
          <w:p>
            <w:pPr>
              <w:pStyle w:val="TE-NormalNaoIdentado"/>
              <w:spacing w:before="0" w:after="0" w:line="240" w:lineRule="auto"/>
              <w:ind w:firstLine="0"/>
              <w:jc w:val="left"/>
              <w:rPr/>
            </w:pPr>
            <w:r>
              <w:rPr>
                <w:rFonts w:ascii="Courier New" w:hAnsi="Courier New" w:cs="Courier New"/>
                <w:sz w:val="17"/>
                <w:szCs w:val="17"/>
              </w:rPr>
              <w:t xml:space="preserve"> 3      para cada (i, T) ∈ I[wⱼ(S′)] faça             ▹ hit</w:t>
            </w:r>
          </w:p>
          <w:p>
            <w:pPr>
              <w:pStyle w:val="TE-NormalNaoIdentado"/>
              <w:spacing w:before="0" w:after="0" w:line="240" w:lineRule="auto"/>
              <w:ind w:firstLine="0"/>
              <w:jc w:val="left"/>
              <w:rPr/>
            </w:pPr>
            <w:r>
              <w:rPr>
                <w:rFonts w:ascii="Courier New" w:hAnsi="Courier New" w:cs="Courier New"/>
                <w:sz w:val="17"/>
                <w:szCs w:val="17"/>
              </w:rPr>
              <w:t xml:space="preserve"> 4          se (i, j) não está coberto por algum a ∈ R então</w:t>
            </w:r>
          </w:p>
          <w:p>
            <w:pPr>
              <w:pStyle w:val="TE-NormalNaoIdentado"/>
              <w:spacing w:before="0" w:after="0" w:line="240" w:lineRule="auto"/>
              <w:ind w:firstLine="0"/>
              <w:jc w:val="left"/>
              <w:rPr/>
            </w:pPr>
            <w:r>
              <w:rPr>
                <w:rFonts w:ascii="Courier New" w:hAnsi="Courier New" w:cs="Courier New"/>
                <w:sz w:val="17"/>
                <w:szCs w:val="17"/>
              </w:rPr>
              <w:t xml:space="preserve"> 5              R ← R ∪ { Estende(T(S), S′, i, j) }   ▹ Eq. 2, 3 e 7</w:t>
            </w:r>
          </w:p>
          <w:p>
            <w:pPr>
              <w:pStyle w:val="TE-NormalNaoIdentado"/>
              <w:spacing w:before="0" w:after="0" w:line="240" w:lineRule="auto"/>
              <w:ind w:firstLine="0"/>
              <w:jc w:val="left"/>
              <w:rPr/>
            </w:pPr>
            <w:r>
              <w:rPr>
                <w:rFonts w:ascii="Courier New" w:hAnsi="Courier New" w:cs="Courier New"/>
                <w:sz w:val="17"/>
                <w:szCs w:val="17"/>
              </w:rPr>
              <w:t xml:space="preserve"> 6  retorne R</w:t>
            </w:r>
          </w:p>
        </w:tc>
      </w:tr>
    </w:tbl>
    <w:p>
      <w:pPr>
        <w:pStyle w:val="TE-FonteFiguraQuadroTabela"/>
        <w:rPr/>
      </w:pPr>
      <w:r>
        <w:rPr/>
        <w:t>Fonte: elaborado pelo autor (2026).</w:t>
      </w:r>
    </w:p>
    <w:p>
      <w:pPr>
        <w:pStyle w:val="TE-Normal"/>
        <w:rPr/>
      </w:pPr>
      <w:r>
        <w:rPr/>
        <w:t xml:space="preserve">Sejam n e m os tamanhos das duas vozes, k o tamanho da semente, h o número de </w:t>
      </w:r>
      <w:r>
        <w:rPr>
          <w:i/>
          <w:iCs/>
        </w:rPr>
        <w:t xml:space="preserve">hits</w:t>
      </w:r>
      <w:r>
        <w:rPr/>
        <w:t xml:space="preserve"> e L·w a área da matriz efetivamente explorada em cada extensão, limitada pelo X-drop. A construção do índice custa O(nk), com três formas por semente. A busca custa O(mk) em consultas ao índice, mais O(h·L·w) em extensões; a condição da linha 4 da função Busca evita estender repetidamente </w:t>
      </w:r>
      <w:r>
        <w:rPr>
          <w:i/>
          <w:iCs/>
        </w:rPr>
        <w:t xml:space="preserve">hits</w:t>
      </w:r>
      <w:r>
        <w:rPr/>
        <w:t xml:space="preserve"> que já pertencem a um alinhamento encontrado. O teste de permutação repete a busca P vezes. O custo por par de vozes é, portanto, O(nk + (P + 1)(mk + h·L·w)), multiplicado pelos 16 pares. Para comparação, o Smith-Waterman aplicado iterativamente, com R rodadas de mascaramento, custa O((P + 1)·R·nm) por par. Com vozes de poucas dezenas de eventos, as duas abordagens são rápidas, e a diferença assintótica não é, por si, o que justifica a heurística, pelas razões já apresentadas. Ela passa a pesar na busca de um motivo contra o corpus inteiro, de tamanho total N: o custo do alinhamento exato cresce com O(n·N), enquanto o da heurística depende de N apenas pela varredura de sementes, O(Nk), mais as extensões em torno dos </w:t>
      </w:r>
      <w:r>
        <w:rPr>
          <w:i/>
          <w:iCs/>
        </w:rPr>
        <w:t xml:space="preserve">hits</w:t>
      </w:r>
      <w:r>
        <w:rPr/>
        <w:t xml:space="preserve">.</w:t>
      </w:r>
    </w:p>
    <w:p>
      <w:pPr>
        <w:pStyle w:val="T2-TituloSecundario"/>
        <w:numPr>
          <w:ilvl w:val="1"/>
          <w:numId w:val="6"/>
        </w:numPr>
        <w:rPr/>
      </w:pPr>
      <w:bookmarkStart w:id="202" w:name="__RefHeading___Toc9003_1503872338"/>
      <w:bookmarkEnd w:id="202"/>
      <w:r>
        <w:rPr/>
        <w:t>Elicitação de Requisitos</w:t>
      </w:r>
    </w:p>
    <w:p>
      <w:pPr>
        <w:pStyle w:val="TE-Normal"/>
        <w:rPr/>
      </w:pPr>
      <w:r>
        <w:rPr/>
        <w:t>Por se tratar de uma ferramenta de análise sem interface de usuário final, os requisitos abaixo descrevem o comportamento esperado do protótipo como um todo — não telas ou fluxos de interação gráfica.</w:t>
      </w:r>
    </w:p>
    <w:p>
      <w:pPr>
        <w:pStyle w:val="T3-TituloTerciario"/>
        <w:numPr>
          <w:ilvl w:val="2"/>
          <w:numId w:val="6"/>
        </w:numPr>
        <w:rPr/>
      </w:pPr>
      <w:bookmarkStart w:id="203" w:name="__RefHeading___Toc9004_1503872338"/>
      <w:bookmarkEnd w:id="203"/>
      <w:r>
        <w:rPr/>
        <w:t>Requisitos Funcionais</w:t>
      </w:r>
    </w:p>
    <w:p>
      <w:pPr>
        <w:pStyle w:val="TE-Normal"/>
        <w:rPr/>
      </w:pPr>
      <w:r>
        <w:rPr>
          <w:b/>
        </w:rPr>
        <w:t xml:space="preserve">RF01. </w:t>
      </w:r>
      <w:r>
        <w:rPr/>
        <w:t>O sistema deve receber como entrada duas versões simbólicas, em formato MusicXML, de uma mesma composição musical.</w:t>
      </w:r>
    </w:p>
    <w:p>
      <w:pPr>
        <w:pStyle w:val="TE-Normal"/>
        <w:rPr/>
      </w:pPr>
      <w:r>
        <w:rPr>
          <w:b/>
        </w:rPr>
        <w:t xml:space="preserve">RF02. </w:t>
      </w:r>
      <w:r>
        <w:rPr/>
        <w:t xml:space="preserve">O sistema deve extrair, de cada voz das duas versões, uma sequência de eventos musicais representada por intervalos melódicos diatônicos e proporções rítmicas, preservando o intervalo cromático correspondente a cada intervalo e a altura absoluta de referência de cada trecho.</w:t>
      </w:r>
    </w:p>
    <w:p>
      <w:pPr>
        <w:pStyle w:val="TE-Normal"/>
        <w:rPr/>
      </w:pPr>
      <w:r>
        <w:rPr>
          <w:b/>
        </w:rPr>
        <w:t xml:space="preserve">RF03. </w:t>
      </w:r>
      <w:r>
        <w:rPr/>
        <w:t xml:space="preserve">O sistema deve gerar sementes de tamanho fixo a partir da componente de intervalos diatônicos da sequência de uma das versões, descartar ou reduzir o peso das sementes de baixa complexidade e indexar as demais, incluindo suas variantes sob inversão e retrogradação.</w:t>
      </w:r>
    </w:p>
    <w:p>
      <w:pPr>
        <w:pStyle w:val="TE-Normal"/>
        <w:rPr/>
      </w:pPr>
      <w:r>
        <w:rPr>
          <w:b/>
        </w:rPr>
        <w:t xml:space="preserve">RF04. </w:t>
      </w:r>
      <w:r>
        <w:rPr/>
        <w:t xml:space="preserve">O sistema deve localizar, na sequência da outra versão, ocorrências (</w:t>
      </w:r>
      <w:r>
        <w:rPr>
          <w:i/>
          <w:iCs/>
        </w:rPr>
        <w:t xml:space="preserve">hits</w:t>
      </w:r>
      <w:r>
        <w:rPr/>
        <w:t xml:space="preserve">) das sementes indexadas.</w:t>
      </w:r>
    </w:p>
    <w:p>
      <w:pPr>
        <w:pStyle w:val="TE-Normal"/>
        <w:rPr/>
      </w:pPr>
      <w:r>
        <w:rPr>
          <w:b/>
        </w:rPr>
        <w:t xml:space="preserve">RF05. </w:t>
      </w:r>
      <w:r>
        <w:rPr/>
        <w:t xml:space="preserve">O sistema deve estender cada </w:t>
      </w:r>
      <w:r>
        <w:rPr>
          <w:i/>
          <w:iCs/>
        </w:rPr>
        <w:t xml:space="preserve">hit</w:t>
      </w:r>
      <w:r>
        <w:rPr/>
        <w:t xml:space="preserve"> em ambas as direções por alinhamento com </w:t>
      </w:r>
      <w:r>
        <w:rPr>
          <w:i/>
          <w:iCs/>
        </w:rPr>
        <w:t xml:space="preserve">gaps</w:t>
      </w:r>
      <w:r>
        <w:rPr/>
        <w:t xml:space="preserve">, acumulando pontuação e interrompendo a extensão segundo o critério de </w:t>
      </w:r>
      <w:r>
        <w:rPr>
          <w:i/>
          <w:iCs/>
        </w:rPr>
        <w:t xml:space="preserve">X-drop</w:t>
      </w:r>
      <w:r>
        <w:rPr/>
        <w:t xml:space="preserve">.</w:t>
      </w:r>
    </w:p>
    <w:p>
      <w:pPr>
        <w:pStyle w:val="TE-Normal"/>
        <w:rPr/>
      </w:pPr>
      <w:r>
        <w:rPr>
          <w:b/>
        </w:rPr>
        <w:t xml:space="preserve">RF06. </w:t>
      </w:r>
      <w:r>
        <w:rPr/>
        <w:t xml:space="preserve">O sistema deve reportar apenas as correspondências que atinjam um comprimento mínimo e cujo escore supere um limiar de significância estimado empiricamente, por alinhamento contra permutações aleatórias da sequência comparada.</w:t>
      </w:r>
    </w:p>
    <w:p>
      <w:pPr>
        <w:pStyle w:val="TE-Normal"/>
        <w:rPr/>
      </w:pPr>
      <w:r>
        <w:rPr>
          <w:b/>
        </w:rPr>
        <w:t xml:space="preserve">RF07. </w:t>
      </w:r>
      <w:r>
        <w:rPr/>
        <w:t xml:space="preserve">O sistema deve produzir um relatório estruturado das correspondências identificadas, contendo localização em cada versão, tipo de transformação (transposição, inversão, retrogradação, variação rítmica ou combinação) e pontuação, incluindo o intervalo de transposição, quando houver.</w:t>
      </w:r>
    </w:p>
    <w:p>
      <w:pPr>
        <w:pStyle w:val="TE-Normal"/>
        <w:rPr/>
      </w:pPr>
      <w:r>
        <w:rPr>
          <w:b/>
        </w:rPr>
        <w:t xml:space="preserve">RF08. </w:t>
      </w:r>
      <w:r>
        <w:rPr/>
        <w:t xml:space="preserve">O sistema deve aplicar o alinhamento a todas as combinações entre as vozes das duas versões, e não apenas às vozes de mesmo nome.</w:t>
      </w:r>
    </w:p>
    <w:p>
      <w:pPr>
        <w:pStyle w:val="T3-TituloTerciario"/>
        <w:numPr>
          <w:ilvl w:val="2"/>
          <w:numId w:val="6"/>
        </w:numPr>
        <w:rPr/>
      </w:pPr>
      <w:bookmarkStart w:id="204" w:name="__RefHeading___Toc9005_1503872338"/>
      <w:bookmarkEnd w:id="204"/>
      <w:r>
        <w:rPr/>
        <w:t>Requisitos Não Funcionais</w:t>
      </w:r>
    </w:p>
    <w:p>
      <w:pPr>
        <w:pStyle w:val="TE-Normal"/>
        <w:rPr/>
      </w:pPr>
      <w:r>
        <w:rPr>
          <w:b/>
        </w:rPr>
        <w:t xml:space="preserve">RNF01. </w:t>
      </w:r>
      <w:r>
        <w:rPr/>
        <w:t>O sistema deve ser operável via linha de comando ou como biblioteca importável, dispensando interface gráfica.</w:t>
      </w:r>
    </w:p>
    <w:p>
      <w:pPr>
        <w:pStyle w:val="TE-Normal"/>
        <w:rPr/>
      </w:pPr>
      <w:r>
        <w:rPr>
          <w:b/>
        </w:rPr>
        <w:t xml:space="preserve">RNF02. </w:t>
      </w:r>
      <w:r>
        <w:rPr/>
        <w:t>O sistema deve ser determinístico: a mesma entrada e os mesmos parâmetros devem produzir sempre o mesmo relatório de saída.</w:t>
      </w:r>
    </w:p>
    <w:p>
      <w:pPr>
        <w:pStyle w:val="TE-Normal"/>
        <w:rPr/>
      </w:pPr>
      <w:r>
        <w:rPr>
          <w:b/>
        </w:rPr>
        <w:t xml:space="preserve">RNF03. </w:t>
      </w:r>
      <w:r>
        <w:rPr/>
        <w:t>O sistema deve processar um par de corais de Bach em tempo hábil para uso interativo em uma sessão de análise.</w:t>
      </w:r>
    </w:p>
    <w:p>
      <w:pPr>
        <w:pStyle w:val="TE-Normal"/>
        <w:rPr/>
      </w:pPr>
      <w:r>
        <w:rPr>
          <w:b/>
        </w:rPr>
        <w:t xml:space="preserve">RNF04. </w:t>
      </w:r>
      <w:r>
        <w:rPr/>
        <w:t>O sistema deve depender exclusivamente de bibliotecas Python de código aberto, com o music21 (CUTHBERT; ARIZA, 2010) como dependência central para leitura e manipulação simbólica.</w:t>
      </w:r>
    </w:p>
    <w:p>
      <w:pPr>
        <w:pStyle w:val="TE-Normal"/>
        <w:rPr/>
      </w:pPr>
      <w:r>
        <w:rPr>
          <w:b/>
        </w:rPr>
        <w:t xml:space="preserve">RNF05. </w:t>
      </w:r>
      <w:r>
        <w:rPr/>
        <w:t>O sistema deve ser estruturado de modo a permitir, no futuro, a adição de outros formatos de entrada (**kern, MEI) sem alteração do núcleo do algoritmo de alinhamento.</w:t>
      </w:r>
    </w:p>
    <w:p>
      <w:pPr>
        <w:pStyle w:val="TE-Normal"/>
        <w:rPr/>
      </w:pPr>
      <w:r>
        <w:rPr>
          <w:highlight w:val="yellow"/>
        </w:rPr>
        <w:t xml:space="preserve">NOTA: RNF03 depende de parâmetros (tamanho da semente, limiar de </w:t>
      </w:r>
      <w:r>
        <w:rPr>
          <w:i/>
          <w:iCs/>
          <w:highlight w:val="yellow"/>
        </w:rPr>
        <w:t xml:space="preserve">X-drop</w:t>
      </w:r>
      <w:r>
        <w:rPr>
          <w:highlight w:val="yellow"/>
        </w:rPr>
        <w:t xml:space="preserve">, custo de </w:t>
      </w:r>
      <w:r>
        <w:rPr>
          <w:i/>
          <w:iCs/>
          <w:highlight w:val="yellow"/>
        </w:rPr>
        <w:t xml:space="preserve">gap</w:t>
      </w:r>
      <w:r>
        <w:rPr>
          <w:highlight w:val="yellow"/>
        </w:rPr>
        <w:t xml:space="preserve">, critério de baixa complexidade, limiar de significância e comprimento mínimo) ainda não fixados — decisão adiada para o capítulo de Procedimentos Metodológicos, consistente com a definição de "versões diferentes" já tratada lá</w:t>
      </w:r>
    </w:p>
    <w:p>
      <w:pPr>
        <w:pStyle w:val="T2-TituloSecundario"/>
        <w:numPr>
          <w:ilvl w:val="1"/>
          <w:numId w:val="6"/>
        </w:numPr>
        <w:rPr/>
      </w:pPr>
      <w:bookmarkStart w:id="205" w:name="__RefHeading___Toc9006_1503872338"/>
      <w:bookmarkEnd w:id="205"/>
      <w:r>
        <w:rPr/>
        <w:t>Diagrama de Caso de Uso</w:t>
      </w:r>
    </w:p>
    <w:p>
      <w:pPr>
        <w:pStyle w:val="TE-Normal"/>
        <w:rPr/>
      </w:pPr>
      <w:r>
        <w:rPr>
          <w:highlight w:val="yellow"/>
        </w:rPr>
        <w:t>ADAPTAÇÃO: como o protótipo não possui interface gráfica voltada a um usuário final, o diagrama de caso de uso abaixo é reduzido a um único ator interagindo com o sistema por linha de comando, e não a um conjunto de telas</w:t>
      </w:r>
    </w:p>
    <w:p>
      <w:pPr>
        <w:pStyle w:val="TE-Normal"/>
        <w:rPr/>
      </w:pPr>
      <w:r>
        <w:rPr/>
        <w:t xml:space="preserve">O protótipo possui um único ator, o </w:t>
      </w:r>
      <w:r>
        <w:rPr>
          <w:b/>
        </w:rPr>
        <w:t>Pesquisador/Editor</w:t>
      </w:r>
      <w:r>
        <w:rPr/>
        <w:t xml:space="preserve">, que interage com o sistema por meio de três casos de uso: </w:t>
      </w:r>
      <w:r>
        <w:rPr>
          <w:i/>
          <w:iCs/>
        </w:rPr>
        <w:t>Submeter par de versões</w:t>
      </w:r>
      <w:r>
        <w:rPr/>
        <w:t xml:space="preserve"> (fornecer os dois arquivos MusicXML a serem comparados), </w:t>
      </w:r>
      <w:r>
        <w:rPr>
          <w:i/>
          <w:iCs/>
        </w:rPr>
        <w:t>Configurar parâmetros de alinhamento</w:t>
      </w:r>
      <w:r>
        <w:rPr/>
        <w:t xml:space="preserve"> (definir tamanho da semente, limiar de </w:t>
      </w:r>
      <w:r>
        <w:rPr>
          <w:i/>
          <w:iCs/>
        </w:rPr>
        <w:t xml:space="preserve">X-drop</w:t>
      </w:r>
      <w:r>
        <w:rPr/>
        <w:t xml:space="preserve"> e pesos de pontuação) e </w:t>
      </w:r>
      <w:r>
        <w:rPr>
          <w:i/>
          <w:iCs/>
        </w:rPr>
        <w:t>Consultar relatório de correspondências</w:t>
      </w:r>
      <w:r>
        <w:rPr/>
        <w:t xml:space="preserve"> (obter e interpretar a saída estruturada do sistema).</w:t>
      </w:r>
      <w:r>
        <w:rPr/>
        <w:t xml:space="preserve"> A Figura 3 apresenta o diagrama correspondente.</w:t>
      </w:r>
    </w:p>
    <w:p>
      <w:pPr>
        <w:pStyle w:val="TE-Figura"/>
        <w:rPr/>
      </w:pPr>
      <w:r>
        <w:rPr/>
        <w:drawing>
          <wp:inline distT="0" distB="0" distL="0" distR="0">
            <wp:extent cx="4248000" cy="2712995"/>
            <wp:effectExtent l="0" t="0" r="0" b="0"/>
            <wp:docPr id="104" name="Diagrama de caso de uso" descr="Diagrama de caso de uso do protó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Diagrama de caso de uso" descr="Diagrama de caso de uso do protótipo"/>
                    <pic:cNvPicPr>
                      <a:picLocks noChangeAspect="1" noChangeArrowheads="1"/>
                    </pic:cNvPicPr>
                  </pic:nvPicPr>
                  <pic:blipFill>
                    <a:blip r:embed="rId59"/>
                    <a:stretch>
                      <a:fillRect/>
                    </a:stretch>
                  </pic:blipFill>
                  <pic:spPr bwMode="auto">
                    <a:xfrm>
                      <a:off x="0" y="0"/>
                      <a:ext cx="4248000" cy="2712995"/>
                    </a:xfrm>
                    <a:prstGeom prst="rect">
                      <a:avLst/>
                    </a:prstGeom>
                  </pic:spPr>
                </pic:pic>
              </a:graphicData>
            </a:graphic>
          </wp:inline>
        </w:drawing>
      </w:r>
    </w:p>
    <w:p>
      <w:pPr>
        <w:pStyle w:val="TE-LegendaFigura"/>
        <w:numPr>
          <w:ilvl w:val="0"/>
          <w:numId w:val="7"/>
        </w:numPr>
        <w:rPr/>
      </w:pPr>
      <w:r>
        <w:rPr/>
        <w:t>Diagrama de caso de uso do protótipo de alinhamento motívico</w:t>
      </w:r>
    </w:p>
    <w:p>
      <w:pPr>
        <w:pStyle w:val="TE-FonteFiguraQuadroTabela"/>
        <w:rPr/>
      </w:pPr>
      <w:r>
        <w:rPr/>
        <w:t>Fonte: elaborado pelo autor (2026).</w:t>
      </w:r>
    </w:p>
    <w:p>
      <w:pPr>
        <w:pStyle w:val="T2-TituloSecundario"/>
        <w:numPr>
          <w:ilvl w:val="1"/>
          <w:numId w:val="6"/>
        </w:numPr>
        <w:rPr/>
      </w:pPr>
      <w:bookmarkStart w:id="206" w:name="__RefHeading___Toc9007_1503872338"/>
      <w:bookmarkEnd w:id="206"/>
      <w:r>
        <w:rPr/>
        <w:t>Projeto do Protótipo</w:t>
      </w:r>
    </w:p>
    <w:p>
      <w:pPr>
        <w:pStyle w:val="TE-Normal"/>
        <w:rPr/>
      </w:pPr>
      <w:r>
        <w:rPr/>
        <w:t>O protótipo é organizado em cinco componentes que correspondem diretamente às quatro etapas descritas na Seção 5.1, com a leitura e a extração de representação tratadas como componentes distintos:</w:t>
      </w:r>
    </w:p>
    <w:p>
      <w:pPr>
        <w:pStyle w:val="TE-Normal"/>
        <w:rPr/>
      </w:pPr>
      <w:r>
        <w:rPr/>
        <w:t xml:space="preserve">– </w:t>
      </w:r>
      <w:r>
        <w:rPr>
          <w:b/>
        </w:rPr>
        <w:t>Leitor MusicXML</w:t>
      </w:r>
      <w:r>
        <w:rPr/>
        <w:t>: interface com o music21 para carregar os arquivos de entrada e extrair as vozes de cada versão.</w:t>
      </w:r>
    </w:p>
    <w:p>
      <w:pPr>
        <w:pStyle w:val="TE-Normal"/>
        <w:rPr/>
      </w:pPr>
      <w:r>
        <w:rPr/>
        <w:t xml:space="preserve">– </w:t>
      </w:r>
      <w:r>
        <w:rPr>
          <w:b/>
        </w:rPr>
        <w:t>Extrator de Representação</w:t>
      </w:r>
      <w:r>
        <w:rPr/>
        <w:t>: converte cada voz em uma sequência de intervalos diatônicos e proporções rítmicas, preservando os intervalos cromáticos e as alturas de referência, e deriva as variantes sob inversão e retrogradação.</w:t>
      </w:r>
    </w:p>
    <w:p>
      <w:pPr>
        <w:pStyle w:val="TE-Normal"/>
        <w:rPr/>
      </w:pPr>
      <w:r>
        <w:rPr/>
        <w:t xml:space="preserve">– </w:t>
      </w:r>
      <w:r>
        <w:rPr>
          <w:b/>
        </w:rPr>
        <w:t>Indexador de Sementes</w:t>
      </w:r>
      <w:r>
        <w:rPr/>
        <w:t>: aplica o filtro de baixa complexidade e constrói a tabela de posições das sementes extraídas da versão de consulta.</w:t>
      </w:r>
    </w:p>
    <w:p>
      <w:pPr>
        <w:pStyle w:val="TE-Normal"/>
        <w:rPr/>
      </w:pPr>
      <w:r>
        <w:rPr/>
        <w:t xml:space="preserve">– </w:t>
      </w:r>
      <w:r>
        <w:rPr>
          <w:b/>
        </w:rPr>
        <w:t>Motor de Busca e Extensão</w:t>
      </w:r>
      <w:r>
        <w:rPr/>
        <w:t xml:space="preserve">: localiza </w:t>
      </w:r>
      <w:r>
        <w:rPr>
          <w:i/>
          <w:iCs/>
        </w:rPr>
        <w:t xml:space="preserve">hits</w:t>
      </w:r>
      <w:r>
        <w:rPr/>
        <w:t xml:space="preserve"> e executa a extensão com </w:t>
      </w:r>
      <w:r>
        <w:rPr>
          <w:i/>
          <w:iCs/>
        </w:rPr>
        <w:t xml:space="preserve">gaps</w:t>
      </w:r>
      <w:r>
        <w:rPr/>
        <w:t xml:space="preserve"> e </w:t>
      </w:r>
      <w:r>
        <w:rPr>
          <w:i/>
          <w:iCs/>
        </w:rPr>
        <w:t xml:space="preserve">X-drop</w:t>
      </w:r>
      <w:r>
        <w:rPr/>
        <w:t xml:space="preserve"> para cada combinação de vozes.</w:t>
      </w:r>
    </w:p>
    <w:p>
      <w:pPr>
        <w:pStyle w:val="TE-Normal"/>
        <w:rPr/>
      </w:pPr>
      <w:r>
        <w:rPr/>
        <w:t xml:space="preserve">– </w:t>
      </w:r>
      <w:r>
        <w:rPr>
          <w:b/>
        </w:rPr>
        <w:t>Pontuador e Gerador de Relatório</w:t>
      </w:r>
      <w:r>
        <w:rPr/>
        <w:t>: estima a significância empírica por permutação, aplica o comprimento mínimo e produz a saída estruturada.</w:t>
      </w:r>
    </w:p>
    <w:p>
      <w:pPr>
        <w:pStyle w:val="TE-Normal"/>
        <w:rPr/>
      </w:pPr>
      <w:r>
        <w:rPr/>
        <w:t>Essa divisão em componentes independentes tem uma motivação adicional além da clareza arquitetural: isola a lógica de alinhamento (Motor de Busca e Extensão) da representação simbólica de entrada (Leitor MusicXML, Extrator de Representação), o que sustenta a extensibilidade a outros formatos prevista em RNF05.</w:t>
      </w:r>
      <w:r>
        <w:rPr/>
        <w:t xml:space="preserve"> A Figura 4 apresenta esses componentes e suas dependências.</w:t>
      </w:r>
    </w:p>
    <w:p>
      <w:pPr>
        <w:pStyle w:val="TE-Figura"/>
        <w:rPr/>
      </w:pPr>
      <w:r>
        <w:rPr/>
        <w:drawing>
          <wp:inline distT="0" distB="0" distL="0" distR="0">
            <wp:extent cx="5580000" cy="2397521"/>
            <wp:effectExtent l="0" t="0" r="0" b="0"/>
            <wp:docPr id="105" name="Diagrama de componentes" descr="Diagrama de componentes do protó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Diagrama de componentes" descr="Diagrama de componentes do protótipo"/>
                    <pic:cNvPicPr>
                      <a:picLocks noChangeAspect="1" noChangeArrowheads="1"/>
                    </pic:cNvPicPr>
                  </pic:nvPicPr>
                  <pic:blipFill>
                    <a:blip r:embed="rId60"/>
                    <a:stretch>
                      <a:fillRect/>
                    </a:stretch>
                  </pic:blipFill>
                  <pic:spPr bwMode="auto">
                    <a:xfrm>
                      <a:off x="0" y="0"/>
                      <a:ext cx="5580000" cy="2397521"/>
                    </a:xfrm>
                    <a:prstGeom prst="rect">
                      <a:avLst/>
                    </a:prstGeom>
                  </pic:spPr>
                </pic:pic>
              </a:graphicData>
            </a:graphic>
          </wp:inline>
        </w:drawing>
      </w:r>
    </w:p>
    <w:p>
      <w:pPr>
        <w:pStyle w:val="TE-LegendaFigura"/>
        <w:numPr>
          <w:ilvl w:val="0"/>
          <w:numId w:val="7"/>
        </w:numPr>
        <w:rPr/>
      </w:pPr>
      <w:r>
        <w:rPr/>
        <w:t>Diagrama de componentes do protótipo de alinhamento motívico</w:t>
      </w:r>
    </w:p>
    <w:p>
      <w:pPr>
        <w:pStyle w:val="TE-FonteFiguraQuadroTabela"/>
        <w:rPr/>
      </w:pPr>
      <w:r>
        <w:rPr/>
        <w:t>Fonte: elaborado pelo autor (2026).</w:t>
      </w:r>
    </w:p>
    <w:p>
      <w:pPr>
        <w:pStyle w:val="TE-Normal"/>
        <w:rPr/>
      </w:pPr>
      <w:r>
        <w:rPr/>
        <w:t xml:space="preserve">O diagrama de classes da Figura 5 detalha as estruturas de dados que implementam esses componentes: a representação de cada voz (SequenciaVoz, composta de objetos Evento), o índice de sementes, os hits e alinhamentos produzidos pela classe Alinhador e as correspondências que compõem o relatório final.</w:t>
      </w:r>
    </w:p>
    <w:p>
      <w:pPr>
        <w:pStyle w:val="TE-Figura"/>
        <w:rPr/>
      </w:pPr>
      <w:r>
        <w:rPr/>
        <w:drawing>
          <wp:inline distT="0" distB="0" distL="0" distR="0">
            <wp:extent cx="4900000" cy="4866876"/>
            <wp:effectExtent l="0" t="0" r="0" b="0"/>
            <wp:docPr id="106" name="Diagrama de classes" descr="Diagrama de classes do protó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Diagrama de classes" descr="Diagrama de classes do protótipo"/>
                    <pic:cNvPicPr>
                      <a:picLocks noChangeAspect="1" noChangeArrowheads="1"/>
                    </pic:cNvPicPr>
                  </pic:nvPicPr>
                  <pic:blipFill>
                    <a:blip r:embed="rId900"/>
                    <a:stretch>
                      <a:fillRect/>
                    </a:stretch>
                  </pic:blipFill>
                  <pic:spPr bwMode="auto">
                    <a:xfrm>
                      <a:off x="0" y="0"/>
                      <a:ext cx="4900000" cy="4866876"/>
                    </a:xfrm>
                    <a:prstGeom prst="rect">
                      <a:avLst/>
                    </a:prstGeom>
                  </pic:spPr>
                </pic:pic>
              </a:graphicData>
            </a:graphic>
          </wp:inline>
        </w:drawing>
      </w:r>
    </w:p>
    <w:p>
      <w:pPr>
        <w:pStyle w:val="TE-LegendaFigura"/>
        <w:numPr>
          <w:ilvl w:val="0"/>
          <w:numId w:val="7"/>
        </w:numPr>
        <w:rPr/>
      </w:pPr>
      <w:r>
        <w:rPr/>
        <w:t>Diagrama de classes do protótipo de alinhamento motívico</w:t>
      </w:r>
    </w:p>
    <w:p>
      <w:pPr>
        <w:pStyle w:val="TE-FonteFiguraQuadroTabela"/>
        <w:rPr/>
      </w:pPr>
      <w:r>
        <w:rPr/>
        <w:t>Fonte: elaborado pelo autor (2026).</w:t>
      </w:r>
    </w:p>
    <w:p>
      <w:pPr>
        <w:pStyle w:val="T2-TituloSecundario"/>
        <w:numPr>
          <w:ilvl w:val="1"/>
          <w:numId w:val="6"/>
        </w:numPr>
        <w:rPr/>
      </w:pPr>
      <w:bookmarkStart w:id="207" w:name="__RefHeading___Toc9008_1503872338"/>
      <w:bookmarkEnd w:id="207"/>
      <w:r>
        <w:rPr/>
        <w:t>Formato de Saída dos Resultados</w:t>
      </w:r>
    </w:p>
    <w:p>
      <w:pPr>
        <w:pStyle w:val="TE-Normal"/>
        <w:rPr/>
      </w:pPr>
      <w:r>
        <w:rPr>
          <w:highlight w:val="yellow"/>
        </w:rPr>
        <w:t>ADAPTAÇÃO: a seção "Wireframes" do modelo institucional pressupõe telas de interface gráfica; como o protótipo não possui UI, esta seção foi redirecionada para descrever o artefato que o usuário efetivamente consulta — o relatório de correspondências</w:t>
      </w:r>
    </w:p>
    <w:p>
      <w:pPr>
        <w:pStyle w:val="TE-Normal"/>
        <w:rPr/>
      </w:pPr>
      <w:r>
        <w:rPr/>
        <w:t>O relatório produzido pelo protótipo organiza cada correspondência motívica identificada em uma linha, com as colunas descritas no Quadro 4.</w:t>
      </w:r>
    </w:p>
    <w:p>
      <w:pPr>
        <w:pStyle w:val="TE-LegendaQuadro"/>
        <w:numPr>
          <w:ilvl w:val="0"/>
          <w:numId w:val="9"/>
        </w:numPr>
        <w:rPr/>
      </w:pPr>
      <w:r>
        <w:rPr/>
        <w:t>Campos do relatório de correspondências</w:t>
      </w:r>
    </w:p>
    <w:tbl>
      <w:tblPr>
        <w:tblStyle w:val="Tabelacomgrade"/>
        <w:tblW w:w="9070" w:type="dxa"/>
        <w:tblLook w:val="04A0" w:firstRow="1" w:lastRow="0" w:firstColumn="1" w:lastColumn="0" w:noHBand="0" w:noVBand="1"/>
      </w:tblPr>
      <w:tblGrid>
        <w:gridCol w:w="2600"/>
        <w:gridCol w:w="6470"/>
      </w:tblGrid>
      <w:tr>
        <w:tc>
          <w:tcPr>
            <w:tcW w:w="2600" w:type="dxa"/>
          </w:tcPr>
          <w:p>
            <w:pPr>
              <w:pStyle w:val="TE-CorpoTabela"/>
              <w:jc w:val="center"/>
              <w:rPr/>
            </w:pPr>
            <w:r>
              <w:rPr>
                <w:b/>
              </w:rPr>
              <w:t>Campo</w:t>
            </w:r>
          </w:p>
        </w:tc>
        <w:tc>
          <w:tcPr>
            <w:tcW w:w="6470" w:type="dxa"/>
          </w:tcPr>
          <w:p>
            <w:pPr>
              <w:pStyle w:val="TE-CorpoTabela"/>
              <w:jc w:val="center"/>
              <w:rPr/>
            </w:pPr>
            <w:r>
              <w:rPr>
                <w:b/>
              </w:rPr>
              <w:t>Descrição</w:t>
            </w:r>
          </w:p>
        </w:tc>
      </w:tr>
      <w:tr>
        <w:tc>
          <w:tcPr>
            <w:tcW w:w="2600" w:type="dxa"/>
          </w:tcPr>
          <w:p>
            <w:pPr>
              <w:pStyle w:val="TE-CorpoTabela"/>
              <w:rPr/>
            </w:pPr>
            <w:r>
              <w:rPr/>
              <w:t>ID do motivo</w:t>
            </w:r>
          </w:p>
        </w:tc>
        <w:tc>
          <w:tcPr>
            <w:tcW w:w="6470" w:type="dxa"/>
          </w:tcPr>
          <w:p>
            <w:pPr>
              <w:pStyle w:val="TE-CorpoTabela"/>
              <w:rPr/>
            </w:pPr>
            <w:r>
              <w:rPr/>
              <w:t>Identificador sequencial da correspondência</w:t>
            </w:r>
          </w:p>
        </w:tc>
      </w:tr>
      <w:tr>
        <w:tc>
          <w:tcPr>
            <w:tcW w:w="2600" w:type="dxa"/>
          </w:tcPr>
          <w:p>
            <w:pPr>
              <w:pStyle w:val="TE-CorpoTabela"/>
              <w:rPr/>
            </w:pPr>
            <w:r>
              <w:rPr/>
              <w:t>Localização (Versão A)</w:t>
            </w:r>
          </w:p>
        </w:tc>
        <w:tc>
          <w:tcPr>
            <w:tcW w:w="6470" w:type="dxa"/>
          </w:tcPr>
          <w:p>
            <w:pPr>
              <w:pStyle w:val="TE-CorpoTabela"/>
              <w:rPr/>
            </w:pPr>
            <w:r>
              <w:rPr/>
              <w:t>Voz, compasso e posição de início/fim na primeira versão</w:t>
            </w:r>
          </w:p>
        </w:tc>
      </w:tr>
      <w:tr>
        <w:tc>
          <w:tcPr>
            <w:tcW w:w="2600" w:type="dxa"/>
          </w:tcPr>
          <w:p>
            <w:pPr>
              <w:pStyle w:val="TE-CorpoTabela"/>
              <w:rPr/>
            </w:pPr>
            <w:r>
              <w:rPr/>
              <w:t>Localização (Versão B)</w:t>
            </w:r>
          </w:p>
        </w:tc>
        <w:tc>
          <w:tcPr>
            <w:tcW w:w="6470" w:type="dxa"/>
          </w:tcPr>
          <w:p>
            <w:pPr>
              <w:pStyle w:val="TE-CorpoTabela"/>
              <w:rPr/>
            </w:pPr>
            <w:r>
              <w:rPr/>
              <w:t>Voz, compasso e posição de início/fim na segunda versão</w:t>
            </w:r>
          </w:p>
        </w:tc>
      </w:tr>
      <w:tr>
        <w:tc>
          <w:tcPr>
            <w:tcW w:w="2600" w:type="dxa"/>
          </w:tcPr>
          <w:p>
            <w:pPr>
              <w:pStyle w:val="TE-CorpoTabela"/>
              <w:rPr/>
            </w:pPr>
            <w:r>
              <w:rPr/>
              <w:t>Transformação</w:t>
            </w:r>
          </w:p>
        </w:tc>
        <w:tc>
          <w:tcPr>
            <w:tcW w:w="6470" w:type="dxa"/>
          </w:tcPr>
          <w:p>
            <w:pPr>
              <w:pStyle w:val="TE-CorpoTabela"/>
              <w:rPr/>
            </w:pPr>
            <w:r>
              <w:rPr/>
              <w:t>Tipo identificado: transposição, inversão, retrogradação, variação rítmica ou combinação, com o intervalo de transposição, quando aplicável</w:t>
            </w:r>
          </w:p>
        </w:tc>
      </w:tr>
      <w:tr>
        <w:tc>
          <w:tcPr>
            <w:tcW w:w="2600" w:type="dxa"/>
          </w:tcPr>
          <w:p>
            <w:pPr>
              <w:pStyle w:val="TE-CorpoTabela"/>
              <w:rPr/>
            </w:pPr>
            <w:r>
              <w:rPr/>
              <w:t>Pontuação</w:t>
            </w:r>
          </w:p>
        </w:tc>
        <w:tc>
          <w:tcPr>
            <w:tcW w:w="6470" w:type="dxa"/>
          </w:tcPr>
          <w:p>
            <w:pPr>
              <w:pStyle w:val="TE-CorpoTabela"/>
              <w:rPr/>
            </w:pPr>
            <w:r>
              <w:rPr/>
              <w:t>Escore de alinhamento resultante da etapa de extensão</w:t>
            </w:r>
          </w:p>
        </w:tc>
      </w:tr>
    </w:tbl>
    <w:p>
      <w:pPr>
        <w:pStyle w:val="TE-FonteFiguraQuadroTabela"/>
        <w:rPr/>
      </w:pPr>
      <w:r>
        <w:rPr/>
        <w:t>Fonte: elaborado pelo autor (2026).</w:t>
      </w:r>
    </w:p>
    <w:p>
      <w:pPr>
        <w:pStyle w:val="TE-Normal"/>
        <w:rPr/>
      </w:pPr>
      <w:r>
        <w:rPr>
          <w:highlight w:val="yellow"/>
        </w:rPr>
        <w:t>NOTA: formato exato de exportação (CSV, JSON, texto tabular) ainda não decidido — não afeta a modelagem em si, mas deve ser fixado antes da implementação, no TCC II</w:t>
      </w:r>
    </w:p>
    <w:p>
      <w:pPr>
        <w:pStyle w:val="T2-TituloSecundario"/>
        <w:numPr>
          <w:ilvl w:val="1"/>
          <w:numId w:val="6"/>
        </w:numPr>
        <w:rPr/>
      </w:pPr>
      <w:bookmarkStart w:id="208" w:name="__RefHeading___Toc9009_1503872338"/>
      <w:bookmarkEnd w:id="208"/>
      <w:r>
        <w:rPr/>
        <w:t>Considerações do Capítulo</w:t>
      </w:r>
    </w:p>
    <w:p>
      <w:pPr>
        <w:pStyle w:val="TE-Normal"/>
        <w:rPr/>
      </w:pPr>
      <w:r>
        <w:rPr/>
        <w:t xml:space="preserve">A modelagem apresentada neste capítulo traduz em software o método de alinhamento motívico fundamentado nos capítulos anteriores: uma ferramenta de linha de comando organizada em cinco componentes, dos quais o Motor de Busca e Extensão concentra a adaptação da heurística </w:t>
      </w:r>
      <w:r>
        <w:rPr>
          <w:i/>
          <w:iCs/>
        </w:rPr>
        <w:t xml:space="preserve">seed-and-extend</w:t>
      </w:r>
      <w:r>
        <w:rPr/>
        <w:t xml:space="preserve"> do BLAST (Capítulo 3) ao domínio simbólico musical. A modelagem aqui apresentada situa-se no nível arquitetural; os parâmetros concretos do algoritmo — tamanho da semente, limiar de </w:t>
      </w:r>
      <w:r>
        <w:rPr>
          <w:i/>
          <w:iCs/>
        </w:rPr>
        <w:t xml:space="preserve">X-drop</w:t>
      </w:r>
      <w:r>
        <w:rPr/>
        <w:t xml:space="preserve">, pesos de pontuação, custo de </w:t>
      </w:r>
      <w:r>
        <w:rPr>
          <w:i/>
          <w:iCs/>
        </w:rPr>
        <w:t xml:space="preserve">gap</w:t>
      </w:r>
      <w:r>
        <w:rPr/>
        <w:t xml:space="preserve">, critério de baixa complexidade, limiar de significância e comprimento mínimo — e os critérios objetivos de avaliação das correspondências encontradas são detalhados no capítulo seguinte, de Procedimentos Metodológicos, que também especifica como os pares de versões usados nos testes serão constituídos.</w:t>
      </w:r>
    </w:p>
    <w:p>
      <w:pPr>
        <w:pStyle w:val="Normal"/>
        <w:rPr>
          <w:sz w:val="26"/>
        </w:rPr>
      </w:pPr>
      <w:r>
        <w:rPr>
          <w:sz w:val="26"/>
        </w:rPr>
      </w:r>
      <w:r>
        <w:br w:type="page"/>
      </w:r>
    </w:p>
    <w:p>
      <w:pPr>
        <w:pStyle w:val="T1-TituloPrimario"/>
        <w:numPr>
          <w:ilvl w:val="0"/>
          <w:numId w:val="6"/>
        </w:numPr>
        <w:ind w:hanging="283" w:left="283"/>
        <w:rPr/>
      </w:pPr>
      <w:bookmarkStart w:id="300" w:name="__RefHeading___Toc9101_1503872338"/>
      <w:bookmarkEnd w:id="300"/>
      <w:r>
        <w:rPr/>
        <w:t>PROCEDIMENTOS METODOLÓGICOS</w:t>
      </w:r>
    </w:p>
    <w:p>
      <w:pPr>
        <w:pStyle w:val="TE-Normal"/>
        <w:rPr/>
      </w:pPr>
      <w:r>
        <w:rPr/>
        <w:t>Este capítulo detalha os procedimentos metodológicos que orientam o desenvolvimento deste trabalho: a classificação da pesquisa, a caracterização do corpus, a estratégia de construção dos pares de versões usados nos testes, os parâmetros do método de alinhamento, os critérios objetivos propostos para avaliação dos resultados e a sequência de etapas que conecta esses elementos aos objetivos específicos definidos no Capítulo 1.</w:t>
      </w:r>
    </w:p>
    <w:p>
      <w:pPr>
        <w:pStyle w:val="T2-TituloSecundario"/>
        <w:numPr>
          <w:ilvl w:val="1"/>
          <w:numId w:val="6"/>
        </w:numPr>
        <w:rPr/>
      </w:pPr>
      <w:bookmarkStart w:id="301" w:name="__RefHeading___Toc9102_1503872338"/>
      <w:bookmarkEnd w:id="301"/>
      <w:r>
        <w:rPr/>
        <w:t>Classificação da Pesquisa</w:t>
      </w:r>
    </w:p>
    <w:p>
      <w:pPr>
        <w:pStyle w:val="TE-Normal"/>
        <w:rPr/>
      </w:pPr>
      <w:r>
        <w:rPr/>
        <w:t>Quanto à natureza, esta pesquisa é aplicada: propõe um método com aplicação direta à preparação de edições críticas e à curadoria de acervos digitais de partituras simbólicas, conforme já justificado no Capítulo 1. Quanto aos objetivos, classifica-se como exploratória (GIL, 2002): investiga um problema — a correspondência motívica entre versões simbólicas de uma composição — ainda pouco explorado na literatura consultada, sem hipóteses prévias a testar estatisticamente, buscando antes formular e especificar um método viável. Quanto aos procedimentos técnicos, combina pesquisa bibliográfica (Capítulos 2 a 4) com desenvolvimento de um artefato computacional (Capítulo 5).</w:t>
      </w:r>
    </w:p>
    <w:p>
      <w:pPr>
        <w:pStyle w:val="TE-Normal"/>
        <w:rPr/>
      </w:pPr>
      <w:r>
        <w:rPr/>
        <w:t xml:space="preserve">Essa combinação — fundamentação teórica seguida da concepção, construção e avaliação de um artefato — situa este trabalho no paradigma de </w:t>
      </w:r>
      <w:r>
        <w:rPr>
          <w:i/>
          <w:iCs/>
        </w:rPr>
        <w:t xml:space="preserve">Design Science Research</w:t>
      </w:r>
      <w:r>
        <w:rPr/>
        <w:t xml:space="preserve"> (HEVNER et al., 2004), no qual a pesquisa em sistemas de informação e computação se organiza em torno da criação de artefatos (métodos, modelos, protótipos) cuja utilidade é avaliada segundo critérios explícitos, e não apenas descrita qualitativamente. As Seções 6.4 e 6.5 detalham, respectivamente, os parâmetros do artefato proposto e os critérios de avaliação adotados, elementos centrais desse paradigma aplicados ao método de alinhamento motívico deste trabalho.</w:t>
      </w:r>
    </w:p>
    <w:p>
      <w:pPr>
        <w:pStyle w:val="TE-Normal"/>
        <w:rPr/>
      </w:pPr>
      <w:r>
        <w:rPr>
          <w:highlight w:val="yellow"/>
        </w:rPr>
        <w:t xml:space="preserve">CONFIRMAR COM ORIENTADORA: adoção do referencial de </w:t>
      </w:r>
      <w:r>
        <w:rPr>
          <w:i/>
          <w:iCs/>
          <w:highlight w:val="yellow"/>
        </w:rPr>
        <w:t xml:space="preserve">Design Science Research</w:t>
      </w:r>
      <w:r>
        <w:rPr>
          <w:highlight w:val="yellow"/>
        </w:rPr>
        <w:t xml:space="preserve"> (Hevner et al., 2004) para caracterizar os procedimentos técnicos deste trabalho — enquadramento ainda não validado com a orientadora</w:t>
      </w:r>
    </w:p>
    <w:p>
      <w:pPr>
        <w:pStyle w:val="T2-TituloSecundario"/>
        <w:numPr>
          <w:ilvl w:val="1"/>
          <w:numId w:val="6"/>
        </w:numPr>
        <w:rPr/>
      </w:pPr>
      <w:bookmarkStart w:id="302" w:name="__RefHeading___Toc9103_1503872338"/>
      <w:bookmarkEnd w:id="302"/>
      <w:r>
        <w:rPr/>
        <w:t>Corpus</w:t>
      </w:r>
    </w:p>
    <w:p>
      <w:pPr>
        <w:pStyle w:val="TE-Normal"/>
        <w:rPr/>
      </w:pPr>
      <w:r>
        <w:rPr/>
        <w:t xml:space="preserve">O corpus deste trabalho é composto pelos corais a quatro vozes de J. S. Bach distribuídos com o music21 (CUTHBERT; ARIZA, 2010). A coleção de referência desses corais, na numeração de Riemenschneider, reúne 371 peças, mas nem todas estão disponíveis na biblioteca. Um levantamento preliminar feito pelo autor sobre a versão 10.5 do music21 identificou 433 arquivos atribuídos a Bach, dos quais 365, em MusicXML, correspondem a corais a quatro vozes.</w:t>
      </w:r>
      <w:r>
        <w:rPr>
          <w:rStyle w:val="FootnoteReference"/>
        </w:rPr>
        <w:footnoteReference w:id="4"/>
      </w:r>
      <w:r>
        <w:rPr/>
        <w:t xml:space="preserve"> Esse é o conjunto efetivamente utilizado. O corpus é de domínio público e distribuído nativamente em MusicXML pela ferramenta, o que dispensa etapas de conversão de formato para o protótipo descrito no Capítulo 5. Arquivos que codificam o mesmo coral em formatos diferentes são tratados como duplicatas e excluídos.</w:t>
      </w:r>
    </w:p>
    <w:p>
      <w:pPr>
        <w:pStyle w:val="T2-TituloSecundario"/>
        <w:numPr>
          <w:ilvl w:val="1"/>
          <w:numId w:val="6"/>
        </w:numPr>
        <w:rPr/>
      </w:pPr>
      <w:bookmarkStart w:id="303" w:name="__RefHeading___Toc9104_1503872338"/>
      <w:bookmarkEnd w:id="303"/>
      <w:r>
        <w:rPr/>
        <w:t>Construção dos Pares de Versões para Teste</w:t>
      </w:r>
    </w:p>
    <w:p>
      <w:pPr>
        <w:pStyle w:val="TE-Normal"/>
        <w:rPr/>
      </w:pPr>
      <w:r>
        <w:rPr/>
        <w:t xml:space="preserve">Conforme indicado na Delimitação do Escopo (Capítulo 1), os pares de versões usados para testar o protótipo podem ser constituídos a partir de variantes documentadas na tradição de fontes dos corais, de transformações geradas programaticamente sobre o corpus, ou de uma combinação de ambas. Este trabalho adota dois conjuntos de teste complementares. O primeiro, e principal, é construído programaticamente: a partir de um coral do corpus (Versão A), gera-se uma Versão B aplicando, a um ou mais trechos motívicos selecionados, uma ou mais das quatro transformações consideradas (transposição, inversão, retrogradação, variação rítmica), mantendo o restante da voz estruturalmente inalterado. A localização exata e o tipo de transformação aplicada em cada par gerado são registrados como gabarito (</w:t>
      </w:r>
      <w:r>
        <w:rPr>
          <w:i/>
          <w:iCs/>
        </w:rPr>
        <w:t xml:space="preserve">ground truth</w:t>
      </w:r>
      <w:r>
        <w:rPr/>
        <w:t xml:space="preserve">) — informação indisponível quando se depende exclusivamente de variantes históricas reais, mas indispensável para o cálculo dos critérios objetivos de avaliação propostos na Seção 6.5.</w:t>
      </w:r>
    </w:p>
    <w:p>
      <w:pPr>
        <w:pStyle w:val="TE-Normal"/>
        <w:rPr/>
      </w:pPr>
      <w:r>
        <w:rPr/>
        <w:t>Essa estratégia tem uma limitação metodológica que vale reconhecer: os mesmos mecanismos que o protótipo usa para tolerar as quatro transformações consideradas — invariância por construção da representação, no caso da transposição; indexação de variantes, no caso de inversão e retrogradação; e tolerância na etapa de pontuação, no caso da variação rítmica (Seção 5.1) — são também os mecanismos usados para gerar os pares de teste sintéticos. Por isso, o desempenho do protótipo sobre esses pares valida principalmente a correção da implementação de cada mecanismo, não necessariamente sua capacidade de generalizar para variantes reais e não documentadas, que podem envolver combinações de transformações mais complexas ou irregularidades que esses mecanismos não antecipam. Essa limitação é inerente à etapa de design deste trabalho. O segundo conjunto de teste, descrito a seguir, a mitiga parcialmente; a inclusão de transformações não triviais nos pares sintéticos fica como direção para trabalhos futuros.</w:t>
      </w:r>
    </w:p>
    <w:p>
      <w:pPr>
        <w:pStyle w:val="TE-Normal"/>
        <w:rPr/>
      </w:pPr>
      <w:r>
        <w:rPr/>
        <w:t xml:space="preserve">O segundo conjunto de teste é formado por pares reais extraídos do próprio corpus. Bach harmonizou muitas melodias de coral mais de uma vez, em obras e tonalidades diferentes. A melodia conhecida como coral da Paixão, por exemplo, aparece harmonizada cinco vezes na Paixão segundo São Mateus (BWV 244.15, 244.17, 244.44, 244.54 e 244.62), além de outras harmonizações no mesmo corpus. Um levantamento preliminar feito pelo autor agrupou os corais cujo soprano começa pela mesma sequência de dez intervalos diatônicos e identificou 63 melodias com duas ou mais harmonizações, somando 175 arquivos. A contagem é conservadora, porque o critério não agrupa harmonizações cujo início difere por uma nota de passagem. Conforme a definição apresentada na Delimitação do Escopo (Capítulo 1), harmonizações diferentes de uma mesma melodia são tratadas como versões dessa melodia.</w:t>
      </w:r>
    </w:p>
    <w:p>
      <w:pPr>
        <w:pStyle w:val="TE-Normal"/>
        <w:rPr/>
      </w:pPr>
      <w:r>
        <w:rPr/>
        <w:t xml:space="preserve">Esses pares não têm gabarito completo, mas têm um gabarito parcial conhecido de antemão: o soprano de uma harmonização deve corresponder, do início ao fim, ao soprano da outra, com um intervalo de transposição dado pela diferença de tonalidade. Contêm também variantes reais que o método precisa absorver. Entre as harmonizações do coral da Paixão, o soprano varia de 42 a 56 notas na codificação do corpus, o que indica notas de passagem e alterações rítmicas acrescentadas, e o BWV 244.62 diverge das demais já no décimo intervalo. As vozes internas, por outro lado, são reescritas a cada harmonização e não têm gabarito; as correspondências encontradas nelas são examinadas qualitativamente. Esse conjunto não substitui os pares sintéticos, mas testa o método sobre variações que ele próprio não gerou.</w:t>
      </w:r>
    </w:p>
    <w:p>
      <w:pPr>
        <w:pStyle w:val="TE-Normal"/>
        <w:rPr/>
      </w:pPr>
      <w:r>
        <w:rPr/>
        <w:t>Variantes documentadas na tradição de fontes dos corais — como a mudança de tonalidade entre fontes mencionada na Justificativa (Capítulo 1) — são consideradas um complemento qualitativo a essa estratégia: um caso real ilustrativo da aplicabilidade do método, e não a base principal de avaliação, dado que sua identificação depende de confirmação musicológica ainda pendente com o coorientador.</w:t>
      </w:r>
    </w:p>
    <w:p>
      <w:pPr>
        <w:pStyle w:val="TE-Normal"/>
        <w:rPr/>
      </w:pPr>
      <w:r>
        <w:rPr>
          <w:highlight w:val="yellow"/>
        </w:rPr>
        <w:t>NOTA: a confirmação do exemplo de Terry (1915) com o coorientador de música (já sinalizada como pendente na Justificativa) condiciona se algum par de versões real poderá ser incluído como caso ilustrativo neste trabalho, ou se a validação ficará restrita aos pares gerados programaticamente</w:t>
      </w:r>
    </w:p>
    <w:p>
      <w:pPr>
        <w:pStyle w:val="T2-TituloSecundario"/>
        <w:numPr>
          <w:ilvl w:val="1"/>
          <w:numId w:val="6"/>
        </w:numPr>
        <w:rPr/>
      </w:pPr>
      <w:bookmarkStart w:id="304" w:name="__RefHeading___Toc9105_1503872338"/>
      <w:bookmarkEnd w:id="304"/>
      <w:r>
        <w:rPr/>
        <w:t>Parâmetros do Método de Alinhamento</w:t>
      </w:r>
    </w:p>
    <w:p>
      <w:pPr>
        <w:pStyle w:val="TE-Normal"/>
        <w:rPr/>
      </w:pPr>
      <w:r>
        <w:rPr/>
        <w:t xml:space="preserve">O método descrito no Capítulo 5 depende de sete parâmetros: o tamanho da semente; o critério de baixa complexidade aplicado às sementes; os pesos de pontuação atribuídos a coincidências e divergências diatônicas, cromáticas e rítmicas; o custo de </w:t>
      </w:r>
      <w:r>
        <w:rPr>
          <w:i/>
          <w:iCs/>
        </w:rPr>
        <w:t xml:space="preserve">gap</w:t>
      </w:r>
      <w:r>
        <w:rPr/>
        <w:t xml:space="preserve">; o limiar de </w:t>
      </w:r>
      <w:r>
        <w:rPr>
          <w:i/>
          <w:iCs/>
        </w:rPr>
        <w:t xml:space="preserve">X-drop</w:t>
      </w:r>
      <w:r>
        <w:rPr/>
        <w:t xml:space="preserve">; o limiar de significância empírica; e o comprimento mínimo de uma correspondência reportada. Nenhum deles é fixado a priori neste trabalho. Todos serão calibrados empiricamente no TCC II, por meio de execuções piloto.</w:t>
      </w:r>
    </w:p>
    <w:p>
      <w:pPr>
        <w:pStyle w:val="TE-Normal"/>
        <w:rPr/>
      </w:pPr>
      <w:r>
        <w:rPr/>
        <w:t xml:space="preserve">Para que a calibração não contamine a avaliação, o corpus é dividido em dois subconjuntos disjuntos: um de calibração, sobre o qual os parâmetros são ajustados, e outro de avaliação, sobre o qual os critérios da Seção 6.5 são calculados. Sem essa separação, o desempenho medido refletiria em parte o próprio ajuste dos parâmetros aos pares avaliados.</w:t>
      </w:r>
    </w:p>
    <w:p>
      <w:pPr>
        <w:pStyle w:val="TE-Normal"/>
        <w:rPr/>
      </w:pPr>
      <w:r>
        <w:rPr/>
        <w:t xml:space="preserve">Alguns pontos de partida orientam a calibração. Para o tamanho da semente, adota-se como hipótese de trabalho que motivos relevantes nos corais têm poucos eventos, da ordem de três a cinco intervalos; a hipótese será verificada na própria calibração. Como a semente é definida apenas sobre intervalos diatônicos (Seção 5.1.2), seu tamanho pesa mais na seletividade da busca. Uma semente curta demais, somada à condução predominantemente conjunta das vozes, tende a gerar muitos </w:t>
      </w:r>
      <w:r>
        <w:rPr>
          <w:i/>
          <w:iCs/>
        </w:rPr>
        <w:t xml:space="preserve">hits</w:t>
      </w:r>
      <w:r>
        <w:rPr/>
        <w:t xml:space="preserve"> espúrios, efeito que o filtro de baixa complexidade atenua, mas não elimina. Para o limiar de significância, um ponto de partida é exigir que o escore de uma correspondência supere o percentil 99 da distribuição obtida com as sequências permutadas (Seção 5.1.4).</w:t>
      </w:r>
    </w:p>
    <w:p>
      <w:pPr>
        <w:pStyle w:val="TE-Normal"/>
        <w:rPr/>
      </w:pPr>
      <w:r>
        <w:rPr>
          <w:highlight w:val="yellow"/>
        </w:rPr>
        <w:t>DEFINIR NO TCC II: valores definitivos dos sete parâmetros e critério de divisão do corpus entre calibração e avaliação, conforme descrito acima</w:t>
      </w:r>
    </w:p>
    <w:p>
      <w:pPr>
        <w:pStyle w:val="T2-TituloSecundario"/>
        <w:numPr>
          <w:ilvl w:val="1"/>
          <w:numId w:val="6"/>
        </w:numPr>
        <w:rPr/>
      </w:pPr>
      <w:bookmarkStart w:id="305" w:name="__RefHeading___Toc9106_1503872338"/>
      <w:bookmarkEnd w:id="305"/>
      <w:r>
        <w:rPr/>
        <w:t>Critérios Objetivos de Avaliação</w:t>
      </w:r>
    </w:p>
    <w:p>
      <w:pPr>
        <w:pStyle w:val="TE-Normal"/>
        <w:rPr/>
      </w:pPr>
      <w:r>
        <w:rPr/>
        <w:t>Em atendimento ao quinto objetivo específico deste trabalho, propõem-se os seguintes critérios objetivos para avaliação das correspondências motívicas identificadas pelo protótipo, calculáveis a partir do gabarito descrito na Seção 6.3:</w:t>
      </w:r>
    </w:p>
    <w:p>
      <w:pPr>
        <w:pStyle w:val="TE-Normal"/>
        <w:rPr/>
      </w:pPr>
      <w:r>
        <w:rPr/>
        <w:t xml:space="preserve">– </w:t>
      </w:r>
      <w:r>
        <w:rPr>
          <w:b/>
        </w:rPr>
        <w:t>Precisão</w:t>
      </w:r>
      <w:r>
        <w:rPr/>
        <w:t>: proporção das correspondências reportadas pelo protótipo que efetivamente correspondem a uma transformação injetada no par de teste.</w:t>
      </w:r>
    </w:p>
    <w:p>
      <w:pPr>
        <w:pStyle w:val="TE-Normal"/>
        <w:rPr/>
      </w:pPr>
      <w:r>
        <w:rPr/>
        <w:t xml:space="preserve">– </w:t>
      </w:r>
      <w:r>
        <w:rPr>
          <w:b/>
        </w:rPr>
        <w:t>Cobertura (</w:t>
      </w:r>
      <w:r>
        <w:rPr>
          <w:b/>
          <w:i/>
          <w:iCs/>
        </w:rPr>
        <w:t>recall</w:t>
      </w:r>
      <w:r>
        <w:rPr>
          <w:b/>
        </w:rPr>
        <w:t>)</w:t>
      </w:r>
      <w:r>
        <w:rPr/>
        <w:t>: proporção das transformações injetadas no par de teste que foram efetivamente identificadas pelo protótipo.</w:t>
      </w:r>
    </w:p>
    <w:p>
      <w:pPr>
        <w:pStyle w:val="TE-Normal"/>
        <w:rPr/>
      </w:pPr>
      <w:r>
        <w:rPr/>
        <w:t xml:space="preserve">– </w:t>
      </w:r>
      <w:r>
        <w:rPr>
          <w:b/>
        </w:rPr>
        <w:t>Medida-F</w:t>
      </w:r>
      <w:r>
        <w:rPr/>
        <w:t>: média harmônica entre precisão e cobertura, combinando os dois critérios anteriores em uma única medida.</w:t>
      </w:r>
    </w:p>
    <w:p>
      <w:pPr>
        <w:pStyle w:val="TE-Normal"/>
        <w:rPr/>
      </w:pPr>
      <w:r>
        <w:rPr/>
        <w:t xml:space="preserve">– </w:t>
      </w:r>
      <w:r>
        <w:rPr>
          <w:b/>
        </w:rPr>
        <w:t>Acurácia de classificação da transformação</w:t>
      </w:r>
      <w:r>
        <w:rPr/>
        <w:t>: entre as correspondências corretamente identificadas, a proporção em que o tipo de transformação relatado pelo protótipo (transposição, inversão, retrogradação, variação rítmica ou combinação) corresponde ao tipo efetivamente injetado.</w:t>
      </w:r>
    </w:p>
    <w:p>
      <w:pPr>
        <w:pStyle w:val="TE-Normal"/>
        <w:rPr/>
      </w:pPr>
      <w:r>
        <w:rPr/>
        <w:t xml:space="preserve">Além dessas métricas, o método é comparado a uma referência de alinhamento exato. O algoritmo de Smith-Waterman (1981) é aplicado aos mesmos pares de vozes, com o mesmo esquema de pontuação, de forma iterativa: a cada rodada, o trecho já alinhado é mascarado, de modo a produzir múltiplas correspondências. Seus resultados passam pelos mesmos critérios. A comparação responde à pergunta levantada na Seção 5.1.5: quanto a heurística perde em cobertura em troca das vantagens que a justificam. Para isso, mede-se a proporção das correspondências encontradas pela referência exata que também são encontradas pela heurística, ao lado do tempo de execução de cada abordagem.</w:t>
      </w:r>
    </w:p>
    <w:p>
      <w:pPr>
        <w:pStyle w:val="TE-Normal"/>
        <w:rPr/>
      </w:pPr>
      <w:r>
        <w:rPr/>
        <w:t xml:space="preserve">No segundo conjunto de teste, em que o gabarito é parcial, as métricas são calculadas apenas sobre o soprano. A cobertura mede a proporção da melodia de uma harmonização alinhada à melodia da outra, e a acurácia de classificação verifica se o intervalo de transposição relatado corresponde à diferença de tonalidade entre as duas harmonizações.</w:t>
      </w:r>
    </w:p>
    <w:p>
      <w:pPr>
        <w:pStyle w:val="TE-Normal"/>
        <w:rPr/>
      </w:pPr>
      <w:r>
        <w:rPr/>
        <w:t>Os critérios de precisão e cobertura dependem de uma definição operacional de correspondência correta: uma correspondência reportada pelo protótipo é considerada correta quando sua sobreposição com a transformação injetada no par de teste — a proporção de posições em comum entre o trecho relatado e o trecho efetivamente transformado — atinge um limiar mínimo. O valor exato desse limiar será calibrado empiricamente junto aos demais parâmetros do método (Seção 6.4); um ponto de partida razoável, a ajustar conforme os resultados piloto, é exigir sobreposição de ao menos metade das posições do trecho injetado.</w:t>
      </w:r>
    </w:p>
    <w:p>
      <w:pPr>
        <w:pStyle w:val="TE-Normal"/>
        <w:rPr/>
      </w:pPr>
      <w:r>
        <w:rPr/>
        <w:t>Consistente com a Delimitação do Escopo (Capítulo 1) e com o quinto objetivo específico, este trabalho propõe esses critérios, a serem aplicados preliminarmente aos resultados obtidos após a implementação do protótipo, no TCC II; mesmo então, esses critérios não constituirão uma validação experimental extensiva sobre a totalidade do corpus.</w:t>
      </w:r>
    </w:p>
    <w:p>
      <w:pPr>
        <w:pStyle w:val="T2-TituloSecundario"/>
        <w:numPr>
          <w:ilvl w:val="1"/>
          <w:numId w:val="6"/>
        </w:numPr>
        <w:rPr/>
      </w:pPr>
      <w:bookmarkStart w:id="306" w:name="__RefHeading___Toc9107_1503872338"/>
      <w:bookmarkEnd w:id="306"/>
      <w:r>
        <w:rPr/>
        <w:t>Etapas de Desenvolvimento</w:t>
      </w:r>
    </w:p>
    <w:p>
      <w:pPr>
        <w:pStyle w:val="TE-Normal"/>
        <w:rPr/>
      </w:pPr>
      <w:r>
        <w:rPr/>
        <w:t xml:space="preserve">As etapas deste trabalho seguem diretamente os cinco objetivos específicos definidos no Capítulo 1: revisão da fundamentação teórico-musical e computacional (Capítulos 2 a 4, já concluída); especificação da representação simbólica dos motivos (Seção 5.1); adaptação da heurística </w:t>
      </w:r>
      <w:r>
        <w:rPr>
          <w:i/>
          <w:iCs/>
        </w:rPr>
        <w:t xml:space="preserve">seed-and-extend</w:t>
      </w:r>
      <w:r>
        <w:rPr/>
        <w:t xml:space="preserve"> ao domínio musical (Seções 5.1 e 5.4); especificação da arquitetura do protótipo (Capítulo 5); e proposição dos critérios objetivos de avaliação (Seção 6.5). A implementação do protótipo sobre o corpus de corais de Bach e a aplicação preliminar desses critérios aos resultados obtidos estão previstas para o TCC II. O detalhamento temporal das etapas já concluídas e planejadas — cronograma por semana e marcos de orientação — é apresentado no Capítulo 7.</w:t>
      </w:r>
    </w:p>
    <w:p>
      <w:pPr>
        <w:pStyle w:val="T2-TituloSecundario"/>
        <w:numPr>
          <w:ilvl w:val="1"/>
          <w:numId w:val="6"/>
        </w:numPr>
        <w:rPr/>
      </w:pPr>
      <w:bookmarkStart w:id="307" w:name="__RefHeading___Toc9108_1503872338"/>
      <w:bookmarkEnd w:id="307"/>
      <w:r>
        <w:rPr/>
        <w:t>Considerações do Capítulo</w:t>
      </w:r>
    </w:p>
    <w:p>
      <w:pPr>
        <w:pStyle w:val="TE-Normal"/>
        <w:rPr/>
      </w:pPr>
      <w:r>
        <w:rPr/>
        <w:t xml:space="preserve">Os procedimentos metodológicos que orientam a execução deste trabalho foram estabelecidos neste capítulo: a classificação da pesquisa como aplicada, exploratória e situada no paradigma de </w:t>
      </w:r>
      <w:r>
        <w:rPr>
          <w:i/>
          <w:iCs/>
        </w:rPr>
        <w:t xml:space="preserve">Design Science Research</w:t>
      </w:r>
      <w:r>
        <w:rPr/>
        <w:t xml:space="preserve">; a caracterização do corpus de corais de Bach disponível no music21; dois conjuntos de teste complementares, um de pares sintéticos com gabarito completo e outro de harmonizações diferentes de uma mesma melodia, com gabarito parcial; os sete parâmetros do método, a serem calibrados no TCC II sobre um subconjunto do corpus separado do usado na avaliação; e os critérios objetivos de avaliação — precisão, cobertura, medida-F e acurácia de classificação —, acompanhados da comparação com o Smith-Waterman como referência exata, que respondem diretamente ao quinto objetivo específico deste trabalho. O capítulo seguinte detalha o cronograma que organiza essas etapas.</w:t>
      </w:r>
    </w:p>
    <w:p>
      <w:pPr>
        <w:pStyle w:val="Normal"/>
        <w:rPr>
          <w:sz w:val="26"/>
        </w:rPr>
      </w:pPr>
      <w:r>
        <w:rPr>
          <w:sz w:val="26"/>
        </w:rPr>
      </w:r>
      <w:r>
        <w:br w:type="page"/>
      </w:r>
    </w:p>
    <w:p>
      <w:pPr>
        <w:pStyle w:val="T1-TituloPrimario"/>
        <w:numPr>
          <w:ilvl w:val="0"/>
          <w:numId w:val="6"/>
        </w:numPr>
        <w:ind w:hanging="283" w:left="283"/>
        <w:rPr/>
      </w:pPr>
      <w:bookmarkStart w:id="400" w:name="__RefHeading___Toc9201_1503872338"/>
      <w:bookmarkEnd w:id="400"/>
      <w:r>
        <w:rPr/>
        <w:t>CRONOGRAMA</w:t>
      </w:r>
    </w:p>
    <w:p>
      <w:pPr>
        <w:pStyle w:val="TE-Normal"/>
        <w:rPr/>
      </w:pPr>
      <w:r>
        <w:rPr/>
        <w:t>Este capítulo apresenta o cronograma deste trabalho, organizado em duas partes: o cronograma do TCC I, detalhado por semana e alinhado aos capítulos já desenvolvidos, e uma visão preliminar das etapas do TCC II, sequenciadas mas ainda sem datas fixas, dado que o calendário institucional dessa disciplina ainda não está definido.</w:t>
      </w:r>
    </w:p>
    <w:p>
      <w:pPr>
        <w:pStyle w:val="T2-TituloSecundario"/>
        <w:numPr>
          <w:ilvl w:val="1"/>
          <w:numId w:val="6"/>
        </w:numPr>
        <w:rPr/>
      </w:pPr>
      <w:bookmarkStart w:id="401" w:name="__RefHeading___Toc9202_1503872338"/>
      <w:bookmarkEnd w:id="401"/>
      <w:r>
        <w:rPr/>
        <w:t>Cronograma do TCC I</w:t>
      </w:r>
    </w:p>
    <w:p>
      <w:pPr>
        <w:pStyle w:val="TE-Normal"/>
        <w:rPr/>
      </w:pPr>
      <w:r>
        <w:rPr/>
        <w:t>O TCC I está organizado em seis fases ao longo de 15 semanas, com entrega prevista para 15 de novembro de 2026. Os períodos de fases adjacentes se sobrepõem em alguns dias por design, permitindo que a fase seguinte comece antes da conclusão formal da anterior sempre que houver conteúdo pronto para avançar. Quatro marcos de orientação estão distribuídos ao final das fases de maior densidade de conteúdo, conforme o Quadro 5.</w:t>
      </w:r>
    </w:p>
    <w:p>
      <w:pPr>
        <w:pStyle w:val="TE-LegendaQuadro"/>
        <w:numPr>
          <w:ilvl w:val="0"/>
          <w:numId w:val="9"/>
        </w:numPr>
        <w:rPr/>
      </w:pPr>
      <w:r>
        <w:rPr/>
        <w:t>Cronograma do TCC I</w:t>
      </w:r>
    </w:p>
    <w:tbl>
      <w:tblPr>
        <w:tblStyle w:val="Tabelacomgrade"/>
        <w:tblW w:w="9070" w:type="dxa"/>
        <w:tblLook w:val="04A0" w:firstRow="1" w:lastRow="0" w:firstColumn="1" w:lastColumn="0" w:noHBand="0" w:noVBand="1"/>
      </w:tblPr>
      <w:tblGrid>
        <w:gridCol w:w="700"/>
        <w:gridCol w:w="1150"/>
        <w:gridCol w:w="1500"/>
        <w:gridCol w:w="4220"/>
        <w:gridCol w:w="1500"/>
      </w:tblGrid>
      <w:tr>
        <w:tc>
          <w:tcPr>
            <w:tcW w:w="700" w:type="dxa"/>
          </w:tcPr>
          <w:p>
            <w:pPr>
              <w:pStyle w:val="TE-CorpoTabela"/>
              <w:jc w:val="center"/>
              <w:rPr/>
            </w:pPr>
            <w:r>
              <w:rPr>
                <w:b/>
              </w:rPr>
              <w:t>Fase</w:t>
            </w:r>
          </w:p>
        </w:tc>
        <w:tc>
          <w:tcPr>
            <w:tcW w:w="1150" w:type="dxa"/>
          </w:tcPr>
          <w:p>
            <w:pPr>
              <w:pStyle w:val="TE-CorpoTabela"/>
              <w:jc w:val="center"/>
              <w:rPr/>
            </w:pPr>
            <w:r>
              <w:rPr>
                <w:b/>
              </w:rPr>
              <w:t>Semanas</w:t>
            </w:r>
          </w:p>
        </w:tc>
        <w:tc>
          <w:tcPr>
            <w:tcW w:w="1500" w:type="dxa"/>
          </w:tcPr>
          <w:p>
            <w:pPr>
              <w:pStyle w:val="TE-CorpoTabela"/>
              <w:jc w:val="center"/>
              <w:rPr/>
            </w:pPr>
            <w:r>
              <w:rPr>
                <w:b/>
              </w:rPr>
              <w:t>Período</w:t>
            </w:r>
          </w:p>
        </w:tc>
        <w:tc>
          <w:tcPr>
            <w:tcW w:w="4220" w:type="dxa"/>
          </w:tcPr>
          <w:p>
            <w:pPr>
              <w:pStyle w:val="TE-CorpoTabela"/>
              <w:jc w:val="center"/>
              <w:rPr/>
            </w:pPr>
            <w:r>
              <w:rPr>
                <w:b/>
              </w:rPr>
              <w:t>Atividades principais</w:t>
            </w:r>
          </w:p>
        </w:tc>
        <w:tc>
          <w:tcPr>
            <w:tcW w:w="1500" w:type="dxa"/>
          </w:tcPr>
          <w:p>
            <w:pPr>
              <w:pStyle w:val="TE-CorpoTabela"/>
              <w:jc w:val="center"/>
              <w:rPr/>
            </w:pPr>
            <w:r>
              <w:rPr>
                <w:b/>
              </w:rPr>
              <w:t>Checkpoint</w:t>
            </w:r>
          </w:p>
        </w:tc>
      </w:tr>
      <w:tr>
        <w:tc>
          <w:tcPr>
            <w:tcW w:w="700" w:type="dxa"/>
          </w:tcPr>
          <w:p>
            <w:pPr>
              <w:pStyle w:val="TE-CorpoTabela"/>
              <w:rPr/>
            </w:pPr>
            <w:r>
              <w:rPr/>
              <w:t>F1</w:t>
            </w:r>
          </w:p>
        </w:tc>
        <w:tc>
          <w:tcPr>
            <w:tcW w:w="1150" w:type="dxa"/>
          </w:tcPr>
          <w:p>
            <w:pPr>
              <w:pStyle w:val="TE-CorpoTabela"/>
              <w:rPr/>
            </w:pPr>
            <w:r>
              <w:rPr/>
              <w:t>1–5</w:t>
            </w:r>
          </w:p>
        </w:tc>
        <w:tc>
          <w:tcPr>
            <w:tcW w:w="1500" w:type="dxa"/>
          </w:tcPr>
          <w:p>
            <w:pPr>
              <w:pStyle w:val="TE-CorpoTabela"/>
              <w:rPr/>
            </w:pPr>
            <w:r>
              <w:rPr/>
              <w:t>03/08–06/09</w:t>
            </w:r>
          </w:p>
        </w:tc>
        <w:tc>
          <w:tcPr>
            <w:tcW w:w="4220" w:type="dxa"/>
          </w:tcPr>
          <w:p>
            <w:pPr>
              <w:pStyle w:val="TE-CorpoTabela"/>
              <w:rPr/>
            </w:pPr>
            <w:r>
              <w:rPr/>
              <w:t>Fundamentação teórica e bibliográfica (Capítulos 2 a 4)</w:t>
            </w:r>
          </w:p>
        </w:tc>
        <w:tc>
          <w:tcPr>
            <w:tcW w:w="1500" w:type="dxa"/>
          </w:tcPr>
          <w:p>
            <w:pPr>
              <w:pStyle w:val="TE-CorpoTabela"/>
              <w:rPr/>
            </w:pPr>
            <w:r>
              <w:rPr/>
              <w:t>Semana 5</w:t>
            </w:r>
          </w:p>
        </w:tc>
      </w:tr>
      <w:tr>
        <w:tc>
          <w:tcPr>
            <w:tcW w:w="700" w:type="dxa"/>
          </w:tcPr>
          <w:p>
            <w:pPr>
              <w:pStyle w:val="TE-CorpoTabela"/>
              <w:rPr/>
            </w:pPr>
            <w:r>
              <w:rPr/>
              <w:t>F2</w:t>
            </w:r>
          </w:p>
        </w:tc>
        <w:tc>
          <w:tcPr>
            <w:tcW w:w="1150" w:type="dxa"/>
          </w:tcPr>
          <w:p>
            <w:pPr>
              <w:pStyle w:val="TE-CorpoTabela"/>
              <w:rPr/>
            </w:pPr>
            <w:r>
              <w:rPr/>
              <w:t>5–7</w:t>
            </w:r>
          </w:p>
        </w:tc>
        <w:tc>
          <w:tcPr>
            <w:tcW w:w="1500" w:type="dxa"/>
          </w:tcPr>
          <w:p>
            <w:pPr>
              <w:pStyle w:val="TE-CorpoTabela"/>
              <w:rPr/>
            </w:pPr>
            <w:r>
              <w:rPr/>
              <w:t>31/08–20/09</w:t>
            </w:r>
          </w:p>
        </w:tc>
        <w:tc>
          <w:tcPr>
            <w:tcW w:w="4220" w:type="dxa"/>
          </w:tcPr>
          <w:p>
            <w:pPr>
              <w:pStyle w:val="TE-CorpoTabela"/>
              <w:rPr/>
            </w:pPr>
            <w:r>
              <w:rPr/>
              <w:t>Modelagem do protótipo (Capítulo 5)</w:t>
            </w:r>
          </w:p>
        </w:tc>
        <w:tc>
          <w:tcPr>
            <w:tcW w:w="1500" w:type="dxa"/>
          </w:tcPr>
          <w:p>
            <w:pPr>
              <w:pStyle w:val="TE-CorpoTabela"/>
              <w:rPr/>
            </w:pPr>
            <w:r>
              <w:rPr/>
              <w:t>—</w:t>
            </w:r>
          </w:p>
        </w:tc>
      </w:tr>
      <w:tr>
        <w:tc>
          <w:tcPr>
            <w:tcW w:w="700" w:type="dxa"/>
          </w:tcPr>
          <w:p>
            <w:pPr>
              <w:pStyle w:val="TE-CorpoTabela"/>
              <w:rPr/>
            </w:pPr>
            <w:r>
              <w:rPr/>
              <w:t>F3</w:t>
            </w:r>
          </w:p>
        </w:tc>
        <w:tc>
          <w:tcPr>
            <w:tcW w:w="1150" w:type="dxa"/>
          </w:tcPr>
          <w:p>
            <w:pPr>
              <w:pStyle w:val="TE-CorpoTabela"/>
              <w:rPr/>
            </w:pPr>
            <w:r>
              <w:rPr/>
              <w:t>7–8</w:t>
            </w:r>
          </w:p>
        </w:tc>
        <w:tc>
          <w:tcPr>
            <w:tcW w:w="1500" w:type="dxa"/>
          </w:tcPr>
          <w:p>
            <w:pPr>
              <w:pStyle w:val="TE-CorpoTabela"/>
              <w:rPr/>
            </w:pPr>
            <w:r>
              <w:rPr/>
              <w:t>14/09–27/09</w:t>
            </w:r>
          </w:p>
        </w:tc>
        <w:tc>
          <w:tcPr>
            <w:tcW w:w="4220" w:type="dxa"/>
          </w:tcPr>
          <w:p>
            <w:pPr>
              <w:pStyle w:val="TE-CorpoTabela"/>
              <w:rPr/>
            </w:pPr>
            <w:r>
              <w:rPr/>
              <w:t>Procedimentos metodológicos (Capítulo 6)</w:t>
            </w:r>
          </w:p>
        </w:tc>
        <w:tc>
          <w:tcPr>
            <w:tcW w:w="1500" w:type="dxa"/>
          </w:tcPr>
          <w:p>
            <w:pPr>
              <w:pStyle w:val="TE-CorpoTabela"/>
              <w:rPr/>
            </w:pPr>
            <w:r>
              <w:rPr/>
              <w:t>Semana 8</w:t>
            </w:r>
          </w:p>
        </w:tc>
      </w:tr>
      <w:tr>
        <w:tc>
          <w:tcPr>
            <w:tcW w:w="700" w:type="dxa"/>
          </w:tcPr>
          <w:p>
            <w:pPr>
              <w:pStyle w:val="TE-CorpoTabela"/>
              <w:rPr/>
            </w:pPr>
            <w:r>
              <w:rPr/>
              <w:t>F4</w:t>
            </w:r>
          </w:p>
        </w:tc>
        <w:tc>
          <w:tcPr>
            <w:tcW w:w="1150" w:type="dxa"/>
          </w:tcPr>
          <w:p>
            <w:pPr>
              <w:pStyle w:val="TE-CorpoTabela"/>
              <w:rPr/>
            </w:pPr>
            <w:r>
              <w:rPr/>
              <w:t>9</w:t>
            </w:r>
          </w:p>
        </w:tc>
        <w:tc>
          <w:tcPr>
            <w:tcW w:w="1500" w:type="dxa"/>
          </w:tcPr>
          <w:p>
            <w:pPr>
              <w:pStyle w:val="TE-CorpoTabela"/>
              <w:rPr/>
            </w:pPr>
            <w:r>
              <w:rPr/>
              <w:t>28/09–04/10</w:t>
            </w:r>
          </w:p>
        </w:tc>
        <w:tc>
          <w:tcPr>
            <w:tcW w:w="4220" w:type="dxa"/>
          </w:tcPr>
          <w:p>
            <w:pPr>
              <w:pStyle w:val="TE-CorpoTabela"/>
              <w:rPr/>
            </w:pPr>
            <w:r>
              <w:rPr/>
              <w:t>Cronograma (Capítulo 7)</w:t>
            </w:r>
          </w:p>
        </w:tc>
        <w:tc>
          <w:tcPr>
            <w:tcW w:w="1500" w:type="dxa"/>
          </w:tcPr>
          <w:p>
            <w:pPr>
              <w:pStyle w:val="TE-CorpoTabela"/>
              <w:rPr/>
            </w:pPr>
            <w:r>
              <w:rPr/>
              <w:t>—</w:t>
            </w:r>
          </w:p>
        </w:tc>
      </w:tr>
      <w:tr>
        <w:tc>
          <w:tcPr>
            <w:tcW w:w="700" w:type="dxa"/>
          </w:tcPr>
          <w:p>
            <w:pPr>
              <w:pStyle w:val="TE-CorpoTabela"/>
              <w:rPr/>
            </w:pPr>
            <w:r>
              <w:rPr/>
              <w:t>F5</w:t>
            </w:r>
          </w:p>
        </w:tc>
        <w:tc>
          <w:tcPr>
            <w:tcW w:w="1150" w:type="dxa"/>
          </w:tcPr>
          <w:p>
            <w:pPr>
              <w:pStyle w:val="TE-CorpoTabela"/>
              <w:rPr/>
            </w:pPr>
            <w:r>
              <w:rPr/>
              <w:t>10–13</w:t>
            </w:r>
          </w:p>
        </w:tc>
        <w:tc>
          <w:tcPr>
            <w:tcW w:w="1500" w:type="dxa"/>
          </w:tcPr>
          <w:p>
            <w:pPr>
              <w:pStyle w:val="TE-CorpoTabela"/>
              <w:rPr/>
            </w:pPr>
            <w:r>
              <w:rPr/>
              <w:t>05/10–01/11</w:t>
            </w:r>
          </w:p>
        </w:tc>
        <w:tc>
          <w:tcPr>
            <w:tcW w:w="4220" w:type="dxa"/>
          </w:tcPr>
          <w:p>
            <w:pPr>
              <w:pStyle w:val="TE-CorpoTabela"/>
              <w:rPr/>
            </w:pPr>
            <w:r>
              <w:rPr/>
              <w:t>Revisão geral e validação com orientação</w:t>
            </w:r>
          </w:p>
        </w:tc>
        <w:tc>
          <w:tcPr>
            <w:tcW w:w="1500" w:type="dxa"/>
          </w:tcPr>
          <w:p>
            <w:pPr>
              <w:pStyle w:val="TE-CorpoTabela"/>
              <w:rPr/>
            </w:pPr>
            <w:r>
              <w:rPr/>
              <w:t>Semana 11</w:t>
            </w:r>
          </w:p>
        </w:tc>
      </w:tr>
      <w:tr>
        <w:tc>
          <w:tcPr>
            <w:tcW w:w="700" w:type="dxa"/>
          </w:tcPr>
          <w:p>
            <w:pPr>
              <w:pStyle w:val="TE-CorpoTabela"/>
              <w:rPr/>
            </w:pPr>
            <w:r>
              <w:rPr/>
              <w:t>F6</w:t>
            </w:r>
          </w:p>
        </w:tc>
        <w:tc>
          <w:tcPr>
            <w:tcW w:w="1150" w:type="dxa"/>
          </w:tcPr>
          <w:p>
            <w:pPr>
              <w:pStyle w:val="TE-CorpoTabela"/>
              <w:rPr/>
            </w:pPr>
            <w:r>
              <w:rPr/>
              <w:t>14–15</w:t>
            </w:r>
          </w:p>
        </w:tc>
        <w:tc>
          <w:tcPr>
            <w:tcW w:w="1500" w:type="dxa"/>
          </w:tcPr>
          <w:p>
            <w:pPr>
              <w:pStyle w:val="TE-CorpoTabela"/>
              <w:rPr/>
            </w:pPr>
            <w:r>
              <w:rPr/>
              <w:t>02/11–15/11</w:t>
            </w:r>
          </w:p>
        </w:tc>
        <w:tc>
          <w:tcPr>
            <w:tcW w:w="4220" w:type="dxa"/>
          </w:tcPr>
          <w:p>
            <w:pPr>
              <w:pStyle w:val="TE-CorpoTabela"/>
              <w:rPr/>
            </w:pPr>
            <w:r>
              <w:rPr/>
              <w:t>Formatação final, atualização de sumário e listas, entrega</w:t>
            </w:r>
          </w:p>
        </w:tc>
        <w:tc>
          <w:tcPr>
            <w:tcW w:w="1500" w:type="dxa"/>
          </w:tcPr>
          <w:p>
            <w:pPr>
              <w:pStyle w:val="TE-CorpoTabela"/>
              <w:rPr/>
            </w:pPr>
            <w:r>
              <w:rPr/>
              <w:t>Semana 14</w:t>
            </w:r>
          </w:p>
        </w:tc>
      </w:tr>
    </w:tbl>
    <w:p>
      <w:pPr>
        <w:pStyle w:val="TE-FonteFiguraQuadroTabela"/>
        <w:rPr/>
      </w:pPr>
      <w:r>
        <w:rPr/>
        <w:t>Fonte: elaborado pelo autor (2026).</w:t>
      </w:r>
    </w:p>
    <w:p>
      <w:pPr>
        <w:pStyle w:val="T2-TituloSecundario"/>
        <w:numPr>
          <w:ilvl w:val="1"/>
          <w:numId w:val="6"/>
        </w:numPr>
        <w:rPr/>
      </w:pPr>
      <w:bookmarkStart w:id="402" w:name="__RefHeading___Toc9203_1503872338"/>
      <w:bookmarkEnd w:id="402"/>
      <w:r>
        <w:rPr/>
        <w:t>Cronograma do TCC II</w:t>
      </w:r>
    </w:p>
    <w:p>
      <w:pPr>
        <w:pStyle w:val="TE-Normal"/>
        <w:rPr/>
      </w:pPr>
      <w:r>
        <w:rPr/>
        <w:t>O TCC II abrange a implementação do protótipo, a construção dos pares de teste e a aplicação preliminar dos critérios de avaliação — etapas já delimitadas nos Capítulos 5 e 6, mas cujo calendário depende do cronograma institucional da disciplina, ainda não divulgado. O Quadro 6 apresenta essas etapas em ordem sequencial de dependência, sem semanas fixas.</w:t>
      </w:r>
    </w:p>
    <w:p>
      <w:pPr>
        <w:pStyle w:val="TE-LegendaQuadro"/>
        <w:numPr>
          <w:ilvl w:val="0"/>
          <w:numId w:val="9"/>
        </w:numPr>
        <w:rPr/>
      </w:pPr>
      <w:r>
        <w:rPr/>
        <w:t>Cronograma do TCC II</w:t>
      </w:r>
    </w:p>
    <w:tbl>
      <w:tblPr>
        <w:tblStyle w:val="Tabelacomgrade"/>
        <w:tblW w:w="9070" w:type="dxa"/>
        <w:tblLook w:val="04A0" w:firstRow="1" w:lastRow="0" w:firstColumn="1" w:lastColumn="0" w:noHBand="0" w:noVBand="1"/>
      </w:tblPr>
      <w:tblGrid>
        <w:gridCol w:w="900"/>
        <w:gridCol w:w="5470"/>
        <w:gridCol w:w="2700"/>
      </w:tblGrid>
      <w:tr>
        <w:tc>
          <w:tcPr>
            <w:tcW w:w="900" w:type="dxa"/>
          </w:tcPr>
          <w:p>
            <w:pPr>
              <w:pStyle w:val="TE-CorpoTabela"/>
              <w:jc w:val="center"/>
              <w:rPr/>
            </w:pPr>
            <w:r>
              <w:rPr>
                <w:b/>
              </w:rPr>
              <w:t>Etapa</w:t>
            </w:r>
          </w:p>
        </w:tc>
        <w:tc>
          <w:tcPr>
            <w:tcW w:w="5470" w:type="dxa"/>
          </w:tcPr>
          <w:p>
            <w:pPr>
              <w:pStyle w:val="TE-CorpoTabela"/>
              <w:jc w:val="center"/>
              <w:rPr/>
            </w:pPr>
            <w:r>
              <w:rPr>
                <w:b/>
              </w:rPr>
              <w:t>Atividade</w:t>
            </w:r>
          </w:p>
        </w:tc>
        <w:tc>
          <w:tcPr>
            <w:tcW w:w="2700" w:type="dxa"/>
          </w:tcPr>
          <w:p>
            <w:pPr>
              <w:pStyle w:val="TE-CorpoTabela"/>
              <w:jc w:val="center"/>
              <w:rPr/>
            </w:pPr>
            <w:r>
              <w:rPr>
                <w:b/>
              </w:rPr>
              <w:t>Depende de</w:t>
            </w:r>
          </w:p>
        </w:tc>
      </w:tr>
      <w:tr>
        <w:tc>
          <w:tcPr>
            <w:tcW w:w="900" w:type="dxa"/>
          </w:tcPr>
          <w:p>
            <w:pPr>
              <w:pStyle w:val="TE-CorpoTabela"/>
              <w:rPr/>
            </w:pPr>
            <w:r>
              <w:rPr/>
              <w:t>1</w:t>
            </w:r>
          </w:p>
        </w:tc>
        <w:tc>
          <w:tcPr>
            <w:tcW w:w="5470" w:type="dxa"/>
          </w:tcPr>
          <w:p>
            <w:pPr>
              <w:pStyle w:val="TE-CorpoTabela"/>
              <w:rPr/>
            </w:pPr>
            <w:r>
              <w:rPr/>
              <w:t>Implementação dos componentes do protótipo (Leitor MusicXML, Extrator de Representação, Indexador de Sementes, Motor de Busca e Extensão, Pontuador e Gerador de Relatório)</w:t>
            </w:r>
          </w:p>
        </w:tc>
        <w:tc>
          <w:tcPr>
            <w:tcW w:w="2700" w:type="dxa"/>
          </w:tcPr>
          <w:p>
            <w:pPr>
              <w:pStyle w:val="TE-CorpoTabela"/>
              <w:rPr/>
            </w:pPr>
            <w:r>
              <w:rPr/>
              <w:t>Modelagem do Capítulo 5</w:t>
            </w:r>
          </w:p>
        </w:tc>
      </w:tr>
      <w:tr>
        <w:tc>
          <w:tcPr>
            <w:tcW w:w="900" w:type="dxa"/>
          </w:tcPr>
          <w:p>
            <w:pPr>
              <w:pStyle w:val="TE-CorpoTabela"/>
              <w:rPr/>
            </w:pPr>
            <w:r>
              <w:rPr/>
              <w:t>2</w:t>
            </w:r>
          </w:p>
        </w:tc>
        <w:tc>
          <w:tcPr>
            <w:tcW w:w="5470" w:type="dxa"/>
          </w:tcPr>
          <w:p>
            <w:pPr>
              <w:pStyle w:val="TE-CorpoTabela"/>
              <w:rPr/>
            </w:pPr>
            <w:r>
              <w:rPr/>
              <w:t>Calibração dos sete parâmetros do método sobre o subconjunto de calibração</w:t>
            </w:r>
          </w:p>
        </w:tc>
        <w:tc>
          <w:tcPr>
            <w:tcW w:w="2700" w:type="dxa"/>
          </w:tcPr>
          <w:p>
            <w:pPr>
              <w:pStyle w:val="TE-CorpoTabela"/>
              <w:rPr/>
            </w:pPr>
            <w:r>
              <w:rPr/>
              <w:t>Etapas 1 e 3</w:t>
            </w:r>
          </w:p>
        </w:tc>
      </w:tr>
      <w:tr>
        <w:tc>
          <w:tcPr>
            <w:tcW w:w="900" w:type="dxa"/>
          </w:tcPr>
          <w:p>
            <w:pPr>
              <w:pStyle w:val="TE-CorpoTabela"/>
              <w:rPr/>
            </w:pPr>
            <w:r>
              <w:rPr/>
              <w:t>3</w:t>
            </w:r>
          </w:p>
        </w:tc>
        <w:tc>
          <w:tcPr>
            <w:tcW w:w="5470" w:type="dxa"/>
          </w:tcPr>
          <w:p>
            <w:pPr>
              <w:pStyle w:val="TE-CorpoTabela"/>
              <w:rPr/>
            </w:pPr>
            <w:r>
              <w:rPr/>
              <w:t>Construção dos dois conjuntos de teste e divisão do corpus em calibração e avaliação</w:t>
            </w:r>
          </w:p>
        </w:tc>
        <w:tc>
          <w:tcPr>
            <w:tcW w:w="2700" w:type="dxa"/>
          </w:tcPr>
          <w:p>
            <w:pPr>
              <w:pStyle w:val="TE-CorpoTabela"/>
              <w:rPr/>
            </w:pPr>
            <w:r>
              <w:rPr/>
              <w:t>Corpus (Seção 6.2)</w:t>
            </w:r>
          </w:p>
        </w:tc>
      </w:tr>
      <w:tr>
        <w:tc>
          <w:tcPr>
            <w:tcW w:w="900" w:type="dxa"/>
          </w:tcPr>
          <w:p>
            <w:pPr>
              <w:pStyle w:val="TE-CorpoTabela"/>
              <w:rPr/>
            </w:pPr>
            <w:r>
              <w:rPr/>
              <w:t>4</w:t>
            </w:r>
          </w:p>
        </w:tc>
        <w:tc>
          <w:tcPr>
            <w:tcW w:w="5470" w:type="dxa"/>
          </w:tcPr>
          <w:p>
            <w:pPr>
              <w:pStyle w:val="TE-CorpoTabela"/>
              <w:rPr/>
            </w:pPr>
            <w:r>
              <w:rPr/>
              <w:t>Aplicação preliminar dos critérios de avaliação e comparação com o Smith-Waterman</w:t>
            </w:r>
          </w:p>
        </w:tc>
        <w:tc>
          <w:tcPr>
            <w:tcW w:w="2700" w:type="dxa"/>
          </w:tcPr>
          <w:p>
            <w:pPr>
              <w:pStyle w:val="TE-CorpoTabela"/>
              <w:rPr/>
            </w:pPr>
            <w:r>
              <w:rPr/>
              <w:t>Etapas 1 a 3</w:t>
            </w:r>
          </w:p>
        </w:tc>
      </w:tr>
      <w:tr>
        <w:tc>
          <w:tcPr>
            <w:tcW w:w="900" w:type="dxa"/>
          </w:tcPr>
          <w:p>
            <w:pPr>
              <w:pStyle w:val="TE-CorpoTabela"/>
              <w:rPr/>
            </w:pPr>
            <w:r>
              <w:rPr/>
              <w:t>5</w:t>
            </w:r>
          </w:p>
        </w:tc>
        <w:tc>
          <w:tcPr>
            <w:tcW w:w="5470" w:type="dxa"/>
          </w:tcPr>
          <w:p>
            <w:pPr>
              <w:pStyle w:val="TE-CorpoTabela"/>
              <w:rPr/>
            </w:pPr>
            <w:r>
              <w:rPr/>
              <w:t>Redação dos capítulos de resultados e conclusão</w:t>
            </w:r>
          </w:p>
        </w:tc>
        <w:tc>
          <w:tcPr>
            <w:tcW w:w="2700" w:type="dxa"/>
          </w:tcPr>
          <w:p>
            <w:pPr>
              <w:pStyle w:val="TE-CorpoTabela"/>
              <w:rPr/>
            </w:pPr>
            <w:r>
              <w:rPr/>
              <w:t>Etapa 4</w:t>
            </w:r>
          </w:p>
        </w:tc>
      </w:tr>
    </w:tbl>
    <w:p>
      <w:pPr>
        <w:pStyle w:val="TE-FonteFiguraQuadroTabela"/>
        <w:rPr/>
      </w:pPr>
      <w:r>
        <w:rPr/>
        <w:t>Fonte: elaborado pelo autor (2026).</w:t>
      </w:r>
    </w:p>
    <w:p>
      <w:pPr>
        <w:sectPr>
          <w:headerReference w:type="even" r:id="rId37"/>
          <w:headerReference w:type="default" r:id="rId38"/>
          <w:headerReference w:type="first" r:id="rId39"/>
          <w:footnotePr>
            <w:numFmt w:val="decimal"/>
          </w:footnotePr>
          <w:type w:val="nextPage"/>
          <w:pgSz w:w="11906" w:h="16838"/>
          <w:pgMar w:left="1701" w:right="1134" w:gutter="0" w:header="720" w:top="1701" w:footer="0" w:bottom="1531"/>
          <w:pgNumType w:fmt="decimal"/>
          <w:formProt w:val="false"/>
          <w:titlePg/>
          <w:textDirection w:val="lrTb"/>
          <w:docGrid w:type="default" w:linePitch="100" w:charSpace="8192"/>
        </w:sectPr>
        <w:pStyle w:val="Normal"/>
        <w:rPr>
          <w:sz w:val="26"/>
        </w:rPr>
      </w:pPr>
      <w:r>
        <w:rPr>
          <w:sz w:val="26"/>
        </w:rPr>
      </w:r>
      <w:r>
        <w:br w:type="page"/>
      </w:r>
    </w:p>
    <w:p>
      <w:pPr>
        <w:pStyle w:val="TP-TituloCentralizadoPos"/>
        <w:numPr>
          <w:ilvl w:val="4"/>
          <w:numId w:val="3"/>
        </w:numPr>
        <w:rPr/>
      </w:pPr>
      <w:bookmarkStart w:id="71" w:name="__RefHeading___Toc984_1503872338"/>
      <w:bookmarkStart w:id="72" w:name="_Toc238404403"/>
      <w:bookmarkStart w:id="73" w:name="_Toc527798510"/>
      <w:bookmarkStart w:id="74" w:name="_Toc527795414"/>
      <w:bookmarkStart w:id="75" w:name="_Toc527793681"/>
      <w:bookmarkStart w:id="76" w:name="_Toc527721628"/>
      <w:bookmarkEnd w:id="71"/>
      <w:r>
        <w:rPr/>
        <w:t>Referências</w:t>
      </w:r>
      <w:bookmarkEnd w:id="72"/>
      <w:bookmarkEnd w:id="73"/>
      <w:bookmarkEnd w:id="74"/>
      <w:bookmarkEnd w:id="75"/>
      <w:bookmarkEnd w:id="76"/>
      <w:r>
        <w:rPr/>
        <w:t xml:space="preserve"> </w:t>
      </w:r>
    </w:p>
    <w:p>
      <w:pPr>
        <w:pStyle w:val="PT-Referencias"/>
        <w:rPr>
          <w:lang w:val="en-US"/>
        </w:rPr>
      </w:pPr>
      <w:r>
        <w:rPr>
          <w:lang w:val="en-US"/>
        </w:rPr>
        <w:t xml:space="preserve">ALTSCHUL, S. F. et al. Basic local alignment search tool. </w:t>
      </w:r>
      <w:r>
        <w:rPr>
          <w:b/>
          <w:bCs/>
          <w:lang w:val="en-US"/>
        </w:rPr>
        <w:t xml:space="preserve">Journal of Molecular Biology</w:t>
      </w:r>
      <w:r>
        <w:rPr>
          <w:lang w:val="en-US"/>
        </w:rPr>
        <w:t xml:space="preserve">, v. 215, n. 3, p. 403-410, 1990.</w:t>
      </w:r>
    </w:p>
    <w:p>
      <w:pPr>
        <w:pStyle w:val="PT-Referencias"/>
        <w:rPr>
          <w:lang w:val="en-US"/>
        </w:rPr>
      </w:pPr>
      <w:r>
        <w:rPr>
          <w:lang w:val="en-US"/>
        </w:rPr>
        <w:t xml:space="preserve">ALTSCHUL, S. F. et al. Gapped BLAST and PSI-BLAST: a new generation of protein database search programs. </w:t>
      </w:r>
      <w:r>
        <w:rPr>
          <w:b/>
          <w:bCs/>
          <w:lang w:val="en-US"/>
        </w:rPr>
        <w:t xml:space="preserve">Nucleic Acids Research</w:t>
      </w:r>
      <w:r>
        <w:rPr>
          <w:lang w:val="en-US"/>
        </w:rPr>
        <w:t xml:space="preserve">, v. 25, n. 17, p. 3389-3402, 1997.</w:t>
      </w:r>
    </w:p>
    <w:p>
      <w:pPr>
        <w:pStyle w:val="PT-Referencias"/>
        <w:rPr>
          <w:lang w:val="en-US"/>
        </w:rPr>
      </w:pPr>
      <w:r>
        <w:rPr>
          <w:lang w:val="en-US"/>
        </w:rPr>
        <w:t xml:space="preserve">BOUNTOURIDIS, D. et al. Melody retrieval and classification using biologically-inspired techniques. In: CORREIA, J.; CIESIELSKI, V.; LIAPIS, A. (ed.). </w:t>
      </w:r>
      <w:r>
        <w:rPr>
          <w:b/>
          <w:bCs/>
          <w:lang w:val="en-US"/>
        </w:rPr>
        <w:t xml:space="preserve">Computational intelligence in music, sound, art and design</w:t>
      </w:r>
      <w:r>
        <w:rPr>
          <w:lang w:val="en-US"/>
        </w:rPr>
        <w:t xml:space="preserve">: EvoMUSART 2017. Cham: Springer, 2017. p. 49-64. (Lecture Notes in Computer Science, v. 10198).</w:t>
      </w:r>
    </w:p>
    <w:p>
      <w:pPr>
        <w:pStyle w:val="PT-Referencias"/>
        <w:rPr>
          <w:lang w:val="en-US"/>
        </w:rPr>
      </w:pPr>
      <w:r>
        <w:rPr>
          <w:lang w:val="en-US"/>
        </w:rPr>
        <w:t xml:space="preserve">CUTHBERT, M. S.; ARIZA, C. Music21: a toolkit for computer-aided musicology and symbolic music data. In: INTERNATIONAL SOCIETY FOR MUSIC INFORMATION RETRIEVAL CONFERENCE (ISMIR), 11., 2010, Utrecht. </w:t>
      </w:r>
      <w:r>
        <w:rPr>
          <w:b/>
          <w:bCs/>
          <w:lang w:val="en-US"/>
        </w:rPr>
        <w:t xml:space="preserve">Anais [...]</w:t>
      </w:r>
      <w:r>
        <w:rPr>
          <w:lang w:val="en-US"/>
        </w:rPr>
        <w:t xml:space="preserve">. [S.l.]: ISMIR, 2010. p. 637-642.</w:t>
      </w:r>
    </w:p>
    <w:p>
      <w:pPr>
        <w:pStyle w:val="PT-Referencias"/>
        <w:rPr>
          <w:lang w:val="en-US"/>
        </w:rPr>
      </w:pPr>
      <w:r>
        <w:rPr>
          <w:lang w:val="en-US"/>
        </w:rPr>
        <w:t xml:space="preserve">DOWLING, W. J. Recognition of melodic transformations: inversion, retrograde, and retrograde inversion. </w:t>
      </w:r>
      <w:r>
        <w:rPr>
          <w:b/>
          <w:bCs/>
          <w:lang w:val="en-US"/>
        </w:rPr>
        <w:t>Perception &amp; Psychophysics</w:t>
      </w:r>
      <w:r>
        <w:rPr>
          <w:lang w:val="en-US"/>
        </w:rPr>
        <w:t xml:space="preserve">, v. 12, p. 417-421, 1972.</w:t>
      </w:r>
    </w:p>
    <w:p>
      <w:pPr>
        <w:pStyle w:val="PT-Referencias"/>
        <w:rPr>
          <w:lang w:val="en-US"/>
        </w:rPr>
      </w:pPr>
      <w:r>
        <w:rPr>
          <w:lang w:val="en-US"/>
        </w:rPr>
        <w:t xml:space="preserve">FOSCARIN, F.; JACQUEMARD, F.; FOURNIER-S'NIEHOTTA, R. A </w:t>
      </w:r>
      <w:r>
        <w:rPr>
          <w:i/>
          <w:iCs/>
          <w:lang w:val="en-US"/>
        </w:rPr>
        <w:t xml:space="preserve">diff</w:t>
      </w:r>
      <w:r>
        <w:rPr>
          <w:lang w:val="en-US"/>
        </w:rPr>
        <w:t xml:space="preserve"> procedure for music score files. In: INTERNATIONAL CONFERENCE ON DIGITAL LIBRARIES FOR MUSICOLOGY (DLfM), 6., 2019, Haia. </w:t>
      </w:r>
      <w:r>
        <w:rPr>
          <w:b/>
          <w:bCs/>
          <w:lang w:val="en-US"/>
        </w:rPr>
        <w:t xml:space="preserve">Anais [...]</w:t>
      </w:r>
      <w:r>
        <w:rPr>
          <w:lang w:val="en-US"/>
        </w:rPr>
        <w:t xml:space="preserve">. New York: ACM, 2019. p. 58-64.</w:t>
      </w:r>
    </w:p>
    <w:p>
      <w:pPr>
        <w:pStyle w:val="PT-Referencias"/>
        <w:rPr>
          <w:lang w:val="en-US"/>
        </w:rPr>
      </w:pPr>
      <w:r>
        <w:rPr>
          <w:lang w:val="en-US"/>
        </w:rPr>
        <w:t xml:space="preserve">FRISCH, W. </w:t>
      </w:r>
      <w:r>
        <w:rPr>
          <w:b/>
          <w:bCs/>
          <w:lang w:val="en-US"/>
        </w:rPr>
        <w:t xml:space="preserve">Brahms and the principle of </w:t>
      </w:r>
      <w:r>
        <w:rPr>
          <w:b/>
          <w:bCs/>
          <w:i/>
          <w:iCs/>
          <w:lang w:val="en-US"/>
        </w:rPr>
        <w:t xml:space="preserve">developing variation</w:t>
      </w:r>
      <w:r>
        <w:rPr>
          <w:lang w:val="en-US"/>
        </w:rPr>
        <w:t xml:space="preserve">. Berkeley: University of California Press, 1984. (California Studies in 19th-Century Music, v. 2).</w:t>
      </w:r>
    </w:p>
    <w:p>
      <w:pPr>
        <w:pStyle w:val="PT-Referencias"/>
        <w:rPr>
          <w:lang w:val="en-US"/>
        </w:rPr>
      </w:pPr>
      <w:r>
        <w:rPr>
          <w:lang w:val="en-US"/>
        </w:rPr>
        <w:t xml:space="preserve">GIL, Antonio Carlos. </w:t>
      </w:r>
      <w:r>
        <w:rPr>
          <w:b/>
          <w:bCs/>
          <w:lang w:val="en-US"/>
        </w:rPr>
        <w:t xml:space="preserve">Como elaborar projetos de pesquisa</w:t>
      </w:r>
      <w:r>
        <w:rPr>
          <w:lang w:val="en-US"/>
        </w:rPr>
        <w:t xml:space="preserve">. 4. ed. São Paulo: Atlas, 2002.</w:t>
      </w:r>
    </w:p>
    <w:p>
      <w:pPr>
        <w:pStyle w:val="PT-Referencias"/>
        <w:rPr>
          <w:lang w:val="en-US"/>
        </w:rPr>
      </w:pPr>
      <w:r>
        <w:rPr>
          <w:lang w:val="en-US"/>
        </w:rPr>
        <w:t xml:space="preserve">HEVNER, A. R.; MARCH, S. T.; PARK, J.; RAM, S. Design science in information systems research. </w:t>
      </w:r>
      <w:r>
        <w:rPr>
          <w:b/>
          <w:bCs/>
          <w:lang w:val="en-US"/>
        </w:rPr>
        <w:t xml:space="preserve">MIS Quarterly</w:t>
      </w:r>
      <w:r>
        <w:rPr>
          <w:lang w:val="en-US"/>
        </w:rPr>
        <w:t xml:space="preserve">, v. 28, n. 1, p. 75-105, 2004.</w:t>
      </w:r>
    </w:p>
    <w:p>
      <w:pPr>
        <w:pStyle w:val="PT-Referencias"/>
        <w:rPr>
          <w:lang w:val="en-US"/>
        </w:rPr>
      </w:pPr>
      <w:r>
        <w:rPr>
          <w:lang w:val="en-US"/>
        </w:rPr>
        <w:t xml:space="preserve">JANSSEN, B.; VAN KRANENBURG, P.; VOLK, A. Finding occurrences of melodic segments in folk songs employing symbolic similarity measures. </w:t>
      </w:r>
      <w:r>
        <w:rPr>
          <w:b/>
          <w:bCs/>
          <w:lang w:val="en-US"/>
        </w:rPr>
        <w:t xml:space="preserve">Journal of New Music Research</w:t>
      </w:r>
      <w:r>
        <w:rPr>
          <w:lang w:val="en-US"/>
        </w:rPr>
        <w:t xml:space="preserve">, v. 46, n. 2, p. 118-134, 2017.</w:t>
      </w:r>
    </w:p>
    <w:p>
      <w:pPr>
        <w:pStyle w:val="PT-Referencias"/>
        <w:rPr>
          <w:lang w:val="en-US"/>
        </w:rPr>
      </w:pPr>
      <w:r>
        <w:rPr>
          <w:lang w:val="en-US"/>
        </w:rPr>
        <w:t xml:space="preserve">KILIAN, J.; HOOS, H. H. MusicBLAST: gapped sequence alignment for MIR. In: INTERNATIONAL CONFERENCE ON MUSIC INFORMATION RETRIEVAL (ISMIR), 5., 2004, Barcelona. </w:t>
      </w:r>
      <w:r>
        <w:rPr>
          <w:b/>
          <w:bCs/>
          <w:lang w:val="en-US"/>
        </w:rPr>
        <w:t xml:space="preserve">Anais [...]</w:t>
      </w:r>
      <w:r>
        <w:rPr>
          <w:lang w:val="en-US"/>
        </w:rPr>
        <w:t xml:space="preserve">. Barcelona: Universitat Pompeu Fabra, 2004. p. 38-39.</w:t>
      </w:r>
    </w:p>
    <w:p>
      <w:pPr>
        <w:pStyle w:val="PT-Referencias"/>
        <w:rPr>
          <w:lang w:val="en-US"/>
        </w:rPr>
      </w:pPr>
      <w:r>
        <w:rPr>
          <w:lang w:val="en-US"/>
        </w:rPr>
        <w:t xml:space="preserve">MEREDITH, D.; LEMSTRÖM, K.; WIGGINS, G. A. Algorithms for discovering repeated patterns in multidimensional representations of polyphonic music. </w:t>
      </w:r>
      <w:r>
        <w:rPr>
          <w:b/>
          <w:bCs/>
          <w:lang w:val="en-US"/>
        </w:rPr>
        <w:t xml:space="preserve">Journal of New Music Research</w:t>
      </w:r>
      <w:r>
        <w:rPr>
          <w:lang w:val="en-US"/>
        </w:rPr>
        <w:t xml:space="preserve">, v. 31, n. 4, p. 321-345, 2002.</w:t>
      </w:r>
    </w:p>
    <w:p>
      <w:pPr>
        <w:pStyle w:val="PT-Referencias"/>
        <w:rPr>
          <w:lang w:val="en-US"/>
        </w:rPr>
      </w:pPr>
      <w:r>
        <w:rPr>
          <w:lang w:val="en-US"/>
        </w:rPr>
        <w:t xml:space="preserve">MONGEAU, M.; SANKOFF, D. Comparison of musical sequences. </w:t>
      </w:r>
      <w:r>
        <w:rPr>
          <w:b/>
          <w:bCs/>
          <w:lang w:val="en-US"/>
        </w:rPr>
        <w:t xml:space="preserve">Computers and the Humanities</w:t>
      </w:r>
      <w:r>
        <w:rPr>
          <w:lang w:val="en-US"/>
        </w:rPr>
        <w:t xml:space="preserve">, v. 24, p. 161-175, 1990.</w:t>
      </w:r>
    </w:p>
    <w:p>
      <w:pPr>
        <w:pStyle w:val="PT-Referencias"/>
        <w:rPr>
          <w:lang w:val="en-US"/>
        </w:rPr>
      </w:pPr>
      <w:r>
        <w:rPr>
          <w:lang w:val="en-US"/>
        </w:rPr>
        <w:t xml:space="preserve">NARMOUR, E. </w:t>
      </w:r>
      <w:r>
        <w:rPr>
          <w:b/>
          <w:bCs/>
          <w:lang w:val="en-US"/>
        </w:rPr>
        <w:t xml:space="preserve">The analysis and cognition of basic melodic structures</w:t>
      </w:r>
      <w:r>
        <w:rPr>
          <w:lang w:val="en-US"/>
        </w:rPr>
        <w:t xml:space="preserve">: the implication-realization model. Chicago: University of Chicago Press, 1990.</w:t>
      </w:r>
    </w:p>
    <w:p>
      <w:pPr>
        <w:pStyle w:val="PT-Referencias"/>
        <w:rPr>
          <w:lang w:val="en-US"/>
        </w:rPr>
      </w:pPr>
      <w:r>
        <w:rPr>
          <w:lang w:val="en-US"/>
        </w:rPr>
        <w:t xml:space="preserve">NEEDLEMAN, S. B.; WUNSCH, C. D. A general method applicable to the search for similarities in the amino acid sequence of two proteins. </w:t>
      </w:r>
      <w:r>
        <w:rPr>
          <w:b/>
          <w:bCs/>
          <w:lang w:val="en-US"/>
        </w:rPr>
        <w:t xml:space="preserve">Journal of Molecular Biology</w:t>
      </w:r>
      <w:r>
        <w:rPr>
          <w:lang w:val="en-US"/>
        </w:rPr>
        <w:t xml:space="preserve">, v. 48, n. 3, p. 443-453, 1970.</w:t>
      </w:r>
    </w:p>
    <w:p>
      <w:pPr>
        <w:pStyle w:val="PT-Referencias"/>
        <w:rPr>
          <w:lang w:val="en-US"/>
        </w:rPr>
      </w:pPr>
      <w:r>
        <w:rPr>
          <w:lang w:val="en-US"/>
        </w:rPr>
        <w:t xml:space="preserve">PHIPSON, B.; SMYTH, G. K. Permutation p-values should never be zero: calculating exact p-values when permutations are randomly drawn. </w:t>
      </w:r>
      <w:r>
        <w:rPr>
          <w:b/>
          <w:bCs/>
          <w:lang w:val="en-US"/>
        </w:rPr>
        <w:t>Statistical Applications in Genetics and Molecular Biology</w:t>
      </w:r>
      <w:r>
        <w:rPr>
          <w:lang w:val="en-US"/>
        </w:rPr>
        <w:t xml:space="preserve">, v. 9, n. 1, art. 39, 2010.</w:t>
      </w:r>
    </w:p>
    <w:p>
      <w:pPr>
        <w:pStyle w:val="PT-Referencias"/>
        <w:rPr>
          <w:lang w:val="en-US"/>
        </w:rPr>
      </w:pPr>
      <w:r>
        <w:rPr>
          <w:lang w:val="en-US"/>
        </w:rPr>
        <w:t xml:space="preserve">RÉTI, R. </w:t>
      </w:r>
      <w:r>
        <w:rPr>
          <w:b/>
          <w:bCs/>
          <w:lang w:val="en-US"/>
        </w:rPr>
        <w:t xml:space="preserve">The thematic process in music</w:t>
      </w:r>
      <w:r>
        <w:rPr>
          <w:lang w:val="en-US"/>
        </w:rPr>
        <w:t xml:space="preserve">. New York: Macmillan, 1951.</w:t>
      </w:r>
    </w:p>
    <w:p>
      <w:pPr>
        <w:pStyle w:val="PT-Referencias"/>
        <w:rPr>
          <w:lang w:val="en-US"/>
        </w:rPr>
      </w:pPr>
      <w:r>
        <w:rPr>
          <w:lang w:val="en-US"/>
        </w:rPr>
        <w:t xml:space="preserve">SCHOENBERG, A. </w:t>
      </w:r>
      <w:r>
        <w:rPr>
          <w:b/>
          <w:bCs/>
          <w:lang w:val="en-US"/>
        </w:rPr>
        <w:t xml:space="preserve">Fundamentals of musical composition</w:t>
      </w:r>
      <w:r>
        <w:rPr>
          <w:lang w:val="en-US"/>
        </w:rPr>
        <w:t xml:space="preserve">. Ed. Gerald Strang, com a colaboração de Leonard Stein. Londres: Faber and Faber, 1967.</w:t>
      </w:r>
    </w:p>
    <w:p>
      <w:pPr>
        <w:pStyle w:val="PT-Referencias"/>
        <w:rPr>
          <w:lang w:val="en-US"/>
        </w:rPr>
      </w:pPr>
      <w:r>
        <w:rPr>
          <w:lang w:val="en-US"/>
        </w:rPr>
        <w:t xml:space="preserve">SMITH, T. F.; WATERMAN, M. S. Identification of common molecular subsequences. </w:t>
      </w:r>
      <w:r>
        <w:rPr>
          <w:b/>
          <w:bCs/>
          <w:lang w:val="en-US"/>
        </w:rPr>
        <w:t xml:space="preserve">Journal of Molecular Biology</w:t>
      </w:r>
      <w:r>
        <w:rPr>
          <w:lang w:val="en-US"/>
        </w:rPr>
        <w:t xml:space="preserve">, v. 147, n. 1, p. 195-197, 1981.</w:t>
      </w:r>
    </w:p>
    <w:p>
      <w:pPr>
        <w:pStyle w:val="PT-Referencias"/>
        <w:rPr>
          <w:lang w:val="en-US"/>
        </w:rPr>
      </w:pPr>
      <w:r>
        <w:rPr>
          <w:lang w:val="en-US"/>
        </w:rPr>
        <w:t xml:space="preserve">WOOTTON, J. C.; FEDERHEN, S. Statistics of local complexity in amino acid sequences and sequence databases. </w:t>
      </w:r>
      <w:r>
        <w:rPr>
          <w:b/>
          <w:bCs/>
          <w:lang w:val="en-US"/>
        </w:rPr>
        <w:t xml:space="preserve">Computers &amp; Chemistry</w:t>
      </w:r>
      <w:r>
        <w:rPr>
          <w:lang w:val="en-US"/>
        </w:rPr>
        <w:t xml:space="preserve">, v. 17, n. 2, p. 149-163, 1993.</w:t>
      </w:r>
    </w:p>
    <w:p>
      <w:pPr>
        <w:pStyle w:val="PT-Referencias"/>
        <w:rPr>
          <w:lang w:val="en-US"/>
        </w:rPr>
      </w:pPr>
      <w:r>
        <w:rPr>
          <w:lang w:val="en-US"/>
        </w:rPr>
        <w:t xml:space="preserve">ZHU, T. et al. A novel local alignment-based approach to motif extraction in polyphonic music. In: INTERNATIONAL SYMPOSIUM ON COMPUTER MUSIC MULTIDISCIPLINARY RESEARCH (CMMR), 16., 2023, Tóquio. </w:t>
      </w:r>
      <w:r>
        <w:rPr>
          <w:b/>
          <w:bCs/>
          <w:lang w:val="en-US"/>
        </w:rPr>
        <w:t xml:space="preserve">Music and Sound Generation in the AI Era</w:t>
      </w:r>
      <w:r>
        <w:rPr>
          <w:lang w:val="en-US"/>
        </w:rPr>
        <w:t xml:space="preserve">. Cham: Springer, 2026. p. 378-389. (Lecture Notes in Computer Science, v. 15236).</w:t>
      </w:r>
    </w:p>
    <w:p>
      <w:pPr>
        <w:pStyle w:val="PT-Referencias"/>
        <w:rPr/>
      </w:pPr>
    </w:p>
    <w:sectPr>
      <w:headerReference w:type="even" r:id="rId40"/>
      <w:headerReference w:type="default" r:id="rId41"/>
      <w:headerReference w:type="first" r:id="rId42"/>
      <w:footnotePr>
        <w:numFmt w:val="decimal"/>
      </w:footnotePr>
      <w:type w:val="nextPage"/>
      <w:pgSz w:w="11906" w:h="16838"/>
      <w:pgMar w:left="1701" w:right="1134" w:gutter="0" w:header="720" w:top="1701" w:footer="0" w:bottom="1531"/>
      <w:pgNumType w:fmt="decimal"/>
      <w:formProt w:val="false"/>
      <w:titlePg/>
      <w:textDirection w:val="lrTb"/>
      <w:docGrid w:type="default" w:linePitch="100" w:charSpace="8192"/>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StarBats">
    <w:charset w:val="00"/>
    <w:family w:val="roman"/>
    <w:pitch w:val="variable"/>
  </w:font>
  <w:font w:name="Tahoma">
    <w:charset w:val="00"/>
    <w:family w:val="roman"/>
    <w:pitch w:val="variable"/>
  </w:font>
  <w:font w:name="Liberation Sans">
    <w:altName w:val="Arial"/>
    <w:charset w:val="00"/>
    <w:family w:val="swiss"/>
    <w:pitch w:val="variable"/>
  </w:font>
  <w:font w:name="Calibri">
    <w:charset w:val="00"/>
    <w:family w:val="roman"/>
    <w:pitch w:val="variable"/>
  </w:font>
  <w:font w:name="Courier New">
    <w:charset w:val="00"/>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Caracteresdenotaderodap"/>
        </w:rPr>
        <w:footnoteRef/>
      </w:r>
      <w:r>
        <w:rPr/>
        <w:tab/>
        <w:t xml:space="preserve"> </w:t>
      </w:r>
      <w:r>
        <w:rPr/>
        <w:t>Na bioinformática, duas sequências são consideradas homólogas quando descendem de uma origem evolutiva comum, o que costuma se refletir em semelhança estrutural ou funcional entre elas.</w:t>
      </w:r>
    </w:p>
  </w:footnote>
  <w:footnote w:id="3">
    <w:p>
      <w:pPr>
        <w:pStyle w:val="FootnoteText"/>
        <w:rPr/>
      </w:pPr>
      <w:r>
        <w:rPr>
          <w:rStyle w:val="Caracteresdenotaderodap"/>
        </w:rPr>
        <w:footnoteRef/>
      </w:r>
      <w:r>
        <w:rPr/>
        <w:tab/>
        <w:t xml:space="preserve"> </w:t>
      </w:r>
      <w:r>
        <w:rPr/>
        <w:t>Técnica de resolução de problemas que consiste em dividi-los em subproblemas menores e sobrepostos, resolvendo e armazenando a solução de cada subproblema uma única vez para reaproveitá-la sempre que necessário, em vez de recalculá-la repetidamente.</w:t>
      </w:r>
    </w:p>
  </w:footnote>
  <w:footnote w:id="4">
    <w:p>
      <w:pPr>
        <w:pStyle w:val="FootnoteText"/>
        <w:rPr/>
      </w:pPr>
      <w:r>
        <w:rPr>
          <w:rStyle w:val="Caracteresdenotaderodap"/>
        </w:rPr>
        <w:footnoteRef/>
      </w:r>
      <w:r>
        <w:rPr/>
        <w:tab/>
        <w:t xml:space="preserve"> Esta contagem e a das melodias harmonizadas mais de uma vez (Seção 6.3) foram obtidas por um script em Python sobre o music21, disponível no repositório do projeto (github.com/pedro-schabarum/motif-align, </w:t>
      </w:r>
      <w:r>
        <w:rPr>
          <w:highlight w:val="yellow"/>
        </w:rPr>
        <w:t>scripts/levantamento_corpus.py — confirmar caminho após o commit</w:t>
      </w:r>
      <w:r>
        <w:rPr/>
        <w: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2" name="Quadro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927114894"/>
    </w:sdtPr>
    <w:sdtContent>
      <w:p>
        <w:pPr>
          <w:pStyle w:val="Header"/>
          <w:rPr/>
        </w:pPr>
        <w:r>
          <w:rPr/>
          <w:fldChar w:fldCharType="begin"/>
        </w:r>
        <w:r>
          <w:rPr/>
          <w:instrText xml:space="preserve"> PAGE </w:instrText>
        </w:r>
        <w:r>
          <w:rPr/>
          <w:fldChar w:fldCharType="separate"/>
        </w:r>
        <w:r>
          <w:rPr/>
          <w:t>2</w:t>
        </w:r>
        <w:r>
          <w:rPr/>
          <w:fldChar w:fldCharType="end"/>
        </w:r>
      </w:p>
    </w:sdtContent>
  </w:sdt>
  <w:p>
    <w:pPr>
      <w:pStyle w:val="Header"/>
      <w:jc w:val="lef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3" name="Quadro3"/>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83104891"/>
    </w:sdtPr>
    <w:sdtContent>
      <w:p>
        <w:pPr>
          <w:pStyle w:val="Header"/>
          <w:rPr/>
        </w:pPr>
        <w:r>
          <w:rPr/>
          <w:fldChar w:fldCharType="begin"/>
        </w:r>
        <w:r>
          <w:rPr/>
          <w:instrText xml:space="preserve"> PAGE </w:instrText>
        </w:r>
        <w:r>
          <w:rPr/>
          <w:fldChar w:fldCharType="separate"/>
        </w:r>
        <w:r>
          <w:rPr/>
          <w:t>iv</w:t>
        </w:r>
        <w:r>
          <w:rPr/>
          <w:fldChar w:fldCharType="end"/>
        </w:r>
      </w:p>
    </w:sdtContent>
  </w:sdt>
  <w:p>
    <w:pPr>
      <w:pStyle w:val="Header"/>
      <w:jc w:val="left"/>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659389568"/>
    </w:sdtPr>
    <w:sdtContent>
      <w:p>
        <w:pPr>
          <w:pStyle w:val="Header"/>
          <w:rPr/>
        </w:pPr>
        <w:r>
          <w:rPr/>
          <w:fldChar w:fldCharType="begin"/>
        </w:r>
        <w:r>
          <w:rPr/>
          <w:instrText xml:space="preserve"> PAGE </w:instrText>
        </w:r>
        <w:r>
          <w:rPr/>
          <w:fldChar w:fldCharType="separate"/>
        </w:r>
        <w:r>
          <w:rPr/>
          <w:t>iv</w:t>
        </w:r>
        <w:r>
          <w:rPr/>
          <w:fldChar w:fldCharType="end"/>
        </w:r>
      </w:p>
      <w:p>
        <w:pPr>
          <w:pStyle w:val="Header"/>
          <w:jc w:val="left"/>
          <w:rPr/>
        </w:pPr>
        <w:r>
          <w:rPr/>
        </w:r>
      </w:p>
    </w:sdtContent>
  </w:sdt>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fldSimple w:instr=" PAGE ">
      <w:r>
        <w:rPr/>
        <w:t>iii</w:t>
      </w:r>
    </w:fldSimple>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v</w:t>
    </w:r>
    <w:r>
      <w:rPr>
        <w:rStyle w:val="Pagenumber"/>
      </w:rPr>
      <w:fldChar w:fldCharType="end"/>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fldSimple w:instr=" PAGE ">
      <w:r>
        <w:rPr/>
        <w:t>v</w:t>
      </w:r>
    </w:fldSimple>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vi</w:t>
    </w:r>
    <w:r>
      <w:rPr>
        <w:rStyle w:val="Pagenumber"/>
      </w:rPr>
      <w:fldChar w:fldCharType="end"/>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fldSimple w:instr=" PAGE ">
      <w:r>
        <w:rPr/>
        <w:t>vi</w:t>
      </w:r>
    </w:fldSimple>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vii</w:t>
    </w:r>
    <w:r>
      <w:rPr>
        <w:rStyle w:val="Pagenumber"/>
      </w:rPr>
      <w:fldChar w:fldCharType="end"/>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fldSimple w:instr=" PAGE ">
      <w:r>
        <w:rPr/>
        <w:t>vii</w:t>
      </w:r>
    </w:fldSimple>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viii</w:t>
    </w:r>
    <w:r>
      <w:rPr>
        <w:rStyle w:val="Pagenumber"/>
      </w:rPr>
      <w:fldChar w:fldCharType="end"/>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fldSimple w:instr=" PAGE ">
      <w:r>
        <w:rPr/>
        <w:t>viii</w:t>
      </w:r>
    </w:fldSimple>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Style w:val="Pagenumber"/>
      </w:rPr>
    </w:pPr>
    <w:fldSimple w:instr=" PAGE ">
      <w:r>
        <w:rPr>
          <w:rStyle w:val="Pagenumber"/>
        </w:rPr>
        <w:t>x</w:t>
      </w:r>
    </w:fldSimple>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fldSimple w:instr=" PAGE ">
      <w:r>
        <w:rPr/>
        <w:t>ix</w:t>
      </w:r>
    </w:fldSimple>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833337339"/>
    </w:sdtPr>
    <w:sdtContent>
      <w:p>
        <w:pPr>
          <w:pStyle w:val="Header"/>
          <w:rPr/>
        </w:pPr>
        <w:r>
          <w:rPr/>
          <w:fldChar w:fldCharType="begin"/>
        </w:r>
        <w:r>
          <w:rPr/>
          <w:instrText xml:space="preserve"> PAGE </w:instrText>
        </w:r>
        <w:r>
          <w:rPr/>
          <w:fldChar w:fldCharType="separate"/>
        </w:r>
        <w:r>
          <w:rPr/>
          <w:t>1</w:t>
        </w:r>
        <w:r>
          <w:rPr/>
          <w:fldChar w:fldCharType="end"/>
        </w:r>
      </w:p>
    </w:sdtContent>
  </w:sdt>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833337339"/>
    </w:sdtPr>
    <w:sdtContent>
      <w:p>
        <w:pPr>
          <w:pStyle w:val="Header"/>
          <w:rPr/>
        </w:pPr>
        <w:r>
          <w:rPr/>
          <w:fldChar w:fldCharType="begin"/>
        </w:r>
        <w:r>
          <w:rPr/>
          <w:instrText xml:space="preserve"> PAGE </w:instrText>
        </w:r>
        <w:r>
          <w:rPr/>
          <w:fldChar w:fldCharType="separate"/>
        </w:r>
        <w:r>
          <w:rPr/>
          <w:t>8</w:t>
        </w:r>
        <w:r>
          <w:rPr/>
          <w:fldChar w:fldCharType="end"/>
        </w:r>
      </w:p>
    </w:sdtContent>
  </w:sdt>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833337339"/>
    </w:sdtPr>
    <w:sdtContent>
      <w:p>
        <w:pPr>
          <w:pStyle w:val="Header"/>
          <w:rPr/>
        </w:pPr>
        <w:r>
          <w:rPr/>
          <w:fldChar w:fldCharType="begin"/>
        </w:r>
        <w:r>
          <w:rPr/>
          <w:instrText xml:space="preserve"> PAGE </w:instrText>
        </w:r>
        <w:r>
          <w:rPr/>
          <w:fldChar w:fldCharType="separate"/>
        </w:r>
        <w:r>
          <w:rPr/>
          <w:t>12</w:t>
        </w:r>
        <w:r>
          <w:rPr/>
          <w:fldChar w:fldCharType="end"/>
        </w:r>
      </w:p>
    </w:sdtContent>
  </w:sdt>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26</w:t>
    </w:r>
    <w:r>
      <w:rPr>
        <w:rStyle w:val="Pagenumber"/>
      </w:rPr>
      <w:fldChar w:fldCharType="end"/>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833337339"/>
    </w:sdtPr>
    <w:sdtContent>
      <w:p>
        <w:pPr>
          <w:pStyle w:val="Header"/>
          <w:rPr/>
        </w:pPr>
        <w:r>
          <w:rPr/>
          <w:fldChar w:fldCharType="begin"/>
        </w:r>
        <w:r>
          <w:rPr/>
          <w:instrText xml:space="preserve"> PAGE </w:instrText>
        </w:r>
        <w:r>
          <w:rPr/>
          <w:fldChar w:fldCharType="separate"/>
        </w:r>
        <w:r>
          <w:rPr/>
          <w:t>17</w:t>
        </w:r>
        <w:r>
          <w:rPr/>
          <w:fldChar w:fldCharType="end"/>
        </w:r>
      </w:p>
    </w:sdtContent>
  </w:sdt>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28</w:t>
    </w:r>
    <w:r>
      <w:rPr>
        <w:rStyle w:val="Pagenumber"/>
      </w:rPr>
      <w:fldChar w:fldCharType="end"/>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833337339"/>
    </w:sdtPr>
    <w:sdtContent>
      <w:p>
        <w:pPr>
          <w:pStyle w:val="Header"/>
          <w:rPr/>
        </w:pPr>
        <w:r>
          <w:rPr/>
          <w:fldChar w:fldCharType="begin"/>
        </w:r>
        <w:r>
          <w:rPr/>
          <w:instrText xml:space="preserve"> PAGE </w:instrText>
        </w:r>
        <w:r>
          <w:rPr/>
          <w:fldChar w:fldCharType="separate"/>
        </w:r>
        <w:r>
          <w:rPr/>
          <w:t>27</w:t>
        </w:r>
        <w:r>
          <w:rPr/>
          <w:fldChar w:fldCharType="end"/>
        </w:r>
      </w:p>
    </w:sdtContent>
  </w:sdt>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30</w:t>
    </w:r>
    <w:r>
      <w:rPr>
        <w:rStyle w:val="Pagenumber"/>
      </w:rPr>
      <w:fldChar w:fldCharType="end"/>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833337339"/>
    </w:sdtPr>
    <w:sdtContent>
      <w:p>
        <w:pPr>
          <w:pStyle w:val="Header"/>
          <w:rPr/>
        </w:pPr>
        <w:r>
          <w:rPr/>
          <w:fldChar w:fldCharType="begin"/>
        </w:r>
        <w:r>
          <w:rPr/>
          <w:instrText xml:space="preserve"> PAGE </w:instrText>
        </w:r>
        <w:r>
          <w:rPr/>
          <w:fldChar w:fldCharType="separate"/>
        </w:r>
        <w:r>
          <w:rPr/>
          <w:t>29</w:t>
        </w:r>
        <w:r>
          <w:rPr/>
          <w:fldChar w:fldCharType="end"/>
        </w:r>
      </w:p>
    </w:sdtContent>
  </w:sdt>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833337339"/>
    </w:sdtPr>
    <w:sdtContent>
      <w:p>
        <w:pPr>
          <w:pStyle w:val="Header"/>
          <w:rPr/>
        </w:pPr>
        <w:r>
          <w:rPr/>
          <w:fldChar w:fldCharType="begin"/>
        </w:r>
        <w:r>
          <w:rPr/>
          <w:instrText xml:space="preserve"> PAGE </w:instrText>
        </w:r>
        <w:r>
          <w:rPr/>
          <w:fldChar w:fldCharType="separate"/>
        </w:r>
        <w:r>
          <w:rPr/>
          <w:t>31</w:t>
        </w:r>
        <w:r>
          <w:rPr/>
          <w:fldChar w:fldCharType="end"/>
        </w:r>
      </w:p>
    </w:sdtContent>
  </w:sdt>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sz w:val="26"/>
        <w:i w:val="false"/>
        <w:b w:val="false"/>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lowerLetter"/>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lowerLetter"/>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suff w:val="space"/>
      <w:lvlText w:val="%1 "/>
      <w:lvlJc w:val="left"/>
      <w:pPr>
        <w:tabs>
          <w:tab w:val="num" w:pos="0"/>
        </w:tabs>
        <w:ind w:left="1985" w:hanging="283"/>
      </w:pPr>
      <w:rPr/>
    </w:lvl>
    <w:lvl w:ilvl="1">
      <w:start w:val="1"/>
      <w:numFmt w:val="decimal"/>
      <w:suff w:val="space"/>
      <w:lvlText w:val="%1.%2 "/>
      <w:lvlJc w:val="left"/>
      <w:pPr>
        <w:tabs>
          <w:tab w:val="num" w:pos="0"/>
        </w:tabs>
        <w:ind w:left="0" w:hanging="0"/>
      </w:pPr>
      <w:rPr/>
    </w:lvl>
    <w:lvl w:ilvl="2">
      <w:start w:val="1"/>
      <w:numFmt w:val="decimal"/>
      <w:suff w:val="space"/>
      <w:lvlText w:val="%1.%2.%3 "/>
      <w:lvlJc w:val="left"/>
      <w:pPr>
        <w:tabs>
          <w:tab w:val="num" w:pos="0"/>
        </w:tabs>
        <w:ind w:left="993" w:hanging="0"/>
      </w:pPr>
      <w:rPr/>
    </w:lvl>
    <w:lvl w:ilvl="3">
      <w:start w:val="1"/>
      <w:numFmt w:val="decimal"/>
      <w:suff w:val="space"/>
      <w:lvlText w:val="%1.%2.%3.%4 "/>
      <w:lvlJc w:val="left"/>
      <w:pPr>
        <w:tabs>
          <w:tab w:val="num" w:pos="0"/>
        </w:tabs>
        <w:ind w:left="0" w:hanging="0"/>
      </w:pPr>
      <w:rPr/>
    </w:lvl>
    <w:lvl w:ilvl="4">
      <w:start w:val="1"/>
      <w:numFmt w:val="decimal"/>
      <w:suff w:val="space"/>
      <w:lvlText w:val="%1.%2.%3.%4.%5 "/>
      <w:lvlJc w:val="left"/>
      <w:pPr>
        <w:tabs>
          <w:tab w:val="num" w:pos="0"/>
        </w:tabs>
        <w:ind w:left="0" w:hanging="0"/>
      </w:pPr>
      <w:rPr/>
    </w:lvl>
    <w:lvl w:ilvl="5">
      <w:start w:val="1"/>
      <w:numFmt w:val="decimal"/>
      <w:suff w:val="nothing"/>
      <w:lvlText w:val="%1.%2.%3.%4.%5.%6"/>
      <w:lvlJc w:val="left"/>
      <w:pPr>
        <w:tabs>
          <w:tab w:val="num" w:pos="0"/>
        </w:tabs>
        <w:ind w:left="1415" w:hanging="0"/>
      </w:pPr>
      <w:rPr/>
    </w:lvl>
    <w:lvl w:ilvl="6">
      <w:start w:val="1"/>
      <w:numFmt w:val="decimal"/>
      <w:suff w:val="nothing"/>
      <w:lvlText w:val="%1.%2.%3.%4.%5.%6.%7"/>
      <w:lvlJc w:val="left"/>
      <w:pPr>
        <w:tabs>
          <w:tab w:val="num" w:pos="0"/>
        </w:tabs>
        <w:ind w:left="1698" w:hanging="0"/>
      </w:pPr>
      <w:rPr/>
    </w:lvl>
    <w:lvl w:ilvl="7">
      <w:start w:val="1"/>
      <w:numFmt w:val="decimal"/>
      <w:suff w:val="nothing"/>
      <w:lvlText w:val="%1.%2.%3.%4.%5.%6.%7.%8"/>
      <w:lvlJc w:val="left"/>
      <w:pPr>
        <w:tabs>
          <w:tab w:val="num" w:pos="0"/>
        </w:tabs>
        <w:ind w:left="1981" w:hanging="0"/>
      </w:pPr>
      <w:rPr/>
    </w:lvl>
    <w:lvl w:ilvl="8">
      <w:start w:val="1"/>
      <w:numFmt w:val="decimal"/>
      <w:suff w:val="nothing"/>
      <w:lvlText w:val="%1.%2.%3.%4.%5.%6.%7.%8.%9"/>
      <w:lvlJc w:val="left"/>
      <w:pPr>
        <w:tabs>
          <w:tab w:val="num" w:pos="0"/>
        </w:tabs>
        <w:ind w:left="2264" w:hanging="0"/>
      </w:pPr>
      <w:rPr/>
    </w:lvl>
  </w:abstractNum>
  <w:abstractNum w:abstractNumId="7">
    <w:lvl w:ilvl="0">
      <w:start w:val="1"/>
      <w:numFmt w:val="decimal"/>
      <w:lvlText w:val="FIGURA %1 - "/>
      <w:lvlJc w:val="left"/>
      <w:pPr>
        <w:tabs>
          <w:tab w:val="num" w:pos="1418"/>
        </w:tabs>
        <w:ind w:left="2722" w:hanging="1304"/>
      </w:pPr>
      <w:rPr>
        <w:sz w:val="22"/>
        <w:i w:val="false"/>
        <w:b/>
        <w:szCs w:val="22"/>
        <w:rFonts w:ascii="Times New Roman" w:hAnsi="Times New Roman"/>
      </w:rPr>
    </w:lvl>
    <w:lvl w:ilvl="1">
      <w:start w:val="1"/>
      <w:numFmt w:val="lowerLetter"/>
      <w:lvlText w:val="%2."/>
      <w:lvlJc w:val="left"/>
      <w:pPr>
        <w:tabs>
          <w:tab w:val="num" w:pos="2149"/>
        </w:tabs>
        <w:ind w:left="2149" w:hanging="360"/>
      </w:pPr>
      <w:rPr/>
    </w:lvl>
    <w:lvl w:ilvl="2">
      <w:start w:val="1"/>
      <w:numFmt w:val="lowerRoman"/>
      <w:lvlText w:val="%3."/>
      <w:lvlJc w:val="right"/>
      <w:pPr>
        <w:tabs>
          <w:tab w:val="num" w:pos="2869"/>
        </w:tabs>
        <w:ind w:left="2869" w:hanging="180"/>
      </w:pPr>
      <w:rPr/>
    </w:lvl>
    <w:lvl w:ilvl="3">
      <w:start w:val="1"/>
      <w:numFmt w:val="decimal"/>
      <w:lvlText w:val="%4."/>
      <w:lvlJc w:val="left"/>
      <w:pPr>
        <w:tabs>
          <w:tab w:val="num" w:pos="3589"/>
        </w:tabs>
        <w:ind w:left="3589" w:hanging="360"/>
      </w:pPr>
      <w:rPr/>
    </w:lvl>
    <w:lvl w:ilvl="4">
      <w:start w:val="1"/>
      <w:numFmt w:val="lowerLetter"/>
      <w:lvlText w:val="%5."/>
      <w:lvlJc w:val="left"/>
      <w:pPr>
        <w:tabs>
          <w:tab w:val="num" w:pos="4309"/>
        </w:tabs>
        <w:ind w:left="4309" w:hanging="360"/>
      </w:pPr>
      <w:rPr/>
    </w:lvl>
    <w:lvl w:ilvl="5">
      <w:start w:val="1"/>
      <w:numFmt w:val="lowerRoman"/>
      <w:lvlText w:val="%6."/>
      <w:lvlJc w:val="right"/>
      <w:pPr>
        <w:tabs>
          <w:tab w:val="num" w:pos="5029"/>
        </w:tabs>
        <w:ind w:left="5029" w:hanging="180"/>
      </w:pPr>
      <w:rPr/>
    </w:lvl>
    <w:lvl w:ilvl="6">
      <w:start w:val="1"/>
      <w:numFmt w:val="decimal"/>
      <w:lvlText w:val="%7."/>
      <w:lvlJc w:val="left"/>
      <w:pPr>
        <w:tabs>
          <w:tab w:val="num" w:pos="5749"/>
        </w:tabs>
        <w:ind w:left="5749" w:hanging="360"/>
      </w:pPr>
      <w:rPr/>
    </w:lvl>
    <w:lvl w:ilvl="7">
      <w:start w:val="1"/>
      <w:numFmt w:val="lowerLetter"/>
      <w:lvlText w:val="%8."/>
      <w:lvlJc w:val="left"/>
      <w:pPr>
        <w:tabs>
          <w:tab w:val="num" w:pos="6469"/>
        </w:tabs>
        <w:ind w:left="6469" w:hanging="360"/>
      </w:pPr>
      <w:rPr/>
    </w:lvl>
    <w:lvl w:ilvl="8">
      <w:start w:val="1"/>
      <w:numFmt w:val="lowerRoman"/>
      <w:lvlText w:val="%9."/>
      <w:lvlJc w:val="right"/>
      <w:pPr>
        <w:tabs>
          <w:tab w:val="num" w:pos="7189"/>
        </w:tabs>
        <w:ind w:left="7189" w:hanging="180"/>
      </w:pPr>
      <w:rPr/>
    </w:lvl>
  </w:abstractNum>
  <w:abstractNum w:abstractNumId="8">
    <w:lvl w:ilvl="0">
      <w:start w:val="1"/>
      <w:numFmt w:val="decimal"/>
      <w:lvlText w:val="TABELA %1 - "/>
      <w:lvlJc w:val="left"/>
      <w:pPr>
        <w:tabs>
          <w:tab w:val="num" w:pos="0"/>
        </w:tabs>
        <w:ind w:left="1531" w:hanging="1531"/>
      </w:pPr>
      <w:rPr>
        <w:sz w:val="22"/>
        <w:i w:val="false"/>
        <w:b/>
        <w:szCs w:val="22"/>
        <w:rFonts w:ascii="Times New Roman" w:hAnsi="Times New Roman"/>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9">
    <w:lvl w:ilvl="0">
      <w:start w:val="1"/>
      <w:numFmt w:val="decimal"/>
      <w:lvlText w:val="QUADRO %1 - "/>
      <w:lvlJc w:val="left"/>
      <w:pPr>
        <w:tabs>
          <w:tab w:val="num" w:pos="737"/>
        </w:tabs>
        <w:ind w:left="1531" w:hanging="1531"/>
      </w:pPr>
      <w:rPr>
        <w:sz w:val="22"/>
        <w:i w:val="false"/>
        <w:b/>
        <w:szCs w:val="22"/>
        <w:rFonts w:ascii="Times New Roman" w:hAnsi="Times New Roman"/>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5"/>
    <w:lvlOverride w:ilvl="0">
      <w:startOverride w:val="1"/>
    </w:lvlOverride>
  </w:num>
</w:numbering>
</file>

<file path=word/settings.xml><?xml version="1.0" encoding="utf-8"?>
<w:settings xmlns:w="http://schemas.openxmlformats.org/wordprocessingml/2006/main">
  <w:zoom w:percent="140"/>
  <w:defaultTabStop w:val="709"/>
  <w:autoHyphenation w:val="true"/>
  <w:doNotHyphenateCaps/>
  <w:hyphenationZone w:val="425"/>
  <w:updateFields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BR" w:eastAsia="pt-B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219a4"/>
    <w:pPr>
      <w:widowControl/>
      <w:suppressAutoHyphens w:val="true"/>
      <w:bidi w:val="0"/>
      <w:spacing w:before="0" w:after="0"/>
      <w:jc w:val="left"/>
    </w:pPr>
    <w:rPr>
      <w:rFonts w:ascii="Times New Roman" w:hAnsi="Times New Roman" w:eastAsia="Times New Roman" w:cs="Times New Roman"/>
      <w:color w:val="auto"/>
      <w:kern w:val="0"/>
      <w:sz w:val="20"/>
      <w:szCs w:val="20"/>
      <w:lang w:val="pt-BR" w:eastAsia="pt-BR" w:bidi="ar-SA"/>
    </w:rPr>
  </w:style>
  <w:style w:type="paragraph" w:styleId="Heading1">
    <w:name w:val="Heading 1"/>
    <w:basedOn w:val="Title"/>
    <w:next w:val="Corpodotexto"/>
    <w:qFormat/>
    <w:rsid w:val="004e60c4"/>
    <w:pPr>
      <w:outlineLvl w:val="0"/>
    </w:pPr>
    <w:rPr>
      <w:b/>
      <w:sz w:val="32"/>
    </w:rPr>
  </w:style>
  <w:style w:type="paragraph" w:styleId="Heading2">
    <w:name w:val="Heading 2"/>
    <w:basedOn w:val="Normal"/>
    <w:next w:val="Normal"/>
    <w:qFormat/>
    <w:rsid w:val="004e60c4"/>
    <w:pPr>
      <w:keepNext w:val="true"/>
      <w:spacing w:before="240" w:after="60"/>
      <w:outlineLvl w:val="1"/>
    </w:pPr>
    <w:rPr>
      <w:rFonts w:ascii="Arial" w:hAnsi="Arial"/>
      <w:b/>
      <w:i/>
      <w:sz w:val="24"/>
    </w:rPr>
  </w:style>
  <w:style w:type="paragraph" w:styleId="Heading3">
    <w:name w:val="Heading 3"/>
    <w:basedOn w:val="Normal"/>
    <w:next w:val="Normal"/>
    <w:qFormat/>
    <w:rsid w:val="004e60c4"/>
    <w:pPr>
      <w:keepNext w:val="true"/>
      <w:spacing w:before="240" w:after="60"/>
      <w:outlineLvl w:val="2"/>
    </w:pPr>
    <w:rPr>
      <w:rFonts w:ascii="Arial" w:hAnsi="Arial"/>
      <w:sz w:val="24"/>
    </w:rPr>
  </w:style>
  <w:style w:type="paragraph" w:styleId="Heading4">
    <w:name w:val="Heading 4"/>
    <w:basedOn w:val="Normal"/>
    <w:next w:val="Normal"/>
    <w:qFormat/>
    <w:rsid w:val="004e60c4"/>
    <w:pPr>
      <w:keepNext w:val="true"/>
      <w:spacing w:before="240" w:after="60"/>
      <w:outlineLvl w:val="3"/>
    </w:pPr>
    <w:rPr>
      <w:rFonts w:ascii="Arial" w:hAnsi="Arial"/>
      <w:b/>
      <w:sz w:val="24"/>
    </w:rPr>
  </w:style>
  <w:style w:type="paragraph" w:styleId="Heading5">
    <w:name w:val="Heading 5"/>
    <w:basedOn w:val="Normal"/>
    <w:next w:val="Normal"/>
    <w:qFormat/>
    <w:rsid w:val="004e60c4"/>
    <w:pPr>
      <w:spacing w:before="240" w:after="60"/>
      <w:outlineLvl w:val="4"/>
    </w:pPr>
    <w:rPr>
      <w:sz w:val="22"/>
    </w:rPr>
  </w:style>
  <w:style w:type="paragraph" w:styleId="Heading6">
    <w:name w:val="Heading 6"/>
    <w:basedOn w:val="Normal"/>
    <w:next w:val="Normal"/>
    <w:qFormat/>
    <w:rsid w:val="004e60c4"/>
    <w:pPr>
      <w:spacing w:before="240" w:after="60"/>
      <w:outlineLvl w:val="5"/>
    </w:pPr>
    <w:rPr>
      <w:i/>
      <w:sz w:val="22"/>
    </w:rPr>
  </w:style>
  <w:style w:type="paragraph" w:styleId="Heading7">
    <w:name w:val="Heading 7"/>
    <w:basedOn w:val="Normal"/>
    <w:next w:val="Normal"/>
    <w:qFormat/>
    <w:rsid w:val="004e60c4"/>
    <w:pPr>
      <w:spacing w:before="240" w:after="60"/>
      <w:outlineLvl w:val="6"/>
    </w:pPr>
    <w:rPr>
      <w:rFonts w:ascii="Arial" w:hAnsi="Arial"/>
    </w:rPr>
  </w:style>
  <w:style w:type="paragraph" w:styleId="Heading8">
    <w:name w:val="Heading 8"/>
    <w:basedOn w:val="Normal"/>
    <w:next w:val="Normal"/>
    <w:qFormat/>
    <w:rsid w:val="004e60c4"/>
    <w:pPr>
      <w:spacing w:before="240" w:after="60"/>
      <w:outlineLvl w:val="7"/>
    </w:pPr>
    <w:rPr>
      <w:rFonts w:ascii="Arial" w:hAnsi="Arial"/>
      <w:i/>
    </w:rPr>
  </w:style>
  <w:style w:type="paragraph" w:styleId="Heading9">
    <w:name w:val="Heading 9"/>
    <w:basedOn w:val="Normal"/>
    <w:next w:val="Normal"/>
    <w:qFormat/>
    <w:rsid w:val="004e60c4"/>
    <w:pPr>
      <w:spacing w:before="240" w:after="60"/>
      <w:outlineLvl w:val="8"/>
    </w:pPr>
    <w:rPr>
      <w:rFonts w:ascii="Arial" w:hAnsi="Arial"/>
      <w:b/>
      <w:i/>
      <w:sz w:val="18"/>
    </w:rPr>
  </w:style>
  <w:style w:type="character" w:styleId="DefaultParagraphFont" w:default="1">
    <w:name w:val="Default Paragraph Font"/>
    <w:uiPriority w:val="1"/>
    <w:semiHidden/>
    <w:unhideWhenUsed/>
    <w:qFormat/>
    <w:rPr/>
  </w:style>
  <w:style w:type="character" w:styleId="Marcasenmeros" w:customStyle="1">
    <w:name w:val="Marcas e números"/>
    <w:qFormat/>
    <w:rsid w:val="004e60c4"/>
    <w:rPr>
      <w:rFonts w:ascii="StarBats" w:hAnsi="StarBats"/>
      <w:sz w:val="18"/>
    </w:rPr>
  </w:style>
  <w:style w:type="character" w:styleId="Caracteresdenumerao" w:customStyle="1">
    <w:name w:val="Caracteres de numeração"/>
    <w:qFormat/>
    <w:rsid w:val="004e60c4"/>
    <w:rPr/>
  </w:style>
  <w:style w:type="character" w:styleId="Smbolodenotaderodap" w:customStyle="1">
    <w:name w:val="Símbolo de nota de rodapé"/>
    <w:qFormat/>
    <w:rsid w:val="004e60c4"/>
    <w:rPr/>
  </w:style>
  <w:style w:type="character" w:styleId="Ncoraparanotaderodap" w:customStyle="1">
    <w:name w:val="Âncora para nota de rodapé"/>
    <w:qFormat/>
    <w:rsid w:val="004e60c4"/>
    <w:rPr>
      <w:vertAlign w:val="superscript"/>
    </w:rPr>
  </w:style>
  <w:style w:type="character" w:styleId="Caracteresdenotadefim">
    <w:name w:val="Caracteres de nota de fim"/>
    <w:basedOn w:val="DefaultParagraphFont"/>
    <w:semiHidden/>
    <w:qFormat/>
    <w:rsid w:val="004e60c4"/>
    <w:rPr>
      <w:vertAlign w:val="superscript"/>
    </w:rPr>
  </w:style>
  <w:style w:type="character" w:styleId="EndnoteReference">
    <w:name w:val="Endnote Reference"/>
    <w:rPr>
      <w:vertAlign w:val="superscript"/>
    </w:rPr>
  </w:style>
  <w:style w:type="character" w:styleId="Caracteresdenotaderodap">
    <w:name w:val="Caracteres de nota de rodapé"/>
    <w:basedOn w:val="DefaultParagraphFont"/>
    <w:semiHidden/>
    <w:qFormat/>
    <w:rsid w:val="004e60c4"/>
    <w:rPr>
      <w:vertAlign w:val="superscript"/>
    </w:rPr>
  </w:style>
  <w:style w:type="character" w:styleId="FootnoteReference">
    <w:name w:val="Footnote Reference"/>
    <w:rPr>
      <w:vertAlign w:val="superscript"/>
    </w:rPr>
  </w:style>
  <w:style w:type="character" w:styleId="Pagenumber">
    <w:name w:val="page number"/>
    <w:basedOn w:val="DefaultParagraphFont"/>
    <w:qFormat/>
    <w:rsid w:val="004e60c4"/>
    <w:rPr/>
  </w:style>
  <w:style w:type="character" w:styleId="TE-LegendaQuadroChar" w:customStyle="1">
    <w:name w:val="TE-LegendaQuadro Char"/>
    <w:basedOn w:val="DefaultParagraphFont"/>
    <w:link w:val="TE-LegendaQuadro"/>
    <w:qFormat/>
    <w:rsid w:val="0041607b"/>
    <w:rPr>
      <w:sz w:val="22"/>
    </w:rPr>
  </w:style>
  <w:style w:type="character" w:styleId="TextodebaloChar" w:customStyle="1">
    <w:name w:val="Texto de balão Char"/>
    <w:basedOn w:val="DefaultParagraphFont"/>
    <w:link w:val="BalloonText"/>
    <w:uiPriority w:val="99"/>
    <w:semiHidden/>
    <w:qFormat/>
    <w:rsid w:val="002e57a4"/>
    <w:rPr>
      <w:rFonts w:ascii="Tahoma" w:hAnsi="Tahoma" w:cs="Tahoma"/>
      <w:sz w:val="16"/>
      <w:szCs w:val="16"/>
    </w:rPr>
  </w:style>
  <w:style w:type="character" w:styleId="Annotationreference">
    <w:name w:val="annotation reference"/>
    <w:basedOn w:val="DefaultParagraphFont"/>
    <w:uiPriority w:val="99"/>
    <w:semiHidden/>
    <w:unhideWhenUsed/>
    <w:qFormat/>
    <w:rsid w:val="007219a4"/>
    <w:rPr>
      <w:sz w:val="16"/>
      <w:szCs w:val="16"/>
    </w:rPr>
  </w:style>
  <w:style w:type="character" w:styleId="TextodecomentrioChar" w:customStyle="1">
    <w:name w:val="Texto de comentário Char"/>
    <w:basedOn w:val="DefaultParagraphFont"/>
    <w:link w:val="Annotationtext"/>
    <w:uiPriority w:val="99"/>
    <w:qFormat/>
    <w:rsid w:val="007219a4"/>
    <w:rPr/>
  </w:style>
  <w:style w:type="character" w:styleId="AssuntodocomentrioChar" w:customStyle="1">
    <w:name w:val="Assunto do comentário Char"/>
    <w:basedOn w:val="TextodecomentrioChar"/>
    <w:link w:val="Annotationsubject"/>
    <w:uiPriority w:val="99"/>
    <w:semiHidden/>
    <w:qFormat/>
    <w:rsid w:val="007219a4"/>
    <w:rPr>
      <w:b/>
      <w:bCs/>
    </w:rPr>
  </w:style>
  <w:style w:type="character" w:styleId="CabealhoChar" w:customStyle="1">
    <w:name w:val="Cabeçalho Char"/>
    <w:basedOn w:val="DefaultParagraphFont"/>
    <w:uiPriority w:val="99"/>
    <w:qFormat/>
    <w:rsid w:val="007219a4"/>
    <w:rPr>
      <w:sz w:val="24"/>
    </w:rPr>
  </w:style>
  <w:style w:type="character" w:styleId="T3-TituloTerciarioChar" w:customStyle="1">
    <w:name w:val="T3-TituloTerciario Char"/>
    <w:basedOn w:val="DefaultParagraphFont"/>
    <w:link w:val="T3-TituloTerciario"/>
    <w:qFormat/>
    <w:rsid w:val="00f5552e"/>
    <w:rPr>
      <w:i/>
      <w:sz w:val="26"/>
    </w:rPr>
  </w:style>
  <w:style w:type="character" w:styleId="Sub-subttuloChar" w:customStyle="1">
    <w:name w:val="Sub-subtítulo Char"/>
    <w:basedOn w:val="T3-TituloTerciarioChar"/>
    <w:link w:val="Sub-subttulo"/>
    <w:qFormat/>
    <w:rsid w:val="00f5552e"/>
    <w:rPr>
      <w:i/>
      <w:sz w:val="26"/>
    </w:rPr>
  </w:style>
  <w:style w:type="character" w:styleId="T2-TituloSecundarioChar" w:customStyle="1">
    <w:name w:val="T2-TituloSecundario Char"/>
    <w:basedOn w:val="DefaultParagraphFont"/>
    <w:link w:val="T2-TituloSecundario"/>
    <w:qFormat/>
    <w:rsid w:val="00f5552e"/>
    <w:rPr>
      <w:b/>
      <w:sz w:val="26"/>
    </w:rPr>
  </w:style>
  <w:style w:type="character" w:styleId="SubttulChar" w:customStyle="1">
    <w:name w:val="Subtítul Char"/>
    <w:basedOn w:val="T2-TituloSecundarioChar"/>
    <w:link w:val="Subttul"/>
    <w:qFormat/>
    <w:rsid w:val="00f5552e"/>
    <w:rPr>
      <w:b/>
      <w:sz w:val="26"/>
    </w:rPr>
  </w:style>
  <w:style w:type="character" w:styleId="T1-TituloPrimarioChar" w:customStyle="1">
    <w:name w:val="T1-TituloPrimario Char"/>
    <w:basedOn w:val="DefaultParagraphFont"/>
    <w:link w:val="T1-TituloPrimario"/>
    <w:qFormat/>
    <w:rsid w:val="00f5552e"/>
    <w:rPr>
      <w:b/>
      <w:caps/>
      <w:sz w:val="26"/>
    </w:rPr>
  </w:style>
  <w:style w:type="character" w:styleId="Ttulo-Char" w:customStyle="1">
    <w:name w:val="Título- Char"/>
    <w:basedOn w:val="T1-TituloPrimarioChar"/>
    <w:link w:val="Ttulo-"/>
    <w:qFormat/>
    <w:rsid w:val="00f5552e"/>
    <w:rPr>
      <w:b/>
      <w:caps/>
      <w:sz w:val="26"/>
    </w:rPr>
  </w:style>
  <w:style w:type="character" w:styleId="Ttulo-tccChar" w:customStyle="1">
    <w:name w:val="Título-tcc Char"/>
    <w:basedOn w:val="Ttulo-Char"/>
    <w:link w:val="Ttulo-tcc"/>
    <w:qFormat/>
    <w:rsid w:val="00f5552e"/>
    <w:rPr>
      <w:b/>
      <w:caps/>
      <w:sz w:val="26"/>
    </w:rPr>
  </w:style>
  <w:style w:type="character" w:styleId="Vnculodendice">
    <w:name w:val="Vínculo de índice"/>
    <w:qFormat/>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Corpodotexto"/>
    <w:rsid w:val="004e60c4"/>
    <w:pPr/>
    <w:rPr/>
  </w:style>
  <w:style w:type="paragraph" w:styleId="Caption">
    <w:name w:val="Caption"/>
    <w:basedOn w:val="Normal"/>
    <w:qFormat/>
    <w:pPr>
      <w:suppressLineNumbers/>
      <w:spacing w:before="120" w:after="120"/>
    </w:pPr>
    <w:rPr>
      <w:rFonts w:cs="Lucida Sans"/>
      <w:i/>
      <w:iCs/>
      <w:sz w:val="24"/>
      <w:szCs w:val="24"/>
    </w:rPr>
  </w:style>
  <w:style w:type="paragraph" w:styleId="Ndice" w:customStyle="1">
    <w:name w:val="Índice"/>
    <w:basedOn w:val="Padro"/>
    <w:qFormat/>
    <w:rsid w:val="004e60c4"/>
    <w:pPr/>
    <w:rPr/>
  </w:style>
  <w:style w:type="paragraph" w:styleId="Title">
    <w:name w:val="Title"/>
    <w:basedOn w:val="Padro"/>
    <w:next w:val="Corpodotexto"/>
    <w:qFormat/>
    <w:rsid w:val="004e60c4"/>
    <w:pPr>
      <w:keepNext w:val="true"/>
      <w:spacing w:before="240" w:after="120"/>
    </w:pPr>
    <w:rPr>
      <w:rFonts w:ascii="Arial" w:hAnsi="Arial"/>
      <w:sz w:val="28"/>
    </w:rPr>
  </w:style>
  <w:style w:type="paragraph" w:styleId="Padro" w:customStyle="1">
    <w:name w:val="Padrão"/>
    <w:qFormat/>
    <w:rsid w:val="004e60c4"/>
    <w:pPr>
      <w:widowControl w:val="false"/>
      <w:bidi w:val="0"/>
      <w:spacing w:before="0" w:after="0"/>
      <w:jc w:val="left"/>
    </w:pPr>
    <w:rPr>
      <w:rFonts w:ascii="Times New Roman" w:hAnsi="Times New Roman" w:eastAsia="Times New Roman" w:cs="Times New Roman"/>
      <w:color w:val="auto"/>
      <w:kern w:val="0"/>
      <w:sz w:val="24"/>
      <w:szCs w:val="20"/>
      <w:lang w:val="pt-BR" w:eastAsia="pt-BR" w:bidi="ar-SA"/>
    </w:rPr>
  </w:style>
  <w:style w:type="paragraph" w:styleId="TE-Normal" w:customStyle="1">
    <w:name w:val="TE-Normal"/>
    <w:qFormat/>
    <w:rsid w:val="004e60c4"/>
    <w:pPr>
      <w:widowControl w:val="false"/>
      <w:bidi w:val="0"/>
      <w:spacing w:lineRule="auto" w:line="360" w:before="0" w:after="0"/>
      <w:ind w:firstLine="1009"/>
      <w:jc w:val="both"/>
    </w:pPr>
    <w:rPr>
      <w:rFonts w:ascii="Times New Roman" w:hAnsi="Times New Roman" w:eastAsia="Times New Roman" w:cs="Times New Roman"/>
      <w:color w:val="auto"/>
      <w:kern w:val="0"/>
      <w:sz w:val="26"/>
      <w:szCs w:val="20"/>
      <w:lang w:val="pt-BR" w:eastAsia="pt-BR" w:bidi="ar-SA"/>
    </w:rPr>
  </w:style>
  <w:style w:type="paragraph" w:styleId="CP-CapaCabecalho" w:customStyle="1">
    <w:name w:val="CP-CapaCabecalho"/>
    <w:next w:val="TE-Normal"/>
    <w:qFormat/>
    <w:rsid w:val="004e60c4"/>
    <w:pPr>
      <w:widowControl w:val="false"/>
      <w:bidi w:val="0"/>
      <w:spacing w:before="0" w:after="0"/>
      <w:jc w:val="center"/>
    </w:pPr>
    <w:rPr>
      <w:rFonts w:ascii="Times New Roman" w:hAnsi="Times New Roman" w:eastAsia="Times New Roman" w:cs="Times New Roman"/>
      <w:b/>
      <w:caps/>
      <w:color w:val="auto"/>
      <w:kern w:val="0"/>
      <w:sz w:val="26"/>
      <w:szCs w:val="20"/>
      <w:lang w:val="pt-BR" w:eastAsia="pt-BR" w:bidi="ar-SA"/>
    </w:rPr>
  </w:style>
  <w:style w:type="paragraph" w:styleId="CP-CapaOrientador" w:customStyle="1">
    <w:name w:val="CP-CapaOrientador"/>
    <w:next w:val="TE-Normal"/>
    <w:qFormat/>
    <w:rsid w:val="004e60c4"/>
    <w:pPr>
      <w:widowControl w:val="false"/>
      <w:bidi w:val="0"/>
      <w:spacing w:before="0" w:after="0"/>
      <w:ind w:hanging="1531" w:left="6067"/>
      <w:jc w:val="left"/>
    </w:pPr>
    <w:rPr>
      <w:rFonts w:ascii="Times New Roman" w:hAnsi="Times New Roman" w:eastAsia="Times New Roman" w:cs="Times New Roman"/>
      <w:color w:val="auto"/>
      <w:kern w:val="0"/>
      <w:sz w:val="26"/>
      <w:szCs w:val="20"/>
      <w:lang w:val="pt-BR" w:eastAsia="pt-BR" w:bidi="ar-SA"/>
    </w:rPr>
  </w:style>
  <w:style w:type="paragraph" w:styleId="CP-CapaTitulo" w:customStyle="1">
    <w:name w:val="CP-CapaTitulo"/>
    <w:next w:val="TE-Normal"/>
    <w:qFormat/>
    <w:rsid w:val="004e60c4"/>
    <w:pPr>
      <w:widowControl w:val="false"/>
      <w:bidi w:val="0"/>
      <w:spacing w:lineRule="auto" w:line="360" w:before="0" w:after="0"/>
      <w:jc w:val="center"/>
    </w:pPr>
    <w:rPr>
      <w:rFonts w:ascii="Times New Roman" w:hAnsi="Times New Roman" w:eastAsia="Times New Roman" w:cs="Times New Roman"/>
      <w:b/>
      <w:caps/>
      <w:color w:val="auto"/>
      <w:kern w:val="0"/>
      <w:sz w:val="28"/>
      <w:szCs w:val="20"/>
      <w:lang w:val="pt-BR" w:eastAsia="pt-BR" w:bidi="ar-SA"/>
    </w:rPr>
  </w:style>
  <w:style w:type="paragraph" w:styleId="CP-CapaNomeAutor" w:customStyle="1">
    <w:name w:val="CP-CapaNomeAutor"/>
    <w:next w:val="TE-Normal"/>
    <w:qFormat/>
    <w:rsid w:val="004e60c4"/>
    <w:pPr>
      <w:widowControl w:val="false"/>
      <w:bidi w:val="0"/>
      <w:spacing w:lineRule="auto" w:line="360" w:before="0" w:after="0"/>
      <w:jc w:val="center"/>
    </w:pPr>
    <w:rPr>
      <w:rFonts w:ascii="Times New Roman" w:hAnsi="Times New Roman" w:eastAsia="Times New Roman" w:cs="Times New Roman"/>
      <w:b/>
      <w:caps/>
      <w:color w:val="auto"/>
      <w:kern w:val="0"/>
      <w:sz w:val="26"/>
      <w:szCs w:val="20"/>
      <w:lang w:val="pt-BR" w:eastAsia="pt-BR" w:bidi="ar-SA"/>
    </w:rPr>
  </w:style>
  <w:style w:type="paragraph" w:styleId="CP-CapaNaturezaAcadmica" w:customStyle="1">
    <w:name w:val="CP-CapaNaturezaAcadêmica"/>
    <w:next w:val="TE-Normal"/>
    <w:qFormat/>
    <w:rsid w:val="004e60c4"/>
    <w:pPr>
      <w:widowControl w:val="false"/>
      <w:bidi w:val="0"/>
      <w:spacing w:before="0" w:after="0"/>
      <w:ind w:left="4536"/>
      <w:jc w:val="both"/>
    </w:pPr>
    <w:rPr>
      <w:rFonts w:ascii="Times New Roman" w:hAnsi="Times New Roman" w:eastAsia="Times New Roman" w:cs="Times New Roman"/>
      <w:b/>
      <w:color w:val="auto"/>
      <w:kern w:val="0"/>
      <w:sz w:val="26"/>
      <w:szCs w:val="20"/>
      <w:lang w:val="pt-BR" w:eastAsia="pt-BR" w:bidi="ar-SA"/>
    </w:rPr>
  </w:style>
  <w:style w:type="paragraph" w:styleId="CP-CapaLocaleData" w:customStyle="1">
    <w:name w:val="CP-CapaLocaleData"/>
    <w:next w:val="TE-Normal"/>
    <w:qFormat/>
    <w:rsid w:val="004e60c4"/>
    <w:pPr>
      <w:widowControl w:val="false"/>
      <w:bidi w:val="0"/>
      <w:spacing w:lineRule="auto" w:line="360" w:before="0" w:after="0"/>
      <w:jc w:val="center"/>
    </w:pPr>
    <w:rPr>
      <w:rFonts w:ascii="Times New Roman" w:hAnsi="Times New Roman" w:eastAsia="Times New Roman" w:cs="Times New Roman"/>
      <w:b/>
      <w:caps/>
      <w:color w:val="auto"/>
      <w:kern w:val="0"/>
      <w:sz w:val="26"/>
      <w:szCs w:val="20"/>
      <w:lang w:val="pt-BR" w:eastAsia="pt-BR" w:bidi="ar-SA"/>
    </w:rPr>
  </w:style>
  <w:style w:type="paragraph" w:styleId="Corpodotexto" w:customStyle="1">
    <w:name w:val="Corpo do texto"/>
    <w:basedOn w:val="Padro"/>
    <w:qFormat/>
    <w:rsid w:val="004e60c4"/>
    <w:pPr>
      <w:spacing w:before="0" w:after="120"/>
    </w:pPr>
    <w:rPr/>
  </w:style>
  <w:style w:type="paragraph" w:styleId="Contedodetabela" w:customStyle="1">
    <w:name w:val="Conteúdo de tabela"/>
    <w:basedOn w:val="Corpodotexto"/>
    <w:qFormat/>
    <w:rsid w:val="004e60c4"/>
    <w:pPr/>
    <w:rPr/>
  </w:style>
  <w:style w:type="paragraph" w:styleId="Contedodatabela">
    <w:name w:val="Conteúdo da tabela"/>
    <w:basedOn w:val="Normal"/>
    <w:qFormat/>
    <w:pPr/>
    <w:rPr/>
  </w:style>
  <w:style w:type="paragraph" w:styleId="Ttulodetabela" w:customStyle="1">
    <w:name w:val="Título de tabela"/>
    <w:basedOn w:val="Contedodetabela"/>
    <w:qFormat/>
    <w:rsid w:val="004e60c4"/>
    <w:pPr>
      <w:jc w:val="center"/>
    </w:pPr>
    <w:rPr>
      <w:b/>
      <w:i/>
    </w:rPr>
  </w:style>
  <w:style w:type="paragraph" w:styleId="AP-AprovacaoBanca" w:customStyle="1">
    <w:name w:val="AP-AprovacaoBanca"/>
    <w:next w:val="TE-Normal"/>
    <w:qFormat/>
    <w:rsid w:val="004e60c4"/>
    <w:pPr>
      <w:widowControl w:val="false"/>
      <w:bidi w:val="0"/>
      <w:spacing w:before="0" w:after="0"/>
      <w:jc w:val="center"/>
    </w:pPr>
    <w:rPr>
      <w:rFonts w:ascii="Times New Roman" w:hAnsi="Times New Roman" w:eastAsia="Times New Roman" w:cs="Times New Roman"/>
      <w:color w:val="auto"/>
      <w:kern w:val="0"/>
      <w:sz w:val="26"/>
      <w:szCs w:val="20"/>
      <w:lang w:val="pt-BR" w:eastAsia="pt-BR" w:bidi="ar-SA"/>
    </w:rPr>
  </w:style>
  <w:style w:type="paragraph" w:styleId="AP-AprovacaoTitulo" w:customStyle="1">
    <w:name w:val="AP-AprovacaoTitulo"/>
    <w:next w:val="TE-Normal"/>
    <w:qFormat/>
    <w:rsid w:val="004e60c4"/>
    <w:pPr>
      <w:widowControl w:val="false"/>
      <w:bidi w:val="0"/>
      <w:spacing w:before="0" w:after="0"/>
      <w:jc w:val="center"/>
    </w:pPr>
    <w:rPr>
      <w:rFonts w:ascii="Times New Roman" w:hAnsi="Times New Roman" w:eastAsia="Times New Roman" w:cs="Times New Roman"/>
      <w:b/>
      <w:caps/>
      <w:color w:val="auto"/>
      <w:kern w:val="0"/>
      <w:sz w:val="26"/>
      <w:szCs w:val="20"/>
      <w:lang w:val="pt-BR" w:eastAsia="pt-BR" w:bidi="ar-SA"/>
    </w:rPr>
  </w:style>
  <w:style w:type="paragraph" w:styleId="DE-DedicatoriaAgradecimentos" w:customStyle="1">
    <w:name w:val="DE-DedicatoriaAgradecimentos"/>
    <w:next w:val="TE-Normal"/>
    <w:qFormat/>
    <w:rsid w:val="004e60c4"/>
    <w:pPr>
      <w:widowControl w:val="false"/>
      <w:bidi w:val="0"/>
      <w:spacing w:before="0" w:after="0"/>
      <w:ind w:left="4535"/>
      <w:jc w:val="both"/>
    </w:pPr>
    <w:rPr>
      <w:rFonts w:ascii="Times New Roman" w:hAnsi="Times New Roman" w:eastAsia="Times New Roman" w:cs="Times New Roman"/>
      <w:color w:val="auto"/>
      <w:kern w:val="0"/>
      <w:sz w:val="26"/>
      <w:szCs w:val="20"/>
      <w:lang w:val="pt-BR" w:eastAsia="pt-BR" w:bidi="ar-SA"/>
    </w:rPr>
  </w:style>
  <w:style w:type="paragraph" w:styleId="EP-Epgrafe" w:customStyle="1">
    <w:name w:val="EP-Epígrafe"/>
    <w:next w:val="TE-Normal"/>
    <w:qFormat/>
    <w:rsid w:val="004e60c4"/>
    <w:pPr>
      <w:widowControl w:val="false"/>
      <w:bidi w:val="0"/>
      <w:spacing w:before="0" w:after="0"/>
      <w:ind w:left="4535"/>
      <w:jc w:val="right"/>
    </w:pPr>
    <w:rPr>
      <w:rFonts w:ascii="Times New Roman" w:hAnsi="Times New Roman" w:eastAsia="Times New Roman" w:cs="Times New Roman"/>
      <w:color w:val="auto"/>
      <w:kern w:val="0"/>
      <w:sz w:val="26"/>
      <w:szCs w:val="20"/>
      <w:lang w:val="pt-BR" w:eastAsia="pt-BR" w:bidi="ar-SA"/>
    </w:rPr>
  </w:style>
  <w:style w:type="paragraph" w:styleId="TC-TituloCentralizado" w:customStyle="1">
    <w:name w:val="TC-TituloCentralizado"/>
    <w:next w:val="TE-Normal"/>
    <w:qFormat/>
    <w:rsid w:val="004e60c4"/>
    <w:pPr>
      <w:pageBreakBefore/>
      <w:widowControl w:val="false"/>
      <w:bidi w:val="0"/>
      <w:spacing w:lineRule="auto" w:line="360" w:before="980" w:after="1740"/>
      <w:jc w:val="center"/>
    </w:pPr>
    <w:rPr>
      <w:rFonts w:ascii="Times New Roman" w:hAnsi="Times New Roman" w:eastAsia="Times New Roman" w:cs="Times New Roman"/>
      <w:b/>
      <w:caps/>
      <w:color w:val="auto"/>
      <w:kern w:val="0"/>
      <w:sz w:val="26"/>
      <w:szCs w:val="20"/>
      <w:lang w:val="pt-BR" w:eastAsia="pt-BR" w:bidi="ar-SA"/>
    </w:rPr>
  </w:style>
  <w:style w:type="paragraph" w:styleId="LI-ListaItem" w:customStyle="1">
    <w:name w:val="LI-ListaItem"/>
    <w:qFormat/>
    <w:rsid w:val="004e60c4"/>
    <w:pPr>
      <w:widowControl w:val="false"/>
      <w:tabs>
        <w:tab w:val="clear" w:pos="709"/>
        <w:tab w:val="left" w:pos="1502" w:leader="none"/>
        <w:tab w:val="left" w:pos="8561" w:leader="dot"/>
        <w:tab w:val="right" w:pos="9127" w:leader="none"/>
      </w:tabs>
      <w:bidi w:val="0"/>
      <w:spacing w:before="0" w:after="0"/>
      <w:ind w:hanging="1644" w:left="1644"/>
      <w:jc w:val="left"/>
    </w:pPr>
    <w:rPr>
      <w:rFonts w:ascii="Times New Roman" w:hAnsi="Times New Roman" w:eastAsia="Times New Roman" w:cs="Times New Roman"/>
      <w:color w:val="auto"/>
      <w:kern w:val="0"/>
      <w:sz w:val="26"/>
      <w:szCs w:val="20"/>
      <w:lang w:val="pt-BR" w:eastAsia="pt-BR" w:bidi="ar-SA"/>
    </w:rPr>
  </w:style>
  <w:style w:type="paragraph" w:styleId="TE-NormalNaoIdentado" w:customStyle="1">
    <w:name w:val="TE-NormalNaoIdentado"/>
    <w:next w:val="TE-Normal"/>
    <w:qFormat/>
    <w:rsid w:val="004e60c4"/>
    <w:pPr>
      <w:widowControl w:val="false"/>
      <w:bidi w:val="0"/>
      <w:spacing w:lineRule="auto" w:line="360" w:before="0" w:after="0"/>
      <w:jc w:val="both"/>
    </w:pPr>
    <w:rPr>
      <w:rFonts w:ascii="Times New Roman" w:hAnsi="Times New Roman" w:eastAsia="Times New Roman" w:cs="Times New Roman"/>
      <w:color w:val="auto"/>
      <w:kern w:val="0"/>
      <w:sz w:val="26"/>
      <w:szCs w:val="20"/>
      <w:lang w:val="pt-BR" w:eastAsia="pt-BR" w:bidi="ar-SA"/>
    </w:rPr>
  </w:style>
  <w:style w:type="paragraph" w:styleId="T1-TituloPrimario" w:customStyle="1">
    <w:name w:val="T1-TituloPrimario"/>
    <w:next w:val="TE-Normal"/>
    <w:link w:val="T1-TituloPrimarioChar"/>
    <w:qFormat/>
    <w:rsid w:val="004e60c4"/>
    <w:pPr>
      <w:pageBreakBefore/>
      <w:widowControl w:val="false"/>
      <w:numPr>
        <w:ilvl w:val="0"/>
        <w:numId w:val="6"/>
      </w:numPr>
      <w:bidi w:val="0"/>
      <w:spacing w:lineRule="auto" w:line="360" w:before="980" w:after="1740"/>
      <w:ind w:left="283"/>
      <w:jc w:val="both"/>
      <w:outlineLvl w:val="0"/>
    </w:pPr>
    <w:rPr>
      <w:rFonts w:ascii="Times New Roman" w:hAnsi="Times New Roman" w:eastAsia="Times New Roman" w:cs="Times New Roman"/>
      <w:b/>
      <w:caps/>
      <w:color w:val="auto"/>
      <w:kern w:val="0"/>
      <w:sz w:val="26"/>
      <w:szCs w:val="20"/>
      <w:lang w:val="pt-BR" w:eastAsia="pt-BR" w:bidi="ar-SA"/>
    </w:rPr>
  </w:style>
  <w:style w:type="paragraph" w:styleId="TE-Alnea" w:customStyle="1">
    <w:name w:val="TE-Alínea"/>
    <w:next w:val="TE-Normal"/>
    <w:qFormat/>
    <w:rsid w:val="004e60c4"/>
    <w:pPr>
      <w:widowControl w:val="false"/>
      <w:numPr>
        <w:ilvl w:val="0"/>
        <w:numId w:val="5"/>
      </w:numPr>
      <w:bidi w:val="0"/>
      <w:spacing w:lineRule="auto" w:line="360" w:before="0" w:after="0"/>
      <w:jc w:val="both"/>
    </w:pPr>
    <w:rPr>
      <w:rFonts w:ascii="Times New Roman" w:hAnsi="Times New Roman" w:eastAsia="Times New Roman" w:cs="Times New Roman"/>
      <w:color w:val="auto"/>
      <w:kern w:val="0"/>
      <w:sz w:val="26"/>
      <w:szCs w:val="20"/>
      <w:lang w:val="pt-BR" w:eastAsia="pt-BR" w:bidi="ar-SA"/>
    </w:rPr>
  </w:style>
  <w:style w:type="paragraph" w:styleId="TE-Inciso" w:customStyle="1">
    <w:name w:val="TE-Inciso"/>
    <w:next w:val="TE-Normal"/>
    <w:qFormat/>
    <w:rsid w:val="004e60c4"/>
    <w:pPr>
      <w:widowControl w:val="false"/>
      <w:numPr>
        <w:ilvl w:val="0"/>
        <w:numId w:val="1"/>
      </w:numPr>
      <w:bidi w:val="0"/>
      <w:spacing w:lineRule="auto" w:line="360" w:before="0" w:after="0"/>
      <w:ind w:hanging="357" w:left="1718"/>
      <w:jc w:val="both"/>
    </w:pPr>
    <w:rPr>
      <w:rFonts w:ascii="Times New Roman" w:hAnsi="Times New Roman" w:eastAsia="Times New Roman" w:cs="Times New Roman"/>
      <w:color w:val="auto"/>
      <w:kern w:val="0"/>
      <w:sz w:val="26"/>
      <w:szCs w:val="20"/>
      <w:lang w:val="pt-BR" w:eastAsia="pt-BR" w:bidi="ar-SA"/>
    </w:rPr>
  </w:style>
  <w:style w:type="paragraph" w:styleId="TE-Bullet" w:customStyle="1">
    <w:name w:val="TE-Bullet"/>
    <w:next w:val="TE-Normal"/>
    <w:qFormat/>
    <w:rsid w:val="004e60c4"/>
    <w:pPr>
      <w:widowControl w:val="false"/>
      <w:numPr>
        <w:ilvl w:val="0"/>
        <w:numId w:val="2"/>
      </w:numPr>
      <w:tabs>
        <w:tab w:val="clear" w:pos="709"/>
      </w:tabs>
      <w:bidi w:val="0"/>
      <w:spacing w:lineRule="auto" w:line="360" w:before="0" w:after="0"/>
      <w:ind w:hanging="357" w:left="1366"/>
      <w:jc w:val="both"/>
    </w:pPr>
    <w:rPr>
      <w:rFonts w:ascii="Times New Roman" w:hAnsi="Times New Roman" w:eastAsia="Times New Roman" w:cs="Times New Roman"/>
      <w:color w:val="auto"/>
      <w:kern w:val="0"/>
      <w:sz w:val="26"/>
      <w:szCs w:val="20"/>
      <w:lang w:val="pt-BR" w:eastAsia="pt-BR" w:bidi="ar-SA"/>
    </w:rPr>
  </w:style>
  <w:style w:type="paragraph" w:styleId="T2-TituloSecundario" w:customStyle="1">
    <w:name w:val="T2-TituloSecundario"/>
    <w:next w:val="TE-Normal"/>
    <w:link w:val="T2-TituloSecundarioChar"/>
    <w:qFormat/>
    <w:rsid w:val="004e60c4"/>
    <w:pPr>
      <w:widowControl w:val="false"/>
      <w:numPr>
        <w:ilvl w:val="1"/>
        <w:numId w:val="6"/>
      </w:numPr>
      <w:bidi w:val="0"/>
      <w:spacing w:lineRule="auto" w:line="360" w:before="580" w:after="300"/>
      <w:jc w:val="both"/>
      <w:outlineLvl w:val="1"/>
    </w:pPr>
    <w:rPr>
      <w:rFonts w:ascii="Times New Roman" w:hAnsi="Times New Roman" w:eastAsia="Times New Roman" w:cs="Times New Roman"/>
      <w:b/>
      <w:color w:val="auto"/>
      <w:kern w:val="0"/>
      <w:sz w:val="26"/>
      <w:szCs w:val="20"/>
      <w:lang w:val="pt-BR" w:eastAsia="pt-BR" w:bidi="ar-SA"/>
    </w:rPr>
  </w:style>
  <w:style w:type="paragraph" w:styleId="T3-TituloTerciario" w:customStyle="1">
    <w:name w:val="T3-TituloTerciario"/>
    <w:next w:val="TE-Normal"/>
    <w:link w:val="T3-TituloTerciarioChar"/>
    <w:qFormat/>
    <w:rsid w:val="004e60c4"/>
    <w:pPr>
      <w:widowControl w:val="false"/>
      <w:numPr>
        <w:ilvl w:val="2"/>
        <w:numId w:val="6"/>
      </w:numPr>
      <w:bidi w:val="0"/>
      <w:spacing w:lineRule="auto" w:line="360" w:before="300" w:after="300"/>
      <w:jc w:val="both"/>
      <w:outlineLvl w:val="2"/>
    </w:pPr>
    <w:rPr>
      <w:rFonts w:ascii="Times New Roman" w:hAnsi="Times New Roman" w:eastAsia="Times New Roman" w:cs="Times New Roman"/>
      <w:i/>
      <w:color w:val="auto"/>
      <w:kern w:val="0"/>
      <w:sz w:val="26"/>
      <w:szCs w:val="20"/>
      <w:lang w:val="pt-BR" w:eastAsia="pt-BR" w:bidi="ar-SA"/>
    </w:rPr>
  </w:style>
  <w:style w:type="paragraph" w:styleId="T4-TituloQuaternario" w:customStyle="1">
    <w:name w:val="T4-TituloQuaternario"/>
    <w:next w:val="TE-Normal"/>
    <w:qFormat/>
    <w:rsid w:val="004e60c4"/>
    <w:pPr>
      <w:widowControl w:val="false"/>
      <w:numPr>
        <w:ilvl w:val="3"/>
        <w:numId w:val="6"/>
      </w:numPr>
      <w:bidi w:val="0"/>
      <w:spacing w:lineRule="auto" w:line="360" w:before="200" w:after="200"/>
      <w:jc w:val="both"/>
      <w:outlineLvl w:val="3"/>
    </w:pPr>
    <w:rPr>
      <w:rFonts w:ascii="Times New Roman" w:hAnsi="Times New Roman" w:eastAsia="Times New Roman" w:cs="Times New Roman"/>
      <w:color w:val="auto"/>
      <w:kern w:val="0"/>
      <w:sz w:val="26"/>
      <w:szCs w:val="20"/>
      <w:lang w:val="pt-BR" w:eastAsia="pt-BR" w:bidi="ar-SA"/>
    </w:rPr>
  </w:style>
  <w:style w:type="paragraph" w:styleId="TE-CorpoTabela" w:customStyle="1">
    <w:name w:val="TE-CorpoTabela"/>
    <w:qFormat/>
    <w:rsid w:val="004e60c4"/>
    <w:pPr>
      <w:widowControl w:val="false"/>
      <w:bidi w:val="0"/>
      <w:spacing w:before="0" w:after="0"/>
      <w:jc w:val="both"/>
    </w:pPr>
    <w:rPr>
      <w:rFonts w:ascii="Times New Roman" w:hAnsi="Times New Roman" w:eastAsia="Times New Roman" w:cs="Times New Roman"/>
      <w:color w:val="auto"/>
      <w:kern w:val="0"/>
      <w:sz w:val="20"/>
      <w:szCs w:val="20"/>
      <w:lang w:val="pt-BR" w:eastAsia="pt-BR" w:bidi="ar-SA"/>
    </w:rPr>
  </w:style>
  <w:style w:type="paragraph" w:styleId="TE-Citacao5Linhas" w:customStyle="1">
    <w:name w:val="TE-Citacao5Linhas"/>
    <w:next w:val="FootnoteText"/>
    <w:qFormat/>
    <w:rsid w:val="004e60c4"/>
    <w:pPr>
      <w:widowControl w:val="false"/>
      <w:bidi w:val="0"/>
      <w:spacing w:before="120" w:after="120"/>
      <w:ind w:left="1009"/>
      <w:jc w:val="both"/>
    </w:pPr>
    <w:rPr>
      <w:rFonts w:ascii="Times New Roman" w:hAnsi="Times New Roman" w:eastAsia="Times New Roman" w:cs="Times New Roman"/>
      <w:color w:val="auto"/>
      <w:kern w:val="0"/>
      <w:sz w:val="22"/>
      <w:szCs w:val="20"/>
      <w:lang w:val="pt-BR" w:eastAsia="pt-BR" w:bidi="ar-SA"/>
    </w:rPr>
  </w:style>
  <w:style w:type="paragraph" w:styleId="FootnoteText" w:customStyle="1">
    <w:name w:val="Footnote Text"/>
    <w:rsid w:val="004e60c4"/>
    <w:pPr>
      <w:widowControl w:val="false"/>
      <w:bidi w:val="0"/>
      <w:spacing w:before="0" w:after="0"/>
      <w:ind w:hanging="283" w:left="283"/>
      <w:jc w:val="both"/>
    </w:pPr>
    <w:rPr>
      <w:rFonts w:ascii="Times New Roman" w:hAnsi="Times New Roman" w:eastAsia="Times New Roman" w:cs="Times New Roman"/>
      <w:color w:val="auto"/>
      <w:kern w:val="0"/>
      <w:sz w:val="20"/>
      <w:szCs w:val="20"/>
      <w:lang w:val="pt-BR" w:eastAsia="pt-BR" w:bidi="ar-SA"/>
    </w:rPr>
  </w:style>
  <w:style w:type="paragraph" w:styleId="CabealhoeRodap">
    <w:name w:val="Cabeçalho e Rodapé"/>
    <w:basedOn w:val="Normal"/>
    <w:qFormat/>
    <w:pPr/>
    <w:rPr/>
  </w:style>
  <w:style w:type="paragraph" w:styleId="Footer">
    <w:name w:val="Footer"/>
    <w:basedOn w:val="Padro"/>
    <w:rsid w:val="004e60c4"/>
    <w:pPr>
      <w:tabs>
        <w:tab w:val="clear" w:pos="709"/>
        <w:tab w:val="center" w:pos="4535" w:leader="none"/>
        <w:tab w:val="right" w:pos="9071" w:leader="none"/>
      </w:tabs>
    </w:pPr>
    <w:rPr/>
  </w:style>
  <w:style w:type="paragraph" w:styleId="PT-Referencias" w:customStyle="1">
    <w:name w:val="PT-Referencias"/>
    <w:qFormat/>
    <w:rsid w:val="004e60c4"/>
    <w:pPr>
      <w:widowControl w:val="false"/>
      <w:bidi w:val="0"/>
      <w:spacing w:before="0" w:after="240"/>
      <w:jc w:val="left"/>
    </w:pPr>
    <w:rPr>
      <w:rFonts w:ascii="Times New Roman" w:hAnsi="Times New Roman" w:eastAsia="Times New Roman" w:cs="Times New Roman"/>
      <w:color w:val="auto"/>
      <w:kern w:val="0"/>
      <w:sz w:val="26"/>
      <w:szCs w:val="20"/>
      <w:lang w:val="pt-BR" w:eastAsia="pt-BR" w:bidi="ar-SA"/>
    </w:rPr>
  </w:style>
  <w:style w:type="paragraph" w:styleId="T5-TituloQuinario" w:customStyle="1">
    <w:name w:val="T5-TituloQuinario"/>
    <w:next w:val="TE-Normal"/>
    <w:qFormat/>
    <w:rsid w:val="004e60c4"/>
    <w:pPr>
      <w:widowControl w:val="false"/>
      <w:numPr>
        <w:ilvl w:val="4"/>
        <w:numId w:val="6"/>
      </w:numPr>
      <w:bidi w:val="0"/>
      <w:spacing w:lineRule="auto" w:line="360" w:before="200" w:after="200"/>
      <w:jc w:val="both"/>
      <w:outlineLvl w:val="4"/>
    </w:pPr>
    <w:rPr>
      <w:rFonts w:ascii="Arial" w:hAnsi="Arial" w:eastAsia="Times New Roman" w:cs="Times New Roman"/>
      <w:color w:val="auto"/>
      <w:kern w:val="0"/>
      <w:sz w:val="22"/>
      <w:szCs w:val="20"/>
      <w:lang w:val="pt-BR" w:eastAsia="pt-BR" w:bidi="ar-SA"/>
    </w:rPr>
  </w:style>
  <w:style w:type="paragraph" w:styleId="Ndice1" w:customStyle="1">
    <w:name w:val="Índice 1"/>
    <w:qFormat/>
    <w:rsid w:val="004e60c4"/>
    <w:pPr>
      <w:widowControl w:val="false"/>
      <w:tabs>
        <w:tab w:val="clear" w:pos="709"/>
        <w:tab w:val="right" w:pos="9071" w:leader="dot"/>
      </w:tabs>
      <w:bidi w:val="0"/>
      <w:spacing w:before="0" w:after="0"/>
      <w:jc w:val="left"/>
    </w:pPr>
    <w:rPr>
      <w:rFonts w:ascii="Times New Roman" w:hAnsi="Times New Roman" w:eastAsia="Times New Roman" w:cs="Times New Roman"/>
      <w:b/>
      <w:caps/>
      <w:color w:val="auto"/>
      <w:kern w:val="0"/>
      <w:sz w:val="26"/>
      <w:szCs w:val="20"/>
      <w:lang w:val="pt-BR" w:eastAsia="pt-BR" w:bidi="ar-SA"/>
    </w:rPr>
  </w:style>
  <w:style w:type="paragraph" w:styleId="Ndice2" w:customStyle="1">
    <w:name w:val="Índice 2"/>
    <w:qFormat/>
    <w:rsid w:val="004e60c4"/>
    <w:pPr>
      <w:widowControl w:val="false"/>
      <w:tabs>
        <w:tab w:val="clear" w:pos="709"/>
        <w:tab w:val="right" w:pos="9354" w:leader="dot"/>
      </w:tabs>
      <w:bidi w:val="0"/>
      <w:spacing w:before="0" w:after="0"/>
      <w:ind w:hanging="283" w:left="283"/>
      <w:jc w:val="left"/>
    </w:pPr>
    <w:rPr>
      <w:rFonts w:ascii="Times New Roman" w:hAnsi="Times New Roman" w:eastAsia="Times New Roman" w:cs="Times New Roman"/>
      <w:b/>
      <w:smallCaps/>
      <w:color w:val="auto"/>
      <w:kern w:val="0"/>
      <w:sz w:val="26"/>
      <w:szCs w:val="20"/>
      <w:lang w:val="pt-BR" w:eastAsia="pt-BR" w:bidi="ar-SA"/>
    </w:rPr>
  </w:style>
  <w:style w:type="paragraph" w:styleId="Ndice3" w:customStyle="1">
    <w:name w:val="Índice 3"/>
    <w:qFormat/>
    <w:rsid w:val="004e60c4"/>
    <w:pPr>
      <w:widowControl w:val="false"/>
      <w:tabs>
        <w:tab w:val="clear" w:pos="709"/>
        <w:tab w:val="right" w:pos="9525" w:leader="dot"/>
      </w:tabs>
      <w:bidi w:val="0"/>
      <w:spacing w:before="0" w:after="0"/>
      <w:ind w:hanging="454" w:left="454"/>
      <w:jc w:val="left"/>
    </w:pPr>
    <w:rPr>
      <w:rFonts w:ascii="Times New Roman" w:hAnsi="Times New Roman" w:eastAsia="Times New Roman" w:cs="Times New Roman"/>
      <w:color w:val="auto"/>
      <w:kern w:val="0"/>
      <w:sz w:val="24"/>
      <w:szCs w:val="20"/>
      <w:lang w:val="pt-BR" w:eastAsia="pt-BR" w:bidi="ar-SA"/>
    </w:rPr>
  </w:style>
  <w:style w:type="paragraph" w:styleId="Ndice4" w:customStyle="1">
    <w:name w:val="Índice 4"/>
    <w:qFormat/>
    <w:rsid w:val="004e60c4"/>
    <w:pPr>
      <w:widowControl w:val="false"/>
      <w:tabs>
        <w:tab w:val="clear" w:pos="709"/>
        <w:tab w:val="right" w:pos="9695" w:leader="dot"/>
      </w:tabs>
      <w:bidi w:val="0"/>
      <w:spacing w:before="0" w:after="0"/>
      <w:ind w:hanging="624" w:left="624"/>
      <w:jc w:val="left"/>
    </w:pPr>
    <w:rPr>
      <w:rFonts w:ascii="Times New Roman" w:hAnsi="Times New Roman" w:eastAsia="Times New Roman" w:cs="Times New Roman"/>
      <w:i/>
      <w:color w:val="auto"/>
      <w:kern w:val="0"/>
      <w:sz w:val="24"/>
      <w:szCs w:val="20"/>
      <w:lang w:val="pt-BR" w:eastAsia="pt-BR" w:bidi="ar-SA"/>
    </w:rPr>
  </w:style>
  <w:style w:type="paragraph" w:styleId="Ndice5" w:customStyle="1">
    <w:name w:val="Índice 5"/>
    <w:qFormat/>
    <w:rsid w:val="004e60c4"/>
    <w:pPr>
      <w:widowControl w:val="false"/>
      <w:tabs>
        <w:tab w:val="clear" w:pos="709"/>
        <w:tab w:val="right" w:pos="9071" w:leader="dot"/>
      </w:tabs>
      <w:bidi w:val="0"/>
      <w:spacing w:before="0" w:after="0"/>
      <w:jc w:val="left"/>
    </w:pPr>
    <w:rPr>
      <w:rFonts w:ascii="Times New Roman" w:hAnsi="Times New Roman" w:eastAsia="Times New Roman" w:cs="Times New Roman"/>
      <w:b/>
      <w:caps/>
      <w:color w:val="auto"/>
      <w:kern w:val="0"/>
      <w:sz w:val="26"/>
      <w:szCs w:val="20"/>
      <w:lang w:val="pt-BR" w:eastAsia="pt-BR" w:bidi="ar-SA"/>
    </w:rPr>
  </w:style>
  <w:style w:type="paragraph" w:styleId="Ndicegeral6" w:customStyle="1">
    <w:name w:val="Índice geral 6"/>
    <w:basedOn w:val="Ndice"/>
    <w:qFormat/>
    <w:rsid w:val="004e60c4"/>
    <w:pPr>
      <w:tabs>
        <w:tab w:val="clear" w:pos="709"/>
        <w:tab w:val="right" w:pos="9071" w:leader="dot"/>
      </w:tabs>
      <w:ind w:left="1415"/>
    </w:pPr>
    <w:rPr/>
  </w:style>
  <w:style w:type="paragraph" w:styleId="Ndicegeral7" w:customStyle="1">
    <w:name w:val="Índice geral 7"/>
    <w:basedOn w:val="Ndice"/>
    <w:qFormat/>
    <w:rsid w:val="004e60c4"/>
    <w:pPr>
      <w:tabs>
        <w:tab w:val="clear" w:pos="709"/>
        <w:tab w:val="right" w:pos="9071" w:leader="dot"/>
      </w:tabs>
      <w:ind w:left="1698"/>
    </w:pPr>
    <w:rPr/>
  </w:style>
  <w:style w:type="paragraph" w:styleId="Ndicegeral8" w:customStyle="1">
    <w:name w:val="Índice geral 8"/>
    <w:basedOn w:val="Ndice"/>
    <w:qFormat/>
    <w:rsid w:val="004e60c4"/>
    <w:pPr>
      <w:tabs>
        <w:tab w:val="clear" w:pos="709"/>
        <w:tab w:val="right" w:pos="9071" w:leader="dot"/>
      </w:tabs>
      <w:ind w:left="1981"/>
    </w:pPr>
    <w:rPr/>
  </w:style>
  <w:style w:type="paragraph" w:styleId="Ndicegeral9" w:customStyle="1">
    <w:name w:val="Índice geral 9"/>
    <w:basedOn w:val="Ndice"/>
    <w:qFormat/>
    <w:rsid w:val="004e60c4"/>
    <w:pPr>
      <w:tabs>
        <w:tab w:val="clear" w:pos="709"/>
        <w:tab w:val="right" w:pos="9071" w:leader="dot"/>
      </w:tabs>
      <w:ind w:left="2264"/>
    </w:pPr>
    <w:rPr/>
  </w:style>
  <w:style w:type="paragraph" w:styleId="Ndicegeral10" w:customStyle="1">
    <w:name w:val="Índice geral 10"/>
    <w:basedOn w:val="Ndice"/>
    <w:qFormat/>
    <w:rsid w:val="004e60c4"/>
    <w:pPr>
      <w:tabs>
        <w:tab w:val="clear" w:pos="709"/>
        <w:tab w:val="right" w:pos="9071" w:leader="dot"/>
      </w:tabs>
      <w:ind w:left="2547"/>
    </w:pPr>
    <w:rPr/>
  </w:style>
  <w:style w:type="paragraph" w:styleId="Ttulodondice" w:customStyle="1">
    <w:name w:val="Título do índice"/>
    <w:basedOn w:val="Title"/>
    <w:qFormat/>
    <w:rsid w:val="004e60c4"/>
    <w:pPr/>
    <w:rPr>
      <w:b/>
      <w:sz w:val="32"/>
    </w:rPr>
  </w:style>
  <w:style w:type="paragraph" w:styleId="TE-Figura" w:customStyle="1">
    <w:name w:val="TE-Figura"/>
    <w:next w:val="TE-Normal"/>
    <w:qFormat/>
    <w:rsid w:val="004e60c4"/>
    <w:pPr>
      <w:widowControl w:val="false"/>
      <w:bidi w:val="0"/>
      <w:spacing w:before="240" w:after="0"/>
      <w:jc w:val="center"/>
    </w:pPr>
    <w:rPr>
      <w:rFonts w:ascii="Times New Roman" w:hAnsi="Times New Roman" w:eastAsia="Times New Roman" w:cs="Times New Roman"/>
      <w:color w:val="auto"/>
      <w:kern w:val="0"/>
      <w:sz w:val="24"/>
      <w:szCs w:val="20"/>
      <w:lang w:val="pt-BR" w:eastAsia="pt-BR" w:bidi="ar-SA"/>
    </w:rPr>
  </w:style>
  <w:style w:type="paragraph" w:styleId="TE-LegendaFigura" w:customStyle="1">
    <w:name w:val="TE-LegendaFigura"/>
    <w:next w:val="TE-Normal"/>
    <w:qFormat/>
    <w:rsid w:val="00b4776b"/>
    <w:pPr>
      <w:widowControl w:val="false"/>
      <w:numPr>
        <w:ilvl w:val="0"/>
        <w:numId w:val="7"/>
      </w:numPr>
      <w:tabs>
        <w:tab w:val="left" w:pos="709" w:leader="none"/>
      </w:tabs>
      <w:bidi w:val="0"/>
      <w:spacing w:before="0" w:after="0"/>
      <w:ind w:left="2013"/>
      <w:jc w:val="center"/>
    </w:pPr>
    <w:rPr>
      <w:rFonts w:ascii="Times New Roman" w:hAnsi="Times New Roman" w:eastAsia="Times New Roman" w:cs="Times New Roman"/>
      <w:color w:val="auto"/>
      <w:kern w:val="0"/>
      <w:sz w:val="22"/>
      <w:szCs w:val="20"/>
      <w:lang w:val="pt-BR" w:eastAsia="pt-BR" w:bidi="ar-SA"/>
    </w:rPr>
  </w:style>
  <w:style w:type="paragraph" w:styleId="TE-FonteFiguraQuadroTabela" w:customStyle="1">
    <w:name w:val="TE-FonteFiguraQuadroTabela"/>
    <w:next w:val="TE-Normal"/>
    <w:qFormat/>
    <w:rsid w:val="004e60c4"/>
    <w:pPr>
      <w:widowControl w:val="false"/>
      <w:bidi w:val="0"/>
      <w:spacing w:before="0" w:after="120"/>
      <w:jc w:val="center"/>
    </w:pPr>
    <w:rPr>
      <w:rFonts w:ascii="Times New Roman" w:hAnsi="Times New Roman" w:eastAsia="Times New Roman" w:cs="Times New Roman"/>
      <w:color w:val="auto"/>
      <w:kern w:val="0"/>
      <w:sz w:val="22"/>
      <w:szCs w:val="20"/>
      <w:lang w:val="pt-BR" w:eastAsia="pt-BR" w:bidi="ar-SA"/>
    </w:rPr>
  </w:style>
  <w:style w:type="paragraph" w:styleId="TE-LegendaQuadro" w:customStyle="1">
    <w:name w:val="TE-LegendaQuadro"/>
    <w:next w:val="TE-FonteFiguraQuadroTabela"/>
    <w:link w:val="TE-LegendaQuadroChar"/>
    <w:qFormat/>
    <w:rsid w:val="0041607b"/>
    <w:pPr>
      <w:widowControl w:val="false"/>
      <w:numPr>
        <w:ilvl w:val="0"/>
        <w:numId w:val="9"/>
      </w:numPr>
      <w:bidi w:val="0"/>
      <w:spacing w:before="240" w:after="0"/>
      <w:jc w:val="center"/>
    </w:pPr>
    <w:rPr>
      <w:rFonts w:ascii="Times New Roman" w:hAnsi="Times New Roman" w:eastAsia="Times New Roman" w:cs="Times New Roman"/>
      <w:color w:val="auto"/>
      <w:kern w:val="0"/>
      <w:sz w:val="22"/>
      <w:szCs w:val="20"/>
      <w:lang w:val="pt-BR" w:eastAsia="pt-BR" w:bidi="ar-SA"/>
    </w:rPr>
  </w:style>
  <w:style w:type="paragraph" w:styleId="Header">
    <w:name w:val="Header"/>
    <w:basedOn w:val="Normal"/>
    <w:link w:val="CabealhoChar"/>
    <w:uiPriority w:val="99"/>
    <w:rsid w:val="004e60c4"/>
    <w:pPr>
      <w:widowControl w:val="false"/>
      <w:tabs>
        <w:tab w:val="clear" w:pos="709"/>
        <w:tab w:val="center" w:pos="4535" w:leader="none"/>
        <w:tab w:val="right" w:pos="9071" w:leader="none"/>
      </w:tabs>
      <w:jc w:val="right"/>
    </w:pPr>
    <w:rPr>
      <w:sz w:val="24"/>
    </w:rPr>
  </w:style>
  <w:style w:type="paragraph" w:styleId="Cabealhoesquerda" w:customStyle="1">
    <w:name w:val="Cabeçalho à esquerda"/>
    <w:qFormat/>
    <w:rsid w:val="004e60c4"/>
    <w:pPr>
      <w:widowControl w:val="false"/>
      <w:tabs>
        <w:tab w:val="clear" w:pos="709"/>
        <w:tab w:val="center" w:pos="4535" w:leader="none"/>
        <w:tab w:val="right" w:pos="9071" w:leader="none"/>
      </w:tabs>
      <w:bidi w:val="0"/>
      <w:spacing w:before="0" w:after="0"/>
      <w:jc w:val="left"/>
    </w:pPr>
    <w:rPr>
      <w:rFonts w:ascii="Times New Roman" w:hAnsi="Times New Roman" w:eastAsia="Times New Roman" w:cs="Times New Roman"/>
      <w:color w:val="auto"/>
      <w:kern w:val="0"/>
      <w:sz w:val="24"/>
      <w:szCs w:val="20"/>
      <w:lang w:val="pt-BR" w:eastAsia="pt-BR" w:bidi="ar-SA"/>
    </w:rPr>
  </w:style>
  <w:style w:type="paragraph" w:styleId="AP-MembrosBanca" w:customStyle="1">
    <w:name w:val="AP-MembrosBanca"/>
    <w:next w:val="TE-Normal"/>
    <w:qFormat/>
    <w:rsid w:val="004e60c4"/>
    <w:pPr>
      <w:widowControl w:val="false"/>
      <w:bidi w:val="0"/>
      <w:spacing w:before="0" w:after="0"/>
      <w:jc w:val="left"/>
    </w:pPr>
    <w:rPr>
      <w:rFonts w:ascii="Times New Roman" w:hAnsi="Times New Roman" w:eastAsia="Times New Roman" w:cs="Times New Roman"/>
      <w:b/>
      <w:caps/>
      <w:color w:val="auto"/>
      <w:kern w:val="0"/>
      <w:sz w:val="26"/>
      <w:szCs w:val="20"/>
      <w:lang w:val="pt-BR" w:eastAsia="pt-BR" w:bidi="ar-SA"/>
    </w:rPr>
  </w:style>
  <w:style w:type="paragraph" w:styleId="AP-AprovacaoLocalData" w:customStyle="1">
    <w:name w:val="AP-AprovacaoLocalData"/>
    <w:next w:val="TE-Normal"/>
    <w:qFormat/>
    <w:rsid w:val="004e60c4"/>
    <w:pPr>
      <w:widowControl w:val="false"/>
      <w:bidi w:val="0"/>
      <w:spacing w:before="0" w:after="0"/>
      <w:jc w:val="center"/>
    </w:pPr>
    <w:rPr>
      <w:rFonts w:ascii="Times New Roman" w:hAnsi="Times New Roman" w:eastAsia="Times New Roman" w:cs="Times New Roman"/>
      <w:color w:val="auto"/>
      <w:kern w:val="0"/>
      <w:sz w:val="26"/>
      <w:szCs w:val="20"/>
      <w:lang w:val="pt-BR" w:eastAsia="pt-BR" w:bidi="ar-SA"/>
    </w:rPr>
  </w:style>
  <w:style w:type="paragraph" w:styleId="TP-TituloCentralizadoPos" w:customStyle="1">
    <w:name w:val="TP-TituloCentralizadoPos"/>
    <w:next w:val="TE-Normal"/>
    <w:qFormat/>
    <w:rsid w:val="004e60c4"/>
    <w:pPr>
      <w:pageBreakBefore/>
      <w:widowControl w:val="false"/>
      <w:numPr>
        <w:ilvl w:val="4"/>
        <w:numId w:val="3"/>
      </w:numPr>
      <w:bidi w:val="0"/>
      <w:spacing w:lineRule="auto" w:line="360" w:before="0" w:after="1701"/>
      <w:jc w:val="center"/>
      <w:outlineLvl w:val="4"/>
    </w:pPr>
    <w:rPr>
      <w:rFonts w:ascii="Times New Roman" w:hAnsi="Times New Roman" w:eastAsia="Times New Roman" w:cs="Times New Roman"/>
      <w:b/>
      <w:caps/>
      <w:color w:val="auto"/>
      <w:kern w:val="0"/>
      <w:sz w:val="26"/>
      <w:szCs w:val="20"/>
      <w:lang w:val="pt-BR" w:eastAsia="pt-BR" w:bidi="ar-SA"/>
    </w:rPr>
  </w:style>
  <w:style w:type="paragraph" w:styleId="Marca4Incio" w:customStyle="1">
    <w:name w:val="Marca 4 Início"/>
    <w:basedOn w:val="List"/>
    <w:qFormat/>
    <w:rsid w:val="004e60c4"/>
    <w:pPr>
      <w:spacing w:before="240" w:after="120"/>
      <w:ind w:hanging="283" w:left="1132"/>
    </w:pPr>
    <w:rPr/>
  </w:style>
  <w:style w:type="paragraph" w:styleId="TOC1">
    <w:name w:val="TOC 1"/>
    <w:next w:val="Normal"/>
    <w:uiPriority w:val="39"/>
    <w:rsid w:val="004e60c4"/>
    <w:pPr>
      <w:widowControl/>
      <w:tabs>
        <w:tab w:val="clear" w:pos="709"/>
        <w:tab w:val="right" w:pos="9072" w:leader="dot"/>
      </w:tabs>
      <w:bidi w:val="0"/>
      <w:spacing w:before="120" w:after="0"/>
      <w:jc w:val="left"/>
    </w:pPr>
    <w:rPr>
      <w:rFonts w:ascii="Times New Roman" w:hAnsi="Times New Roman" w:eastAsia="Times New Roman" w:cs="Times New Roman"/>
      <w:b/>
      <w:caps/>
      <w:color w:val="auto"/>
      <w:kern w:val="0"/>
      <w:sz w:val="26"/>
      <w:szCs w:val="20"/>
      <w:lang w:val="pt-BR" w:eastAsia="pt-BR" w:bidi="ar-SA"/>
    </w:rPr>
  </w:style>
  <w:style w:type="paragraph" w:styleId="TOC2">
    <w:name w:val="TOC 2"/>
    <w:next w:val="Normal"/>
    <w:uiPriority w:val="39"/>
    <w:rsid w:val="004e60c4"/>
    <w:pPr>
      <w:widowControl/>
      <w:tabs>
        <w:tab w:val="clear" w:pos="709"/>
        <w:tab w:val="right" w:pos="9072" w:leader="dot"/>
      </w:tabs>
      <w:bidi w:val="0"/>
      <w:spacing w:before="120" w:after="0"/>
      <w:ind w:hanging="284" w:left="284"/>
      <w:jc w:val="left"/>
    </w:pPr>
    <w:rPr>
      <w:rFonts w:ascii="Times New Roman" w:hAnsi="Times New Roman" w:eastAsia="Times New Roman" w:cs="Times New Roman"/>
      <w:b/>
      <w:smallCaps/>
      <w:color w:val="auto"/>
      <w:kern w:val="0"/>
      <w:sz w:val="26"/>
      <w:szCs w:val="20"/>
      <w:lang w:val="pt-BR" w:eastAsia="pt-BR" w:bidi="ar-SA"/>
    </w:rPr>
  </w:style>
  <w:style w:type="paragraph" w:styleId="TOC3">
    <w:name w:val="TOC 3"/>
    <w:next w:val="Normal"/>
    <w:uiPriority w:val="39"/>
    <w:rsid w:val="004e60c4"/>
    <w:pPr>
      <w:widowControl/>
      <w:tabs>
        <w:tab w:val="clear" w:pos="709"/>
        <w:tab w:val="right" w:pos="9072" w:leader="dot"/>
      </w:tabs>
      <w:bidi w:val="0"/>
      <w:spacing w:before="0" w:after="0"/>
      <w:ind w:hanging="454" w:left="454"/>
      <w:jc w:val="left"/>
    </w:pPr>
    <w:rPr>
      <w:rFonts w:ascii="Times New Roman" w:hAnsi="Times New Roman" w:eastAsia="Times New Roman" w:cs="Times New Roman"/>
      <w:color w:val="auto"/>
      <w:kern w:val="0"/>
      <w:sz w:val="26"/>
      <w:szCs w:val="20"/>
      <w:lang w:val="pt-BR" w:eastAsia="pt-BR" w:bidi="ar-SA"/>
    </w:rPr>
  </w:style>
  <w:style w:type="paragraph" w:styleId="TOC4">
    <w:name w:val="TOC 4"/>
    <w:next w:val="Normal"/>
    <w:uiPriority w:val="39"/>
    <w:rsid w:val="004e60c4"/>
    <w:pPr>
      <w:widowControl/>
      <w:tabs>
        <w:tab w:val="clear" w:pos="709"/>
        <w:tab w:val="right" w:pos="9072" w:leader="dot"/>
      </w:tabs>
      <w:bidi w:val="0"/>
      <w:spacing w:before="0" w:after="0"/>
      <w:ind w:hanging="624" w:left="624"/>
      <w:jc w:val="left"/>
    </w:pPr>
    <w:rPr>
      <w:rFonts w:ascii="Times New Roman" w:hAnsi="Times New Roman" w:eastAsia="Times New Roman" w:cs="Times New Roman"/>
      <w:i/>
      <w:color w:val="auto"/>
      <w:kern w:val="0"/>
      <w:sz w:val="24"/>
      <w:szCs w:val="20"/>
      <w:lang w:val="pt-BR" w:eastAsia="pt-BR" w:bidi="ar-SA"/>
    </w:rPr>
  </w:style>
  <w:style w:type="paragraph" w:styleId="TOC5">
    <w:name w:val="TOC 5"/>
    <w:basedOn w:val="Normal"/>
    <w:next w:val="Normal"/>
    <w:autoRedefine/>
    <w:semiHidden/>
    <w:rsid w:val="004e60c4"/>
    <w:pPr>
      <w:ind w:left="800"/>
    </w:pPr>
    <w:rPr>
      <w:sz w:val="18"/>
    </w:rPr>
  </w:style>
  <w:style w:type="paragraph" w:styleId="TOC6">
    <w:name w:val="TOC 6"/>
    <w:basedOn w:val="Normal"/>
    <w:next w:val="Normal"/>
    <w:autoRedefine/>
    <w:semiHidden/>
    <w:rsid w:val="004e60c4"/>
    <w:pPr>
      <w:ind w:left="1000"/>
    </w:pPr>
    <w:rPr>
      <w:sz w:val="18"/>
    </w:rPr>
  </w:style>
  <w:style w:type="paragraph" w:styleId="TOC7">
    <w:name w:val="TOC 7"/>
    <w:basedOn w:val="Normal"/>
    <w:next w:val="Normal"/>
    <w:autoRedefine/>
    <w:semiHidden/>
    <w:rsid w:val="004e60c4"/>
    <w:pPr>
      <w:ind w:left="1200"/>
    </w:pPr>
    <w:rPr>
      <w:sz w:val="18"/>
    </w:rPr>
  </w:style>
  <w:style w:type="paragraph" w:styleId="TOC8">
    <w:name w:val="TOC 8"/>
    <w:basedOn w:val="Normal"/>
    <w:next w:val="Normal"/>
    <w:autoRedefine/>
    <w:semiHidden/>
    <w:rsid w:val="004e60c4"/>
    <w:pPr>
      <w:ind w:left="1400"/>
    </w:pPr>
    <w:rPr>
      <w:sz w:val="18"/>
    </w:rPr>
  </w:style>
  <w:style w:type="paragraph" w:styleId="TOC9">
    <w:name w:val="TOC 9"/>
    <w:next w:val="Normal"/>
    <w:uiPriority w:val="39"/>
    <w:rsid w:val="0044287a"/>
    <w:pPr>
      <w:widowControl/>
      <w:tabs>
        <w:tab w:val="clear" w:pos="709"/>
        <w:tab w:val="left" w:pos="1701" w:leader="none"/>
        <w:tab w:val="right" w:pos="9072" w:leader="dot"/>
      </w:tabs>
      <w:bidi w:val="0"/>
      <w:spacing w:before="0" w:after="0"/>
      <w:jc w:val="left"/>
    </w:pPr>
    <w:rPr>
      <w:rFonts w:ascii="Times New Roman" w:hAnsi="Times New Roman" w:eastAsia="Times New Roman" w:cs="Times New Roman"/>
      <w:color w:val="auto"/>
      <w:kern w:val="0"/>
      <w:sz w:val="26"/>
      <w:szCs w:val="26"/>
      <w:lang w:val="pt-BR" w:eastAsia="pt-BR" w:bidi="ar-SA"/>
    </w:rPr>
  </w:style>
  <w:style w:type="paragraph" w:styleId="TableofFigures">
    <w:name w:val="Table of Figures"/>
    <w:basedOn w:val="Normal"/>
    <w:next w:val="Normal"/>
    <w:semiHidden/>
    <w:rsid w:val="004e60c4"/>
    <w:pPr>
      <w:ind w:hanging="400" w:left="400"/>
    </w:pPr>
    <w:rPr/>
  </w:style>
  <w:style w:type="paragraph" w:styleId="TE-Resumo" w:customStyle="1">
    <w:name w:val="TE-Resumo"/>
    <w:next w:val="TE-Normal"/>
    <w:qFormat/>
    <w:rsid w:val="004e60c4"/>
    <w:pPr>
      <w:widowControl/>
      <w:bidi w:val="0"/>
      <w:spacing w:before="0" w:after="0"/>
      <w:jc w:val="both"/>
    </w:pPr>
    <w:rPr>
      <w:rFonts w:ascii="Times New Roman" w:hAnsi="Times New Roman" w:eastAsia="Times New Roman" w:cs="Times New Roman"/>
      <w:color w:val="auto"/>
      <w:kern w:val="0"/>
      <w:sz w:val="26"/>
      <w:szCs w:val="20"/>
      <w:lang w:val="pt-BR" w:eastAsia="pt-BR" w:bidi="ar-SA"/>
    </w:rPr>
  </w:style>
  <w:style w:type="paragraph" w:styleId="Tabela" w:customStyle="1">
    <w:name w:val="Tabela"/>
    <w:qFormat/>
    <w:rsid w:val="004e60c4"/>
    <w:pPr>
      <w:widowControl/>
      <w:bidi w:val="0"/>
      <w:spacing w:before="0" w:after="0"/>
      <w:jc w:val="left"/>
    </w:pPr>
    <w:rPr>
      <w:rFonts w:ascii="Times New Roman" w:hAnsi="Times New Roman" w:eastAsia="Times New Roman" w:cs="Times New Roman"/>
      <w:color w:val="auto"/>
      <w:kern w:val="0"/>
      <w:sz w:val="24"/>
      <w:szCs w:val="24"/>
      <w:lang w:val="pt-BR" w:eastAsia="pt-BR" w:bidi="ar-SA"/>
    </w:rPr>
  </w:style>
  <w:style w:type="paragraph" w:styleId="LegendaTabela" w:customStyle="1">
    <w:name w:val="Legenda Tabela"/>
    <w:next w:val="Normal"/>
    <w:qFormat/>
    <w:rsid w:val="004e60c4"/>
    <w:pPr>
      <w:widowControl/>
      <w:bidi w:val="0"/>
      <w:spacing w:before="120" w:after="0"/>
      <w:jc w:val="center"/>
    </w:pPr>
    <w:rPr>
      <w:rFonts w:ascii="Times New Roman" w:hAnsi="Times New Roman" w:eastAsia="Times New Roman" w:cs="Times New Roman"/>
      <w:color w:val="auto"/>
      <w:kern w:val="0"/>
      <w:sz w:val="24"/>
      <w:szCs w:val="24"/>
      <w:lang w:val="pt-BR" w:eastAsia="pt-BR" w:bidi="ar-SA"/>
    </w:rPr>
  </w:style>
  <w:style w:type="paragraph" w:styleId="TC-TituloSumario" w:customStyle="1">
    <w:name w:val="TC-TituloSumario"/>
    <w:qFormat/>
    <w:rsid w:val="00b4776b"/>
    <w:pPr>
      <w:pageBreakBefore/>
      <w:widowControl w:val="false"/>
      <w:bidi w:val="0"/>
      <w:spacing w:lineRule="auto" w:line="360" w:before="980" w:after="1740"/>
      <w:jc w:val="center"/>
    </w:pPr>
    <w:rPr>
      <w:rFonts w:ascii="Times New Roman" w:hAnsi="Times New Roman" w:eastAsia="Times New Roman" w:cs="Times New Roman"/>
      <w:b/>
      <w:caps/>
      <w:color w:val="auto"/>
      <w:kern w:val="0"/>
      <w:sz w:val="26"/>
      <w:szCs w:val="20"/>
      <w:lang w:val="pt-BR" w:eastAsia="pt-BR" w:bidi="ar-SA"/>
    </w:rPr>
  </w:style>
  <w:style w:type="paragraph" w:styleId="TE-LegendaTabela" w:customStyle="1">
    <w:name w:val="TE-LegendaTabela"/>
    <w:next w:val="TE-FonteFiguraQuadroTabela"/>
    <w:qFormat/>
    <w:rsid w:val="0041607b"/>
    <w:pPr>
      <w:widowControl/>
      <w:numPr>
        <w:ilvl w:val="0"/>
        <w:numId w:val="8"/>
      </w:numPr>
      <w:bidi w:val="0"/>
      <w:spacing w:before="240" w:after="0"/>
      <w:jc w:val="center"/>
    </w:pPr>
    <w:rPr>
      <w:rFonts w:ascii="Times New Roman" w:hAnsi="Times New Roman" w:eastAsia="Times New Roman" w:cs="Times New Roman"/>
      <w:color w:val="auto"/>
      <w:kern w:val="0"/>
      <w:sz w:val="22"/>
      <w:szCs w:val="20"/>
      <w:lang w:val="pt-BR" w:eastAsia="pt-BR" w:bidi="ar-SA"/>
    </w:rPr>
  </w:style>
  <w:style w:type="paragraph" w:styleId="BalloonText">
    <w:name w:val="Balloon Text"/>
    <w:basedOn w:val="Normal"/>
    <w:link w:val="TextodebaloChar"/>
    <w:uiPriority w:val="99"/>
    <w:semiHidden/>
    <w:unhideWhenUsed/>
    <w:qFormat/>
    <w:rsid w:val="002e57a4"/>
    <w:pPr/>
    <w:rPr>
      <w:rFonts w:ascii="Tahoma" w:hAnsi="Tahoma" w:cs="Tahoma"/>
      <w:sz w:val="16"/>
      <w:szCs w:val="16"/>
    </w:rPr>
  </w:style>
  <w:style w:type="paragraph" w:styleId="Annotationtext">
    <w:name w:val="annotation text"/>
    <w:basedOn w:val="Normal"/>
    <w:link w:val="TextodecomentrioChar"/>
    <w:uiPriority w:val="99"/>
    <w:unhideWhenUsed/>
    <w:qFormat/>
    <w:rsid w:val="007219a4"/>
    <w:pPr/>
    <w:rPr/>
  </w:style>
  <w:style w:type="paragraph" w:styleId="Annotationsubject">
    <w:name w:val="annotation subject"/>
    <w:basedOn w:val="Annotationtext"/>
    <w:next w:val="Annotationtext"/>
    <w:link w:val="AssuntodocomentrioChar"/>
    <w:uiPriority w:val="99"/>
    <w:semiHidden/>
    <w:unhideWhenUsed/>
    <w:qFormat/>
    <w:rsid w:val="007219a4"/>
    <w:pPr/>
    <w:rPr>
      <w:b/>
      <w:bCs/>
    </w:rPr>
  </w:style>
  <w:style w:type="paragraph" w:styleId="Sub-subttulo" w:customStyle="1">
    <w:name w:val="Sub-subtítulo"/>
    <w:basedOn w:val="T3-TituloTerciario"/>
    <w:link w:val="Sub-subttuloChar"/>
    <w:qFormat/>
    <w:rsid w:val="00f5552e"/>
    <w:pPr>
      <w:ind w:left="0"/>
    </w:pPr>
    <w:rPr/>
  </w:style>
  <w:style w:type="paragraph" w:styleId="Subttul" w:customStyle="1">
    <w:name w:val="Subtítul"/>
    <w:basedOn w:val="T2-TituloSecundario"/>
    <w:link w:val="SubttulChar"/>
    <w:qFormat/>
    <w:rsid w:val="00f5552e"/>
    <w:pPr/>
    <w:rPr/>
  </w:style>
  <w:style w:type="paragraph" w:styleId="Ttulo-" w:customStyle="1">
    <w:name w:val="Título-"/>
    <w:basedOn w:val="T1-TituloPrimario"/>
    <w:link w:val="Ttulo-Char"/>
    <w:qFormat/>
    <w:rsid w:val="00f5552e"/>
    <w:pPr/>
    <w:rPr/>
  </w:style>
  <w:style w:type="paragraph" w:styleId="Ttulo-tcc" w:customStyle="1">
    <w:name w:val="Título-tcc"/>
    <w:basedOn w:val="Ttulo-"/>
    <w:link w:val="Ttulo-tccChar"/>
    <w:qFormat/>
    <w:rsid w:val="00f5552e"/>
    <w:pPr/>
    <w:rPr/>
  </w:style>
  <w:style w:type="paragraph" w:styleId="Contedodoquadro">
    <w:name w:val="Conteúdo do quadro"/>
    <w:basedOn w:val="Normal"/>
    <w:qFormat/>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rsid w:val="0041607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header" Target="header4.xml"/><Relationship Id="rId7" Type="http://schemas.openxmlformats.org/officeDocument/2006/relationships/header" Target="header5.xml"/><Relationship Id="rId8" Type="http://schemas.openxmlformats.org/officeDocument/2006/relationships/header" Target="header6.xml"/><Relationship Id="rId9" Type="http://schemas.openxmlformats.org/officeDocument/2006/relationships/header" Target="header7.xml"/><Relationship Id="rId10" Type="http://schemas.openxmlformats.org/officeDocument/2006/relationships/header" Target="header8.xml"/><Relationship Id="rId11" Type="http://schemas.openxmlformats.org/officeDocument/2006/relationships/header" Target="header9.xml"/><Relationship Id="rId12" Type="http://schemas.openxmlformats.org/officeDocument/2006/relationships/header" Target="header10.xml"/><Relationship Id="rId13" Type="http://schemas.openxmlformats.org/officeDocument/2006/relationships/header" Target="header11.xml"/><Relationship Id="rId14" Type="http://schemas.openxmlformats.org/officeDocument/2006/relationships/header" Target="header12.xml"/><Relationship Id="rId15" Type="http://schemas.openxmlformats.org/officeDocument/2006/relationships/header" Target="header13.xml"/><Relationship Id="rId16" Type="http://schemas.openxmlformats.org/officeDocument/2006/relationships/header" Target="header14.xml"/><Relationship Id="rId17" Type="http://schemas.openxmlformats.org/officeDocument/2006/relationships/header" Target="header15.xml"/><Relationship Id="rId18" Type="http://schemas.openxmlformats.org/officeDocument/2006/relationships/header" Target="header16.xml"/><Relationship Id="rId19" Type="http://schemas.openxmlformats.org/officeDocument/2006/relationships/header" Target="header17.xml"/><Relationship Id="rId20" Type="http://schemas.openxmlformats.org/officeDocument/2006/relationships/header" Target="header18.xml"/><Relationship Id="rId21" Type="http://schemas.openxmlformats.org/officeDocument/2006/relationships/header" Target="header19.xml"/><Relationship Id="rId22" Type="http://schemas.openxmlformats.org/officeDocument/2006/relationships/header" Target="header20.xml"/><Relationship Id="rId23" Type="http://schemas.openxmlformats.org/officeDocument/2006/relationships/header" Target="header21.xml"/><Relationship Id="rId24" Type="http://schemas.openxmlformats.org/officeDocument/2006/relationships/header" Target="header22.xml"/><Relationship Id="rId25" Type="http://schemas.openxmlformats.org/officeDocument/2006/relationships/header" Target="header23.xml"/><Relationship Id="rId26" Type="http://schemas.openxmlformats.org/officeDocument/2006/relationships/header" Target="header24.xml"/><Relationship Id="rId27" Type="http://schemas.openxmlformats.org/officeDocument/2006/relationships/header" Target="header25.xml"/><Relationship Id="rId28" Type="http://schemas.openxmlformats.org/officeDocument/2006/relationships/header" Target="header26.xml"/><Relationship Id="rId29" Type="http://schemas.openxmlformats.org/officeDocument/2006/relationships/header" Target="header27.xml"/><Relationship Id="rId30" Type="http://schemas.openxmlformats.org/officeDocument/2006/relationships/header" Target="header28.xml"/><Relationship Id="rId31" Type="http://schemas.openxmlformats.org/officeDocument/2006/relationships/header" Target="header29.xml"/><Relationship Id="rId32" Type="http://schemas.openxmlformats.org/officeDocument/2006/relationships/header" Target="header30.xml"/><Relationship Id="rId33" Type="http://schemas.openxmlformats.org/officeDocument/2006/relationships/header" Target="header31.xml"/><Relationship Id="rId34" Type="http://schemas.openxmlformats.org/officeDocument/2006/relationships/header" Target="header32.xml"/><Relationship Id="rId35" Type="http://schemas.openxmlformats.org/officeDocument/2006/relationships/header" Target="header33.xml"/><Relationship Id="rId36" Type="http://schemas.openxmlformats.org/officeDocument/2006/relationships/image" Target="media/image2.png"/><Relationship Id="rId37" Type="http://schemas.openxmlformats.org/officeDocument/2006/relationships/header" Target="header34.xml"/><Relationship Id="rId38" Type="http://schemas.openxmlformats.org/officeDocument/2006/relationships/header" Target="header35.xml"/><Relationship Id="rId39" Type="http://schemas.openxmlformats.org/officeDocument/2006/relationships/header" Target="header36.xml"/><Relationship Id="rId40" Type="http://schemas.openxmlformats.org/officeDocument/2006/relationships/header" Target="header37.xml"/><Relationship Id="rId41" Type="http://schemas.openxmlformats.org/officeDocument/2006/relationships/header" Target="header38.xml"/><Relationship Id="rId42" Type="http://schemas.openxmlformats.org/officeDocument/2006/relationships/header" Target="header39.xml"/><Relationship Id="rId43" Type="http://schemas.openxmlformats.org/officeDocument/2006/relationships/header" Target="header40.xml"/><Relationship Id="rId44" Type="http://schemas.openxmlformats.org/officeDocument/2006/relationships/header" Target="header41.xml"/><Relationship Id="rId45" Type="http://schemas.openxmlformats.org/officeDocument/2006/relationships/header" Target="header42.xml"/><Relationship Id="rId46" Type="http://schemas.openxmlformats.org/officeDocument/2006/relationships/header" Target="header43.xml"/><Relationship Id="rId47" Type="http://schemas.openxmlformats.org/officeDocument/2006/relationships/header" Target="header44.xml"/><Relationship Id="rId48" Type="http://schemas.openxmlformats.org/officeDocument/2006/relationships/header" Target="header45.xml"/><Relationship Id="rId49" Type="http://schemas.openxmlformats.org/officeDocument/2006/relationships/footnotes" Target="footnotes.xml"/><Relationship Id="rId50" Type="http://schemas.openxmlformats.org/officeDocument/2006/relationships/comments" Target="comments.xml"/><Relationship Id="rId51" Type="http://schemas.openxmlformats.org/officeDocument/2006/relationships/numbering" Target="numbering.xml"/><Relationship Id="rId52" Type="http://schemas.openxmlformats.org/officeDocument/2006/relationships/fontTable" Target="fontTable.xml"/><Relationship Id="rId53" Type="http://schemas.openxmlformats.org/officeDocument/2006/relationships/settings" Target="settings.xml"/><Relationship Id="rId54" Type="http://schemas.openxmlformats.org/officeDocument/2006/relationships/theme" Target="theme/theme1.xml"/><Relationship Id="rId55" Type="http://schemas.openxmlformats.org/officeDocument/2006/relationships/customXml" Target="../customXml/item1.xml"/><Relationship Id="rId56" Type="http://schemas.openxmlformats.org/officeDocument/2006/relationships/image" Target="media/image_fig1.png"/><Relationship Id="rId57" Type="http://schemas.openxmlformats.org/officeDocument/2006/relationships/image" Target="media/image_fig2.png"/><Relationship Id="rId59" Type="http://schemas.openxmlformats.org/officeDocument/2006/relationships/image" Target="media/image_fig4.png"/><Relationship Id="rId60" Type="http://schemas.openxmlformats.org/officeDocument/2006/relationships/image" Target="media/image_fig5.png"/>
<Relationship Id="rId900" Type="http://schemas.openxmlformats.org/officeDocument/2006/relationships/image" Target="media/image_classes.png"/></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BE6EF-EC86-44EB-B2D8-669590BF8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modelomonografiafinalcc_sis_26.06.2013.dotx</Template>
  <TotalTime>552</TotalTime>
  <Application>LibreOffice/24.2.3.2$Windows_X86_64 LibreOffice_project/433d9c2ded56988e8a90e6b2e771ee4e6a5ab2ba</Application>
  <AppVersion>15.0000</AppVersion>
  <Pages>41</Pages>
  <Words>7226</Words>
  <Characters>41355</Characters>
  <CharactersWithSpaces>48379</CharactersWithSpaces>
  <Paragraphs>308</Paragraphs>
  <Company>Particular</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2026-02-20T18:39:00Z</dcterms:created>
  <dc:creator>Usuarios</dc:creator>
  <dc:description/>
  <dc:language>pt-BR</dc:language>
  <cp:lastModifiedBy/>
  <cp:lastPrinted>2016-08-08T17:56:00Z</cp:lastPrinted>
  <dcterms:modified xsi:type="dcterms:W3CDTF">2026-08-28T09:16:07Z</dcterms:modified>
  <cp:revision>24</cp:revision>
  <dc:subject>TCC</dc:subject>
  <dc:title>Modelo Relatório Final - Word - Versão 1.0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3111566449e2eeda46ca721fa8002f327c01c3ee51fa7bc3d52ea37f2119ca23</vt:lpwstr>
  </property>
</Properties>
</file>