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0B2D35AB" w14:textId="77777777" w:rsidR="009E305C" w:rsidRDefault="00000000">
      <w:pPr>
        <w:pStyle w:val="T2-TituloSecundario"/>
      </w:pPr>
      <w:r>
        <w:t>Contextualização</w:t>
      </w:r>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invertido, retrogradado ou alterado ritmicamente e ainda assim ser reconhecido como o mesmo motivo por um analista e, no caso da transposição, também por um ouvinte. Esse fenômeno é descrito na teoria musical pelo conceito de </w:t>
      </w:r>
      <w:r>
        <w:rPr>
          <w:i/>
          <w:iCs/>
        </w:rPr>
        <w:t>Grundgestalt</w:t>
      </w:r>
      <w:r>
        <w:t xml:space="preserve"> e pela ideia de </w:t>
      </w:r>
      <w:r>
        <w:rPr>
          <w:i/>
          <w:iCs/>
        </w:rPr>
        <w:t>developing variation</w:t>
      </w:r>
      <w:r>
        <w:t xml:space="preserve"> (SCHOENBERG, 1967), segundo a qual uma célula temática básica se desdobra e se transforma ao longo da obra sem perder sua identidade — processo que Réti (1951 apud PEYERL; BARROS, 2017) já caracterizava como subjacente à construção temática de obras do repertório tonal, e que Frisch (1984) examinou de forma sistemática em dezoito obras de Brahms.</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revisar a fundamentação teórico-musical sobre transformação motívica (</w:t>
      </w:r>
      <w:r>
        <w:rPr>
          <w:i/>
          <w:iCs/>
        </w:rPr>
        <w:t>Grundgestalt</w:t>
      </w:r>
      <w:r>
        <w:t xml:space="preserve">, </w:t>
      </w:r>
      <w:r>
        <w:rPr>
          <w:i/>
          <w:iCs/>
        </w:rPr>
        <w:t>developing variation</w:t>
      </w:r>
      <w:r>
        <w:t>)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r>
        <w:t>Procedimentos Metodológicos</w:t>
      </w:r>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transformação motívica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transformação motívica, de Schoenberg a Narmour.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r>
        <w:lastRenderedPageBreak/>
        <w:t>Fundamentação Teórico-Musical da Transformação Motívica</w:t>
      </w:r>
      <w:bookmarkEnd w:id="40"/>
    </w:p>
    <w:p w14:paraId="4B90DB0A" w14:textId="77777777" w:rsidR="009E305C" w:rsidRDefault="00000000">
      <w:pPr>
        <w:pStyle w:val="TE-Normal"/>
      </w:pPr>
      <w:r>
        <w:t xml:space="preserve">Este capítulo revisa a fundamentação teórico-musical sobre identidade e transformação motívica que sustenta a premissa central deste trabalho: a de que um motivo pode ser transposto, invertido, retrogradado ou ritmicamente alterado e, ainda assim, ser reconhecido como o mesmo motivo. Parte-se do conceito de Schoenberg de </w:t>
      </w:r>
      <w:r>
        <w:rPr>
          <w:i/>
          <w:iCs/>
        </w:rPr>
        <w:t>Grundgestalt</w:t>
      </w:r>
      <w:r>
        <w:t xml:space="preserve"> e </w:t>
      </w:r>
      <w:r>
        <w:rPr>
          <w:i/>
          <w:iCs/>
        </w:rPr>
        <w:t>developing variation</w:t>
      </w:r>
      <w:r>
        <w:t>, passa-se pelo método analítico de Réti — e pela crítica que Frisch lhe dirige — e chega-se ao modelo de implicação-realização de Narmour, que desloca a discussão do plano estrutural para o plano perceptivo: em que medida, para um ouvinte, um motivo transformado ainda soa como o mesmo motivo.</w:t>
      </w:r>
    </w:p>
    <w:p w14:paraId="0F2FE388" w14:textId="77777777" w:rsidR="009E305C" w:rsidRDefault="00000000">
      <w:pPr>
        <w:pStyle w:val="TE-Normal"/>
      </w:pPr>
      <w:r>
        <w:t>Das quatro transformações consideradas neste trabalho, a transposição é a menos contestada teoricamente: nenhum dos autores revisados a trata como uma ruptura de identidade — Réti e Frisch analisam sistematicamente temas que mudam de tonalidade ao longo de uma obra sem que isso comprometa sua leitura como o mesmo tema. Já a variação rítmica, embora admitida por Schoenberg entre as modificações possíveis de um motivo (Seção 2.1), não recebe desses autores um critério que permita medir quanto de alteração rítmica um motivo tolera sem perder sua identidade; essa medida é tratada, neste trabalho, no plano computacional, na etapa de pontuação da heurística descrita no Capítulo 5.</w:t>
      </w:r>
    </w:p>
    <w:p w14:paraId="3B38842A" w14:textId="77777777" w:rsidR="009E305C" w:rsidRDefault="00000000">
      <w:pPr>
        <w:pStyle w:val="TE-Normal"/>
      </w:pPr>
      <w:r>
        <w:rPr>
          <w:highlight w:val="yellow"/>
        </w:rPr>
        <w:t xml:space="preserve">[CONFERIR NO FUNDAMENTALS OF MUSICAL COMPOSITION, capítulo sobre o motivo: localizar a página em que Schoenberg admite modificações rítmicas do motivo, para citá-la na frase acima — ver também se o termo </w:t>
      </w:r>
      <w:r>
        <w:rPr>
          <w:i/>
          <w:iCs/>
          <w:highlight w:val="yellow"/>
        </w:rPr>
        <w:t>Grundgestalt</w:t>
      </w:r>
      <w:r>
        <w:rPr>
          <w:highlight w:val="yellow"/>
        </w:rPr>
        <w:t xml:space="preserve"> aparece no livro ou apenas em outros escritos de Schoenberg]</w:t>
      </w:r>
    </w:p>
    <w:p w14:paraId="02331C19" w14:textId="77777777" w:rsidR="009E305C" w:rsidRDefault="00000000">
      <w:pPr>
        <w:pStyle w:val="TE-Normal"/>
      </w:pPr>
      <w:r>
        <w:rPr>
          <w:highlight w:val="yellow"/>
        </w:rPr>
        <w:t xml:space="preserve">[REVISAR COM COORIENTADOR: este capítulo é uma primeira proposta </w:t>
        <w:lastRenderedPageBreak/>
        <w:t>de fundamentação teórico-musical, redigida antes do retorno do coorientador de música sobre quais referências e ênfases ele considera adequadas — sujeito a revisão]</w:t>
      </w:r>
    </w:p>
    <w:p w14:paraId="7DC9A094" w14:textId="77777777" w:rsidR="009E305C" w:rsidRDefault="00000000">
      <w:pPr>
        <w:pStyle w:val="T2-TituloSecundario"/>
      </w:pPr>
      <w:bookmarkStart w:id="41" w:name="__RefHeading___Toc1044_1503872338"/>
      <w:bookmarkStart w:id="42" w:name="_Toc242031503"/>
      <w:bookmarkEnd w:id="41"/>
      <w:r>
        <w:rPr>
          <w:i/>
          <w:iCs/>
        </w:rPr>
        <w:t>Grundgestalt</w:t>
      </w:r>
      <w:r>
        <w:t xml:space="preserve"> e </w:t>
      </w:r>
      <w:r>
        <w:rPr>
          <w:i/>
          <w:iCs/>
        </w:rPr>
        <w:t>developing variation</w:t>
      </w:r>
      <w:bookmarkEnd w:id="42"/>
    </w:p>
    <w:p w14:paraId="3B224222" w14:textId="77777777" w:rsidR="009E305C" w:rsidRDefault="00000000">
      <w:pPr>
        <w:pStyle w:val="TE-Normal"/>
      </w:pPr>
      <w:r>
        <w:t xml:space="preserve">Arnold Schoenberg (1967), em </w:t>
      </w:r>
      <w:r>
        <w:rPr>
          <w:i/>
          <w:iCs/>
        </w:rPr>
        <w:t>Fundamentals of Musical Composition</w:t>
      </w:r>
      <w:r>
        <w:t xml:space="preserve"> — coletânea de suas anotações de ensino organizada postumamente por Gerald Strang e Leonard Stein —, descreve a </w:t>
      </w:r>
      <w:r>
        <w:rPr>
          <w:i/>
          <w:iCs/>
        </w:rPr>
        <w:t>Grundgestalt</w:t>
      </w:r>
      <w:r>
        <w:t xml:space="preserve"> (forma básica) como a célula temática elementar da qual uma composição inteira deriva. Para Schoenberg, praticamente todo elemento de uma peça bem construída — motivos, frases, seções inteiras — pode ser rastreado até essa ideia germinal, apresentada logo no início da obra.</w:t>
      </w:r>
    </w:p>
    <w:p w14:paraId="2C4FE034" w14:textId="77777777" w:rsidR="009E305C" w:rsidRDefault="00000000">
      <w:pPr>
        <w:pStyle w:val="TE-Normal"/>
      </w:pPr>
      <w:r>
        <w:t xml:space="preserve">O mecanismo pelo qual a </w:t>
      </w:r>
      <w:r>
        <w:rPr>
          <w:i/>
          <w:iCs/>
        </w:rPr>
        <w:t>Grundgestalt</w:t>
      </w:r>
      <w:r>
        <w:t xml:space="preserve"> se desdobra ao longo da peça é o que Schoenberg chama de </w:t>
      </w:r>
      <w:r>
        <w:rPr>
          <w:i/>
          <w:iCs/>
        </w:rPr>
        <w:t>developing variation</w:t>
      </w:r>
      <w:r>
        <w:t xml:space="preserve">: a ideia básica não é simplesmente repetida, mas continuamente variada, gerando novo material sem que a variação rompa o vínculo de identidade com a forma original. Uma variação pode alterar intervalos, ritmo, direção ou contorno do material original; o que a mantém reconhecível como desenvolvimento da mesma ideia, e não como material inteiramente novo, é a preservação de alguma relação estrutural com a </w:t>
      </w:r>
      <w:r>
        <w:rPr>
          <w:i/>
          <w:iCs/>
        </w:rPr>
        <w:t>Grundgestalt</w:t>
      </w:r>
      <w:r>
        <w:t>.</w:t>
      </w:r>
    </w:p>
    <w:p w14:paraId="0F58FA2B" w14:textId="77777777" w:rsidR="009E305C" w:rsidRDefault="00000000">
      <w:pPr>
        <w:pStyle w:val="TE-Normal"/>
      </w:pPr>
      <w:r>
        <w:t>É esse mecanismo — identidade preservada através de transformações sucessivas — que fundamenta teoricamente a premissa central deste trabalho. Onde Schoenberg descreve a transformação motívica como processo composicional interno a uma única obra, este trabalho a trata como problema computacional: dadas duas versões simbólicas de uma composição, identificar os pontos em que a mesma ideia básica, mesmo transformada, reaparece.</w:t>
      </w:r>
    </w:p>
    <w:p w14:paraId="6381FDD7" w14:textId="77777777" w:rsidR="009E305C" w:rsidRDefault="00000000">
      <w:pPr>
        <w:pStyle w:val="T2-TituloSecundario"/>
      </w:pPr>
      <w:bookmarkStart w:id="43" w:name="__RefHeading___Toc1042_1503872338"/>
      <w:bookmarkStart w:id="44" w:name="_Toc242031504"/>
      <w:bookmarkEnd w:id="43"/>
      <w:r>
        <w:t>O processo temático em Réti e sua extensão crítica por Frisch</w:t>
      </w:r>
      <w:bookmarkEnd w:id="44"/>
    </w:p>
    <w:p w14:paraId="0CF4001E" w14:textId="77777777" w:rsidR="009E305C" w:rsidRDefault="00000000">
      <w:pPr>
        <w:pStyle w:val="TE-Normal"/>
      </w:pPr>
      <w:r>
        <w:t xml:space="preserve">Rudolph Réti, em </w:t>
      </w:r>
      <w:r>
        <w:rPr>
          <w:i/>
          <w:iCs/>
        </w:rPr>
        <w:t>The Thematic Process in Music</w:t>
      </w:r>
      <w:r>
        <w:t xml:space="preserve"> (1951), leva a intuição de Schoenberg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2E1598BB" w14:textId="77777777" w:rsidR="009E305C" w:rsidRDefault="00000000">
      <w:pPr>
        <w:pStyle w:val="T2-TituloSecundario"/>
      </w:pPr>
      <w:bookmarkStart w:id="45" w:name="__RefHeading___Toc1040_1503872338"/>
      <w:bookmarkStart w:id="46" w:name="_Toc242031505"/>
      <w:bookmarkEnd w:id="45"/>
      <w:r>
        <w:t>Percepção melódica: o modelo de implicação-realização de Narmour</w:t>
      </w:r>
      <w:bookmarkEnd w:id="46"/>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o de Schoenberg, Réti e Frisch,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Este capítulo revisou três perspectivas sobre a transformação motívica: a composicional, em Schoenberg; a analítica, em Réti e na resposta crítica de Frisch; e a perceptiva, em Narmour, delimitada pelos experimentos de Dowling (1972). As duas primeiras convergem para a conclusão de que a identidade de um motivo sobrevive a transformações estruturais, do ponto de vista de quem compõe e de quem analisa. Do ponto de vista de quem ouve, essa conclusão está bem sustentada no caso da transposição, mas não no da inversão e da retrogradação. Nenhuma das três perspectivas, além disso, oferece um critério objetivo e computável para decidir quando essa identidade se mantém.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r>
        <w:t>Planejamento da Avaliação</w:t>
      </w:r>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 e é descrito com detalhe suficiente para que outro pesquisador possa reproduzir a avaliação.</w:t>
      </w:r>
    </w:p>
    <w:p w14:paraId="66DE08D3" w14:textId="77777777" w:rsidR="009E305C" w:rsidRDefault="00000000">
      <w:pPr>
        <w:pStyle w:val="T3-TituloTerci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A modelagem situa-se no nível arquitetural e deixa em aberto os parâmetros concretos do algoritmo, como o tamanho da semente, o limiar de X-drop e os pesos de pontuação.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(Seções 1.5 e 5.6)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e orçamento (Capítulos 6 e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 Capítulo 5 e na Seção 1.5,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5.6.1)</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r>
        <w:t>ORÇAMENTO</w:t>
      </w:r>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6EB5D05" w14:textId="77777777" w:rsidR="009E305C" w:rsidRDefault="00000000">
      <w:pPr>
        <w:pStyle w:val="PT-Referencias"/>
        <w:rPr>
          <w:lang w:val="en-US"/>
        </w:rPr>
      </w:pPr>
      <w:r>
        <w:rPr>
          <w:lang w:val="en-US"/>
        </w:rPr>
        <w:t xml:space="preserve">SCHOENBERG, A. </w:t>
      </w:r>
      <w:r>
        <w:rPr>
          <w:b/>
          <w:bCs/>
          <w:lang w:val="en-US"/>
        </w:rPr>
        <w:t>Fundamentals of musical composition</w:t>
      </w:r>
      <w:r>
        <w:rPr>
          <w:lang w:val="en-US"/>
        </w:rPr>
        <w:t xml:space="preserve">. </w:t>
      </w:r>
      <w:r>
        <w:t xml:space="preserve">Ed. Gerald Strang, com a colaboração de Leonard Stein. </w:t>
      </w:r>
      <w:r>
        <w:rPr>
          <w:lang w:val="en-US"/>
        </w:rPr>
        <w:t>Londres: Faber and Faber, 1967.</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