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40"/>
          <w:szCs w:val="40"/>
        </w:rPr>
        <w:t xml:space="preserve">Busca e Recuperação de Informação</w:t>
      </w:r>
    </w:p>
    <w:p>
      <w:pPr>
        <w:spacing w:after="800"/>
        <w:jc w:val="center"/>
      </w:pPr>
      <w:r>
        <w:rPr>
          <w:sz w:val="32"/>
          <w:szCs w:val="32"/>
        </w:rPr>
        <w:t xml:space="preserve">Trabalho: Implementando Motores de Busca</w:t>
      </w:r>
    </w:p>
    <w:p>
      <w:pPr>
        <w:jc w:val="center"/>
      </w:pPr>
      <w:r>
        <w:rPr>
          <w:sz w:val="24"/>
          <w:szCs w:val="24"/>
        </w:rPr>
        <w:t xml:space="preserve">Universidade Federal Rural do Rio de Janeiro (UFRRJ)</w:t>
      </w:r>
    </w:p>
    <w:p>
      <w:pPr>
        <w:jc w:val="center"/>
      </w:pPr>
      <w:r>
        <w:rPr>
          <w:sz w:val="24"/>
          <w:szCs w:val="24"/>
        </w:rPr>
        <w:t xml:space="preserve">Disciplina: Busca e Recuperação de Informação</w:t>
      </w:r>
    </w:p>
    <w:p>
      <w:pPr>
        <w:spacing w:after="800"/>
        <w:jc w:val="center"/>
      </w:pPr>
      <w:r>
        <w:rPr>
          <w:sz w:val="24"/>
          <w:szCs w:val="24"/>
        </w:rPr>
        <w:t xml:space="preserve">Professor: Fellipe Duarte</w:t>
      </w:r>
    </w:p>
    <w:p>
      <w:r>
        <w:br w:type="page"/>
      </w:r>
    </w:p>
    <w:p>
      <w:pPr>
        <w:pStyle w:val="Heading1"/>
        <w:spacing w:after="200" w:before="400"/>
      </w:pPr>
      <w:r>
        <w:t xml:space="preserve">Capítulo 1 — Análise da Coleção</w:t>
      </w:r>
    </w:p>
    <w:p>
      <w:pPr>
        <w:pStyle w:val="Heading2"/>
        <w:spacing w:after="200" w:before="400"/>
      </w:pPr>
      <w:r>
        <w:t xml:space="preserve">1.1 Resumo dos dados obtidos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D9E2F3" w:val="clear"/>
          </w:tcPr>
          <w:p>
            <w:r>
              <w:rPr>
                <w:b/>
                <w:bCs/>
                <w:sz w:val="20"/>
                <w:szCs w:val="20"/>
              </w:rPr>
              <w:t xml:space="preserve">Métrica</w:t>
            </w:r>
          </w:p>
        </w:tc>
        <w:tc>
          <w:tcPr>
            <w:tcW w:type="dxa" w:w="3500"/>
            <w:shd w:fill="D9E2F3" w:val="clear"/>
          </w:tcPr>
          <w:p>
            <w:r>
              <w:rPr>
                <w:b/>
                <w:bCs/>
                <w:sz w:val="20"/>
                <w:szCs w:val="20"/>
              </w:rPr>
              <w:t xml:space="preserve">Valor</w:t>
            </w:r>
          </w:p>
        </w:tc>
      </w:tr>
      <w:tr>
        <w:tc>
          <w:tcPr>
            <w:tcW w:type="dxa" w:w="5500"/>
          </w:tcPr>
          <w:p>
            <w:r>
              <w:rPr>
                <w:b w:val="false"/>
                <w:bCs w:val="false"/>
                <w:sz w:val="20"/>
                <w:szCs w:val="20"/>
              </w:rPr>
              <w:t xml:space="preserve">Tamanho do vocabulário</w:t>
            </w:r>
          </w:p>
        </w:tc>
        <w:tc>
          <w:tcPr>
            <w:tcW w:type="dxa" w:w="3500"/>
          </w:tcPr>
          <w:p>
            <w:r>
              <w:rPr>
                <w:b w:val="false"/>
                <w:bCs w:val="false"/>
                <w:sz w:val="20"/>
                <w:szCs w:val="20"/>
              </w:rPr>
              <w:t xml:space="preserve">1.462.694 palavras distintas</w:t>
            </w:r>
          </w:p>
        </w:tc>
      </w:tr>
      <w:tr>
        <w:tc>
          <w:tcPr>
            <w:tcW w:type="dxa" w:w="5500"/>
          </w:tcPr>
          <w:p>
            <w:r>
              <w:rPr>
                <w:b w:val="false"/>
                <w:bCs w:val="false"/>
                <w:sz w:val="20"/>
                <w:szCs w:val="20"/>
              </w:rPr>
              <w:t xml:space="preserve">Total de palavras na coleção</w:t>
            </w:r>
          </w:p>
        </w:tc>
        <w:tc>
          <w:tcPr>
            <w:tcW w:type="dxa" w:w="3500"/>
          </w:tcPr>
          <w:p>
            <w:r>
              <w:rPr>
                <w:b w:val="false"/>
                <w:bCs w:val="false"/>
                <w:sz w:val="20"/>
                <w:szCs w:val="20"/>
              </w:rPr>
              <w:t xml:space="preserve">429.496.756</w:t>
            </w:r>
          </w:p>
        </w:tc>
      </w:tr>
      <w:tr>
        <w:tc>
          <w:tcPr>
            <w:tcW w:type="dxa" w:w="5500"/>
          </w:tcPr>
          <w:p>
            <w:r>
              <w:rPr>
                <w:b w:val="false"/>
                <w:bCs w:val="false"/>
                <w:sz w:val="20"/>
                <w:szCs w:val="20"/>
              </w:rPr>
              <w:t xml:space="preserve">Palavras que aparecem apenas 1 vez (hapax legomena)</w:t>
            </w:r>
          </w:p>
        </w:tc>
        <w:tc>
          <w:tcPr>
            <w:tcW w:type="dxa" w:w="3500"/>
          </w:tcPr>
          <w:p>
            <w:r>
              <w:rPr>
                <w:b w:val="false"/>
                <w:bCs w:val="false"/>
                <w:sz w:val="20"/>
                <w:szCs w:val="20"/>
              </w:rPr>
              <w:t xml:space="preserve">694.778 (47,5% do vocabulário)</w:t>
            </w:r>
          </w:p>
        </w:tc>
      </w:tr>
      <w:tr>
        <w:tc>
          <w:tcPr>
            <w:tcW w:type="dxa" w:w="5500"/>
          </w:tcPr>
          <w:p>
            <w:r>
              <w:rPr>
                <w:b w:val="false"/>
                <w:bCs w:val="false"/>
                <w:sz w:val="20"/>
                <w:szCs w:val="20"/>
              </w:rPr>
              <w:t xml:space="preserve">Stopwords NLTK (inglês) encontradas</w:t>
            </w:r>
          </w:p>
        </w:tc>
        <w:tc>
          <w:tcPr>
            <w:tcW w:type="dxa" w:w="3500"/>
          </w:tcPr>
          <w:p>
            <w:r>
              <w:rPr>
                <w:b w:val="false"/>
                <w:bCs w:val="false"/>
                <w:sz w:val="20"/>
                <w:szCs w:val="20"/>
              </w:rPr>
              <w:t xml:space="preserve">153 de 198</w:t>
            </w:r>
          </w:p>
        </w:tc>
      </w:tr>
      <w:tr>
        <w:tc>
          <w:tcPr>
            <w:tcW w:type="dxa" w:w="5500"/>
          </w:tcPr>
          <w:p>
            <w:r>
              <w:rPr>
                <w:b w:val="false"/>
                <w:bCs w:val="false"/>
                <w:sz w:val="20"/>
                <w:szCs w:val="20"/>
              </w:rPr>
              <w:t xml:space="preserve">Ocorrências de stopwords no corpus</w:t>
            </w:r>
          </w:p>
        </w:tc>
        <w:tc>
          <w:tcPr>
            <w:tcW w:type="dxa" w:w="3500"/>
          </w:tcPr>
          <w:p>
            <w:r>
              <w:rPr>
                <w:b w:val="false"/>
                <w:bCs w:val="false"/>
                <w:sz w:val="20"/>
                <w:szCs w:val="20"/>
              </w:rPr>
              <w:t xml:space="preserve">207.945.437 (48,4% do total de palavras)</w:t>
            </w:r>
          </w:p>
        </w:tc>
      </w:tr>
    </w:tbl>
    <w:p>
      <w:pPr>
        <w:spacing w:after="200"/>
      </w:pPr>
    </w:p>
    <w:p>
      <w:pPr>
        <w:pBdr>
          <w:top w:val="single" w:color="CCCCCC" w:sz="4"/>
          <w:bottom w:val="single" w:color="CCCCCC" w:sz="4"/>
          <w:left w:val="single" w:color="CCCCCC" w:sz="4"/>
          <w:right w:val="single" w:color="CCCCCC" w:sz="4"/>
        </w:pBdr>
        <w:spacing w:after="100" w:before="200"/>
        <w:jc w:val="center"/>
      </w:pPr>
      <w:r>
        <w:rPr>
          <w:i/>
          <w:iCs/>
          <w:color w:val="888888"/>
        </w:rPr>
        <w:t xml:space="preserve">[Inserir aqui a figura: zipf_distribution.png]</w:t>
      </w:r>
    </w:p>
    <w:p>
      <w:pPr>
        <w:spacing w:after="300"/>
        <w:jc w:val="center"/>
      </w:pPr>
      <w:r>
        <w:rPr>
          <w:i/>
          <w:iCs/>
          <w:sz w:val="18"/>
          <w:szCs w:val="18"/>
        </w:rPr>
        <w:t xml:space="preserve">Figura 1.1 — Distribuição rank x frequência das palavras no corpus (Lei de Zipf)</w:t>
      </w:r>
    </w:p>
    <w:p>
      <w:pPr>
        <w:pStyle w:val="Heading2"/>
        <w:spacing w:after="200" w:before="400"/>
      </w:pPr>
      <w:r>
        <w:t xml:space="preserve">1.2 Discussão dos impactos no motor de busca</w:t>
      </w:r>
    </w:p>
    <w:p>
      <w:pPr>
        <w:spacing w:after="200" w:line="276"/>
        <w:jc w:val="both"/>
      </w:pPr>
      <w:r>
        <w:t xml:space="preserve">A distribuição segue a Lei de Zipf. O gráfico rank x frequência (escala log-log) forma uma reta descendente ao longo da maior parte do vocabulário, confirmando que poucas palavras concentram a maioria das ocorrências, enquanto uma cauda longa de palavras raras representa quase metade do vocabulário mas contribui muito pouco individualmente para o volume total de texto. Esse padrão não é uma curiosidade estatística — ele orienta diretamente decisões de engenharia de um motor de busca.</w:t>
      </w:r>
    </w:p>
    <w:p>
      <w:pPr>
        <w:spacing w:after="200" w:line="276"/>
        <w:jc w:val="both"/>
      </w:pPr>
      <w:r>
        <w:rPr>
          <w:b/>
          <w:bCs/>
        </w:rPr>
        <w:t xml:space="preserve">1. Palavras frequentes (topo do ranking) têm baixo poder discriminativo.</w:t>
      </w:r>
      <w:r>
        <w:t xml:space="preserve"> As 10 palavras mais frequentes ("the", "of", "and", "to", "a", "in", "that", "was", "it", "is") são todas stopwords estruturais do inglês. Elas aparecem em praticamente todo documento da coleção, então indexá-las com o mesmo peso que termos raros não ajuda a diferenciar um documento relevante de um irrelevante — pelo contrário, infla o índice invertido com listas de postings gigantescas para ganho de recuperação quase nulo. Isso justifica dois pontos centrais do projeto: (a) a decisão de testar remoção de stopwords como uma das abordagens de pré-processamento no Capítulo 2, e (b) o motivo de funções de ranking como o BM25 (usado no Capítulo 3) penalizarem termos de alta frequência através do componente IDF — o próprio desenho do BM25 é uma resposta direta a esse comportamento Zipfiano.</w:t>
      </w:r>
    </w:p>
    <w:p>
      <w:pPr>
        <w:spacing w:after="200" w:line="276"/>
        <w:jc w:val="both"/>
      </w:pPr>
      <w:r>
        <w:rPr>
          <w:b/>
          <w:bCs/>
        </w:rPr>
        <w:t xml:space="preserve">2. Quase metade do corpus é estruturalmente "ruído" do ponto de vista de recuperação.</w:t>
      </w:r>
      <w:r>
        <w:t xml:space="preserve"> Stopwords somam 48,4% de todas as ocorrências de palavras na coleção. Isso significa que, sem qualquer filtro, quase metade do processamento de indexação e busca é gasto em termos que não ajudam a distinguir documentos. Remover essas palavras antes de indexar reduz substancialmente o tamanho do índice e o tempo de processamento (métricas medidas no Capítulo 4), mas tem um custo: buscas por frases exatas que dependem de stopwords (ex. "to be or not to be") ficam prejudicadas ou impossíveis. Esse trade-off é exatamente o que motiva propor duas abordagens alternativas de pré-processamento no Capítulo 2, em vez de assumir uma única solução como "correta".</w:t>
      </w:r>
    </w:p>
    <w:p>
      <w:pPr>
        <w:spacing w:after="200" w:line="276"/>
        <w:jc w:val="both"/>
      </w:pPr>
      <w:r>
        <w:rPr>
          <w:b/>
          <w:bCs/>
        </w:rPr>
        <w:t xml:space="preserve">3. A cauda longa (hapax legomena) é cara para o índice, mas altamente informativa para buscas específicas.</w:t>
      </w:r>
      <w:r>
        <w:t xml:space="preserve"> 47,5% do vocabulário aparece apenas uma vez em toda a coleção. Do ponto de vista de armazenamento, cada uma dessas palavras exige uma entrada própria no índice invertido, mesmo contribuindo para apenas um único documento — um custo desproporcional ao benefício médio. Por outro lado, justamente por serem raras, essas palavras costumam ser as mais discriminativas quando aparecem em uma consulta: um termo raro presente tanto na consulta quanto em um documento é um forte indício de relevância (o mesmo princípio por trás do IDF). Isso é particularmente relevante para esta coleção, cujo objetivo final é detecção de plágio — palavras raras e específicas de um documento-fonte são justamente as pistas mais fortes de que um trecho suspeito foi copiado dali.</w:t>
      </w:r>
    </w:p>
    <w:p>
      <w:pPr>
        <w:spacing w:after="200" w:line="276"/>
        <w:jc w:val="both"/>
      </w:pPr>
      <w:r>
        <w:rPr>
          <w:b/>
          <w:bCs/>
        </w:rPr>
        <w:t xml:space="preserve">4. A tokenização escolhida já demonstrou impacto mensurável.</w:t>
      </w:r>
      <w:r>
        <w:t xml:space="preserve"> Um efeito colateral observado durante a análise: como o tokenizador usado (regex que mantém apenas letras) não preserva apóstrofos, contrações como "don't" e "won't" são quebradas em tokens separados ("don" + "t"), fazendo com que nenhuma contração da lista de stopwords do NLTK seja detectada corretamente (45 das 198 stopwords têm frequência zero na coleção, quase todas contrações). Isso evidencia, de forma concreta e não apenas teórica, como a etapa de pré-processamento — muitas vezes tratada como um detalhe trivial de implementação — pode silenciosamente alterar quais termos são reconhecidos como stopwords e, por consequência, todo o comportamento do motor de busca downstream.</w:t>
      </w:r>
    </w:p>
    <w:p>
      <w:pPr>
        <w:spacing w:after="200" w:line="276"/>
        <w:jc w:val="both"/>
      </w:pPr>
      <w:r>
        <w:rPr>
          <w:b/>
          <w:bCs/>
        </w:rPr>
        <w:t xml:space="preserve">5. Natureza multilíngue da coleção infla o vocabulário.</w:t>
      </w:r>
      <w:r>
        <w:t xml:space="preserve"> O tamanho do vocabulário (1.462.694 palavras distintas) é grande mesmo para um corpus de 429 milhões de palavras, o que se explica em parte pela composição da PAN-PC-2011: livros do Project Gutenberg em inglês, alemão e espanhol. Isso significa que o vocabulário observado mistura morfologia de três idiomas diferentes, além de nomes próprios e possíveis artefatos de formatação dos textos originais. Um motor de busca monolíngue (assumindo apenas inglês, como a lista de stopwords utilizada) terá parte do vocabulário — termos em alemão e espanhol — tratado como "ruído não filtrável", o que reforça a necessidade de considerar o idioma como parâmetro de configuração do pipeline de pré-processamento.</w:t>
      </w:r>
    </w:p>
    <w:p>
      <w:r>
        <w:br w:type="page"/>
      </w:r>
    </w:p>
    <w:p>
      <w:pPr>
        <w:pStyle w:val="Heading1"/>
        <w:spacing w:after="200" w:before="400"/>
      </w:pPr>
      <w:r>
        <w:t xml:space="preserve">Capítulo 2 — Proposta de Configuração de Motores de Busca</w:t>
      </w:r>
    </w:p>
    <w:p>
      <w:pPr>
        <w:pStyle w:val="Heading2"/>
        <w:spacing w:after="200" w:before="400"/>
      </w:pPr>
      <w:r>
        <w:t xml:space="preserve">2.1 Abordagens propostas por etapa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c>
          <w:tcPr>
            <w:tcW w:type="dxa" w:w="2200"/>
            <w:shd w:fill="D9E2F3" w:val="clear"/>
          </w:tcPr>
          <w:p>
            <w:r>
              <w:rPr>
                <w:b/>
                <w:bCs/>
                <w:sz w:val="20"/>
                <w:szCs w:val="20"/>
              </w:rPr>
              <w:t xml:space="preserve">Etapa</w:t>
            </w:r>
          </w:p>
        </w:tc>
        <w:tc>
          <w:tcPr>
            <w:tcW w:type="dxa" w:w="3600"/>
            <w:shd w:fill="D9E2F3" w:val="clear"/>
          </w:tcPr>
          <w:p>
            <w:r>
              <w:rPr>
                <w:b/>
                <w:bCs/>
                <w:sz w:val="20"/>
                <w:szCs w:val="20"/>
              </w:rPr>
              <w:t xml:space="preserve">Abordagem A</w:t>
            </w:r>
          </w:p>
        </w:tc>
        <w:tc>
          <w:tcPr>
            <w:tcW w:type="dxa" w:w="3600"/>
            <w:shd w:fill="D9E2F3" w:val="clear"/>
          </w:tcPr>
          <w:p>
            <w:r>
              <w:rPr>
                <w:b/>
                <w:bCs/>
                <w:sz w:val="20"/>
                <w:szCs w:val="20"/>
              </w:rPr>
              <w:t xml:space="preserve">Abordagem B</w:t>
            </w:r>
          </w:p>
        </w:tc>
      </w:tr>
      <w:tr>
        <w:tc>
          <w:tcPr>
            <w:tcW w:type="dxa" w:w="2200"/>
          </w:tcPr>
          <w:p>
            <w:r>
              <w:rPr>
                <w:b w:val="false"/>
                <w:bCs w:val="false"/>
                <w:sz w:val="20"/>
                <w:szCs w:val="20"/>
              </w:rPr>
              <w:t xml:space="preserve">Pré-processamento</w:t>
            </w:r>
          </w:p>
        </w:tc>
        <w:tc>
          <w:tcPr>
            <w:tcW w:type="dxa" w:w="3600"/>
          </w:tcPr>
          <w:p>
            <w:r>
              <w:rPr>
                <w:b w:val="false"/>
                <w:bCs w:val="false"/>
                <w:sz w:val="20"/>
                <w:szCs w:val="20"/>
              </w:rPr>
              <w:t xml:space="preserve">Mínimo: tokenização + lowercase, mantém stopwords, sem stemming</w:t>
            </w:r>
          </w:p>
        </w:tc>
        <w:tc>
          <w:tcPr>
            <w:tcW w:type="dxa" w:w="3600"/>
          </w:tcPr>
          <w:p>
            <w:r>
              <w:rPr>
                <w:b w:val="false"/>
                <w:bCs w:val="false"/>
                <w:sz w:val="20"/>
                <w:szCs w:val="20"/>
              </w:rPr>
              <w:t xml:space="preserve">Remove stopwords (NLTK) e aplica stemming (Porter)</w:t>
            </w:r>
          </w:p>
        </w:tc>
      </w:tr>
      <w:tr>
        <w:tc>
          <w:tcPr>
            <w:tcW w:type="dxa" w:w="2200"/>
          </w:tcPr>
          <w:p>
            <w:r>
              <w:rPr>
                <w:b w:val="false"/>
                <w:bCs w:val="false"/>
                <w:sz w:val="20"/>
                <w:szCs w:val="20"/>
              </w:rPr>
              <w:t xml:space="preserve">Extração de subconsulta</w:t>
            </w:r>
          </w:p>
        </w:tc>
        <w:tc>
          <w:tcPr>
            <w:tcW w:type="dxa" w:w="3600"/>
          </w:tcPr>
          <w:p>
            <w:r>
              <w:rPr>
                <w:b w:val="false"/>
                <w:bCs w:val="false"/>
                <w:sz w:val="20"/>
                <w:szCs w:val="20"/>
              </w:rPr>
              <w:t xml:space="preserve">Documento suspeito inteiro como uma única consulta</w:t>
            </w:r>
          </w:p>
        </w:tc>
        <w:tc>
          <w:tcPr>
            <w:tcW w:type="dxa" w:w="3600"/>
          </w:tcPr>
          <w:p>
            <w:r>
              <w:rPr>
                <w:b w:val="false"/>
                <w:bCs w:val="false"/>
                <w:sz w:val="20"/>
                <w:szCs w:val="20"/>
              </w:rPr>
              <w:t xml:space="preserve">Janelas deslizantes de sentenças como subconsultas independentes</w:t>
            </w:r>
          </w:p>
        </w:tc>
      </w:tr>
      <w:tr>
        <w:tc>
          <w:tcPr>
            <w:tcW w:type="dxa" w:w="2200"/>
          </w:tcPr>
          <w:p>
            <w:r>
              <w:rPr>
                <w:b w:val="false"/>
                <w:bCs w:val="false"/>
                <w:sz w:val="20"/>
                <w:szCs w:val="20"/>
              </w:rPr>
              <w:t xml:space="preserve">Expansão de subconsulta</w:t>
            </w:r>
          </w:p>
        </w:tc>
        <w:tc>
          <w:tcPr>
            <w:tcW w:type="dxa" w:w="3600"/>
          </w:tcPr>
          <w:p>
            <w:r>
              <w:rPr>
                <w:b w:val="false"/>
                <w:bCs w:val="false"/>
                <w:sz w:val="20"/>
                <w:szCs w:val="20"/>
              </w:rPr>
              <w:t xml:space="preserve">Sem expansão (termos literais)</w:t>
            </w:r>
          </w:p>
        </w:tc>
        <w:tc>
          <w:tcPr>
            <w:tcW w:type="dxa" w:w="3600"/>
          </w:tcPr>
          <w:p>
            <w:r>
              <w:rPr>
                <w:b w:val="false"/>
                <w:bCs w:val="false"/>
                <w:sz w:val="20"/>
                <w:szCs w:val="20"/>
              </w:rPr>
              <w:t xml:space="preserve">Expansão com sinônimos via WordNet (NLTK)</w:t>
            </w:r>
          </w:p>
        </w:tc>
      </w:tr>
    </w:tbl>
    <w:p>
      <w:pPr>
        <w:spacing w:after="200"/>
      </w:pPr>
    </w:p>
    <w:p>
      <w:pPr>
        <w:pStyle w:val="Heading2"/>
        <w:spacing w:after="200" w:before="400"/>
      </w:pPr>
      <w:r>
        <w:t xml:space="preserve">2.2 Discussão das 8 combinações</w:t>
      </w:r>
    </w:p>
    <w:p>
      <w:pPr>
        <w:spacing w:after="200" w:line="276"/>
        <w:jc w:val="both"/>
      </w:pPr>
      <w:r>
        <w:rPr>
          <w:b/>
          <w:bCs/>
        </w:rPr>
        <w:t xml:space="preserve">1. A + A + A (mínimo, documento inteiro, sem expansão).</w:t>
      </w:r>
      <w:r>
        <w:t xml:space="preserve"> Baseline absoluta. Rápida de indexar e buscar, mas o sinal do trecho plagiado fica diluído dentro do documento suspeito inteiro, e stopwords (48,4% do corpus, medido no Capítulo 1) inflam a similaridade entre documentos que não têm relação real de plágio. Espera-se baixa precisão e recall.</w:t>
      </w:r>
    </w:p>
    <w:p>
      <w:pPr>
        <w:spacing w:after="200" w:line="276"/>
        <w:jc w:val="both"/>
      </w:pPr>
      <w:r>
        <w:rPr>
          <w:b/>
          <w:bCs/>
        </w:rPr>
        <w:t xml:space="preserve">2. A + A + B (mínimo, documento inteiro, com sinônimos).</w:t>
      </w:r>
      <w:r>
        <w:t xml:space="preserve"> Tenta compensar a falta de normalização morfológica com sinônimos, mas o problema de diluição do sinal (documento inteiro como consulta) permanece. A expansão tende a piorar mais do que ajudar aqui, pois adiciona ainda mais termos genéricos a uma consulta já dominada por ruído estrutural (stopwords não removidas).</w:t>
      </w:r>
    </w:p>
    <w:p>
      <w:pPr>
        <w:spacing w:after="200" w:line="276"/>
        <w:jc w:val="both"/>
      </w:pPr>
      <w:r>
        <w:rPr>
          <w:b/>
          <w:bCs/>
        </w:rPr>
        <w:t xml:space="preserve">3. A + B + A (mínimo, janelas, sem expansão).</w:t>
      </w:r>
      <w:r>
        <w:t xml:space="preserve"> Resolve o problema da diluição (janelas concentram o sinal na região correta do texto), mas ainda carrega o ruído de stopwords não filtradas em cada janela. Deve superar as combinações 1 e 2 em recall, por focar a busca na vizinhança correta do plágio.</w:t>
      </w:r>
    </w:p>
    <w:p>
      <w:pPr>
        <w:spacing w:after="200" w:line="276"/>
        <w:jc w:val="both"/>
      </w:pPr>
      <w:r>
        <w:rPr>
          <w:b/>
          <w:bCs/>
        </w:rPr>
        <w:t xml:space="preserve">4. A + B + B (mínimo, janelas, com sinônimos).</w:t>
      </w:r>
      <w:r>
        <w:t xml:space="preserve"> Combina o foco por janela com expansão semântica, mas sem stemming, plágio obfuscado que alterou a forma da palavra (não só o sinônimo) continua sem solução. Pode ajudar em obfuscação lexical simples, mas não morfológica.</w:t>
      </w:r>
    </w:p>
    <w:p>
      <w:pPr>
        <w:spacing w:after="200" w:line="276"/>
        <w:jc w:val="both"/>
      </w:pPr>
      <w:r>
        <w:rPr>
          <w:b/>
          <w:bCs/>
        </w:rPr>
        <w:t xml:space="preserve">5. B + A + A (stopwords+stem, documento inteiro, sem expansão).</w:t>
      </w:r>
      <w:r>
        <w:t xml:space="preserve"> Reduz ruído (stopwords) e normaliza variações morfológicas, mas herda o problema de diluição do documento inteiro como consulta. Melhor que a combinação 1, mas ainda limitada pela extração ingênua.</w:t>
      </w:r>
    </w:p>
    <w:p>
      <w:pPr>
        <w:spacing w:after="200" w:line="276"/>
        <w:jc w:val="both"/>
      </w:pPr>
      <w:r>
        <w:rPr>
          <w:b/>
          <w:bCs/>
        </w:rPr>
        <w:t xml:space="preserve">6. B + A + B (stopwords+stem, documento inteiro, com sinônimos).</w:t>
      </w:r>
      <w:r>
        <w:t xml:space="preserve"> Acumula duas camadas de normalização (morfológica + semântica) mas mantém o gargalo estrutural da extração por documento inteiro — o sinal do trecho plagiado continua concorrendo com todo o resto do texto não relacionado.</w:t>
      </w:r>
    </w:p>
    <w:p>
      <w:pPr>
        <w:spacing w:after="200" w:line="276"/>
        <w:jc w:val="both"/>
      </w:pPr>
      <w:r>
        <w:rPr>
          <w:b/>
          <w:bCs/>
        </w:rPr>
        <w:t xml:space="preserve">7. B + B + A (stopwords+stem, janelas, sem expansão).</w:t>
      </w:r>
      <w:r>
        <w:t xml:space="preserve"> Ataca os dois problemas mais custosos identificados no Capítulo 1 (stopwords com 48,4% de peso e vocabulário inflado por variação morfológica) e resolve a diluição via janelas. Espera-se bom desempenho em plágio literal ou com obfuscação leve (variação de forma da palavra, capturada pelo stemming). Fica sem cobertura apenas para obfuscação por sinônimo real (troca de palavra por outra de significado equivalente mas raiz diferente).</w:t>
      </w:r>
    </w:p>
    <w:p>
      <w:pPr>
        <w:spacing w:after="200" w:line="276"/>
        <w:jc w:val="both"/>
      </w:pPr>
      <w:r>
        <w:rPr>
          <w:b/>
          <w:bCs/>
        </w:rPr>
        <w:t xml:space="preserve">8. B + B + B (stopwords+stem, janelas, com sinônimos).</w:t>
      </w:r>
      <w:r>
        <w:t xml:space="preserve"> Combinação mais completa: ataca ruído estrutural, diluição de sinal e obfuscação lexical simultaneamente. Teoricamente a de maior recall entre as 8, especialmente para os casos de plágio simulado por reescrita humana (mencionados no readme.txt da coleção). O risco é queda de precisão: mais termos expandidos por janela aumenta a chance de recuperar documentos-fonte que compartilham apenas tema/vocabulário genérico, sem conter o trecho realmente copiado.</w:t>
      </w:r>
    </w:p>
    <w:p>
      <w:pPr>
        <w:pStyle w:val="Heading2"/>
        <w:spacing w:after="200" w:before="400"/>
      </w:pPr>
      <w:r>
        <w:t xml:space="preserve">2.3 Combinações escolhidas para implementação</w:t>
      </w:r>
    </w:p>
    <w:p>
      <w:pPr>
        <w:spacing w:after="200" w:line="276"/>
        <w:jc w:val="both"/>
      </w:pPr>
      <w:r>
        <w:rPr>
          <w:b/>
          <w:bCs/>
        </w:rPr>
        <w:t xml:space="preserve">Escolhidas: Combinação 7 (B + B + A) e Combinação 8 (B + B + B).</w:t>
      </w:r>
    </w:p>
    <w:p>
      <w:pPr>
        <w:spacing w:after="200" w:line="276"/>
        <w:jc w:val="both"/>
      </w:pPr>
      <w:r>
        <w:t xml:space="preserve">Pré-processamento B (remoção de stopwords + stemming) e extração B (janelas deslizantes) são, pelas razões discutidas acima, praticamente pré-requisitos para um resultado razoável nesta coleção — eles atacam diretamente os dois problemas mais custosos que o Capítulo 1 mediu empiricamente (peso de stopwords e diluição de sinal em documentos longos). Não faria sentido gastar o esforço de implementação em uma combinação que já se sabia, pelos dados do Capítulo 1, que provavelmente teria desempenho fraco (ex: qualquer combinação com extração A, documento inteiro).</w:t>
      </w:r>
    </w:p>
    <w:p>
      <w:pPr>
        <w:spacing w:after="200" w:line="276"/>
        <w:jc w:val="both"/>
      </w:pPr>
      <w:r>
        <w:t xml:space="preserve">Em vez de escolher duas combinações aleatórias entre as 8, optou-se por fixar a configuração mais forte de pré-processamento e extração (B + B) e variar apenas a expansão de subconsulta (A vs. B). Isso isola exatamente a variável mais incerta teoricamente: sinônimos via WordNet ajudam a capturar plágio obfuscado por reescrita, mas também podem introduzir ruído e reduzir precisão. Comparar as combinações 7 e 8 responde diretamente a essa pergunta com uma comparação controlada (uma única variável muda entre as duas execuções), o que facilita atribuir qualquer diferença de precision@k / recall@k especificamente ao efeito da expansão.</w:t>
      </w:r>
    </w:p>
    <w:p>
      <w:r>
        <w:br w:type="page"/>
      </w:r>
    </w:p>
    <w:p>
      <w:pPr>
        <w:pStyle w:val="Heading1"/>
        <w:spacing w:after="200" w:before="400"/>
      </w:pPr>
      <w:r>
        <w:t xml:space="preserve">Capítulo 3 — Implementação dos Motores de Busca</w:t>
      </w:r>
    </w:p>
    <w:p>
      <w:pPr>
        <w:pStyle w:val="Heading2"/>
        <w:spacing w:after="200" w:before="400"/>
      </w:pPr>
      <w:r>
        <w:t xml:space="preserve">3.1 Ferramentas e configuração</w:t>
      </w:r>
    </w:p>
    <w:p>
      <w:pPr>
        <w:spacing w:after="200" w:line="276"/>
        <w:jc w:val="both"/>
      </w:pPr>
      <w:r>
        <w:t xml:space="preserve">Os dois motores de busca foram implementados usando a combinação B de pré-processamento (remoção de stopwords + stemming via Porter Stemmer) e extração de subconsultas por janela deslizante (5 sentenças, passo de 3, com sobreposição de 2 sentenças entre janelas consecutivas). As duas combinações escolhidas no Capítulo 2 — combinação 7 (sem expansão de subconsulta) e combinação 8 (com expansão de sinônimos via WordNet) — foram implementadas em ambas as ferramentas, usando BM25 como função de ranking.</w:t>
      </w:r>
    </w:p>
    <w:p>
      <w:pPr>
        <w:spacing w:after="200" w:line="276"/>
        <w:jc w:val="both"/>
      </w:pPr>
      <w:r>
        <w:rPr>
          <w:b/>
          <w:bCs/>
        </w:rPr>
        <w:t xml:space="preserve">Whoosh:</w:t>
      </w:r>
      <w:r>
        <w:t xml:space="preserve"> os documentos-fonte foram indexados com um </w:t>
      </w:r>
      <w:r>
        <w:rPr>
          <w:rFonts w:ascii="Courier New" w:cs="Courier New" w:eastAsia="Courier New" w:hAnsi="Courier New"/>
        </w:rPr>
        <w:t xml:space="preserve">Schema</w:t>
      </w:r>
      <w:r>
        <w:t xml:space="preserve"> contendo um campo </w:t>
      </w:r>
      <w:r>
        <w:rPr>
          <w:rFonts w:ascii="Courier New" w:cs="Courier New" w:eastAsia="Courier New" w:hAnsi="Courier New"/>
        </w:rPr>
        <w:t xml:space="preserve">content</w:t>
      </w:r>
      <w:r>
        <w:t xml:space="preserve"> do tipo </w:t>
      </w:r>
      <w:r>
        <w:rPr>
          <w:rFonts w:ascii="Courier New" w:cs="Courier New" w:eastAsia="Courier New" w:hAnsi="Courier New"/>
        </w:rPr>
        <w:t xml:space="preserve">TEXT</w:t>
      </w:r>
      <w:r>
        <w:t xml:space="preserve">, usando </w:t>
      </w:r>
      <w:r>
        <w:rPr>
          <w:rFonts w:ascii="Courier New" w:cs="Courier New" w:eastAsia="Courier New" w:hAnsi="Courier New"/>
        </w:rPr>
        <w:t xml:space="preserve">SimpleAnalyzer</w:t>
      </w:r>
      <w:r>
        <w:t xml:space="preserve"> (tokenização por espaço, sem stemming/stopwords adicionais do próprio Whoosh, já que esse pré-processamento foi feito manualmente antes da indexação). BM25F é o esquema de ranking padrão da biblioteca.</w:t>
      </w:r>
    </w:p>
    <w:p>
      <w:pPr>
        <w:spacing w:after="200" w:line="276"/>
        <w:jc w:val="both"/>
      </w:pPr>
      <w:r>
        <w:rPr>
          <w:b/>
          <w:bCs/>
        </w:rPr>
        <w:t xml:space="preserve">Elasticsearch:</w:t>
      </w:r>
      <w:r>
        <w:t xml:space="preserve"> rodado localmente via Docker (imagem oficial </w:t>
      </w:r>
      <w:r>
        <w:rPr>
          <w:rFonts w:ascii="Courier New" w:cs="Courier New" w:eastAsia="Courier New" w:hAnsi="Courier New"/>
        </w:rPr>
        <w:t xml:space="preserve">docker.elastic.co/elasticsearch/elasticsearch:8.14.0</w:t>
      </w:r>
      <w:r>
        <w:t xml:space="preserve">, com segurança desabilitada para uso em ambiente de desenvolvimento local). Os documentos foram indexados via Bulk API, com um mapping explícito configurando </w:t>
      </w:r>
      <w:r>
        <w:rPr>
          <w:rFonts w:ascii="Courier New" w:cs="Courier New" w:eastAsia="Courier New" w:hAnsi="Courier New"/>
        </w:rPr>
        <w:t xml:space="preserve">similarity: BM25</w:t>
      </w:r>
      <w:r>
        <w:t xml:space="preserve"> (padrão desde a versão 5, mas deixado explícito por clareza) e </w:t>
      </w:r>
      <w:r>
        <w:rPr>
          <w:rFonts w:ascii="Courier New" w:cs="Courier New" w:eastAsia="Courier New" w:hAnsi="Courier New"/>
        </w:rPr>
        <w:t xml:space="preserve">analyzer: whitespace</w:t>
      </w:r>
      <w:r>
        <w:t xml:space="preserve"> no campo </w:t>
      </w:r>
      <w:r>
        <w:rPr>
          <w:rFonts w:ascii="Courier New" w:cs="Courier New" w:eastAsia="Courier New" w:hAnsi="Courier New"/>
        </w:rPr>
        <w:t xml:space="preserve">content</w:t>
      </w:r>
      <w:r>
        <w:t xml:space="preserve">, pelo mesmo motivo do Whoosh.</w:t>
      </w:r>
    </w:p>
    <w:p>
      <w:pPr>
        <w:pStyle w:val="Heading2"/>
        <w:spacing w:after="200" w:before="400"/>
      </w:pPr>
      <w:r>
        <w:t xml:space="preserve">3.2 Ordem de extração vs. pré-processamento</w:t>
      </w:r>
    </w:p>
    <w:p>
      <w:pPr>
        <w:spacing w:after="200" w:line="276"/>
        <w:jc w:val="both"/>
      </w:pPr>
      <w:r>
        <w:t xml:space="preserve">A arquitetura de referência do enunciado propõe pré-processar a consulta antes de extrair subconsultas. Na implementação, essa ordem foi invertida: a extração por janela deslizante acontece sobre o texto bruto (com pontuação intacta, necessária para a segmentação de sentenças via </w:t>
      </w:r>
      <w:r>
        <w:rPr>
          <w:rFonts w:ascii="Courier New" w:cs="Courier New" w:eastAsia="Courier New" w:hAnsi="Courier New"/>
        </w:rPr>
        <w:t xml:space="preserve">nltk.sent_tokenize</w:t>
      </w:r>
      <w:r>
        <w:t xml:space="preserve">), e o pré-processamento (tokenização, remoção de stopwords, stemming) é aplicado individualmente a cada janela depois. Essa inversão foi necessária porque a etapa de pré-processamento remove toda a pontuação do texto, o que inviabilizaria a segmentação de sentenças caso fosse feita antes.</w:t>
      </w:r>
    </w:p>
    <w:p>
      <w:pPr>
        <w:pStyle w:val="Heading2"/>
        <w:spacing w:after="200" w:before="400"/>
      </w:pPr>
      <w:r>
        <w:t xml:space="preserve">3.3 Agregação de resultados</w:t>
      </w:r>
    </w:p>
    <w:p>
      <w:pPr>
        <w:spacing w:after="200" w:line="276"/>
        <w:jc w:val="both"/>
      </w:pPr>
      <w:r>
        <w:t xml:space="preserve">Como cada documento suspeito gera várias subconsultas (uma por janela), os resultados foram agregados por documento-fonte somando os scores BM25 de todas as janelas que retornaram aquele documento nos seus 10 primeiros resultados. O ranking final por documento suspeito é a lista dos documentos-fonte com maior score agregado.</w:t>
      </w:r>
    </w:p>
    <w:p>
      <w:pPr>
        <w:pStyle w:val="Heading2"/>
        <w:spacing w:after="200" w:before="400"/>
      </w:pPr>
      <w:r>
        <w:t xml:space="preserve">3.4 Otimização de performance no Whoosh</w:t>
      </w:r>
    </w:p>
    <w:p>
      <w:pPr>
        <w:spacing w:after="200" w:line="276"/>
        <w:jc w:val="both"/>
      </w:pPr>
      <w:r>
        <w:t xml:space="preserve">A implementação inicial (buscando com todos os termos de cada janela, tipicamente 50-60 tokens, combinados via OR) mostrou-se computacionalmente inviável no Whoosh: um teste com 20 subconsultas indicou aproximadamente 993ms por busca, o que projetava um tempo total superior a 12 horas para as 64 consultas x 2 combinações. Diagnosticado que o gargalo estava na etapa de </w:t>
      </w:r>
      <w:r>
        <w:rPr>
          <w:rFonts w:ascii="Courier New" w:cs="Courier New" w:eastAsia="Courier New" w:hAnsi="Courier New"/>
        </w:rPr>
        <w:t xml:space="preserve">search()</w:t>
      </w:r>
      <w:r>
        <w:t xml:space="preserve"> (não no parsing da query), a solução adotada foi reduzir cada subconsulta aos 15 termos com menor frequência de documento (maior IDF) antes de buscar — reduzindo o custo de combinar posting lists de termos muito comuns, e concentrando a busca nos termos mais discriminativos (mesmo princípio discutido na análise de Zipf do Capítulo 1). Essa otimização reduziu o tempo médio por busca de aproximadamente 993ms para 84ms (cerca de 12 vezes mais rápido), tornando viável rodar as 64 consultas completas.</w:t>
      </w:r>
    </w:p>
    <w:p>
      <w:pPr>
        <w:spacing w:after="200" w:line="276"/>
        <w:jc w:val="both"/>
      </w:pPr>
      <w:r>
        <w:rPr>
          <w:b/>
          <w:bCs/>
        </w:rPr>
        <w:t xml:space="preserve">Limitação metodológica a registrar:</w:t>
      </w:r>
      <w:r>
        <w:t xml:space="preserve"> essa redução de termos foi aplicada apenas no Whoosh. A busca no Elasticsearch foi feita com o conjunto completo de tokens de cada janela, sem redução, pois o Elasticsearch/Lucene lidou nativamente com queries OR de muitos termos sem o mesmo gargalo de performance. Isso significa que a comparação de precision/recall entre as duas ferramentas (Capítulo 4) não isola exclusivamente a qualidade do motor de busca — parte da diferença observada pode ser atribuída a essa assimetria na quantidade de informação disponível para cada busca (15 termos no Whoosh vs. aproximadamente 50-60 no Elasticsearch), não a uma diferença intrínseca de qualidade entre as implementações de BM25 das duas ferramentas.</w:t>
      </w:r>
    </w:p>
    <w:p>
      <w:r>
        <w:br w:type="page"/>
      </w:r>
    </w:p>
    <w:p>
      <w:pPr>
        <w:pStyle w:val="Heading1"/>
        <w:spacing w:after="200" w:before="400"/>
      </w:pPr>
      <w:r>
        <w:t xml:space="preserve">Capítulo 4 — Avaliação dos Resultados</w:t>
      </w:r>
    </w:p>
    <w:p>
      <w:pPr>
        <w:pStyle w:val="Heading2"/>
        <w:spacing w:after="200" w:before="400"/>
      </w:pPr>
      <w:r>
        <w:t xml:space="preserve">4.1 Avaliando a indexação</w:t>
      </w:r>
    </w:p>
    <w:p>
      <w:pPr>
        <w:spacing w:after="200" w:line="276"/>
        <w:jc w:val="both"/>
      </w:pPr>
      <w:r>
        <w:t xml:space="preserve">O pré-processamento (remoção de stopwords + stemming) foi medido isoladamente numa amostra de 500 documentos-fonte, e comparado com o tempo total de indexação completa (11.093 documentos) em cada ferramenta: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500"/>
      </w:tblGrid>
      <w:tr>
        <w:tc>
          <w:tcPr>
            <w:tcW w:type="dxa" w:w="4200"/>
            <w:shd w:fill="D9E2F3" w:val="clear"/>
          </w:tcPr>
          <w:p>
            <w:r>
              <w:rPr>
                <w:b/>
                <w:bCs/>
                <w:sz w:val="20"/>
                <w:szCs w:val="20"/>
              </w:rPr>
              <w:t xml:space="preserve">Métrica</w:t>
            </w:r>
          </w:p>
        </w:tc>
        <w:tc>
          <w:tcPr>
            <w:tcW w:type="dxa" w:w="2500"/>
            <w:shd w:fill="D9E2F3" w:val="clear"/>
          </w:tcPr>
          <w:p>
            <w:r>
              <w:rPr>
                <w:b/>
                <w:bCs/>
                <w:sz w:val="20"/>
                <w:szCs w:val="20"/>
              </w:rPr>
              <w:t xml:space="preserve">Whoosh</w:t>
            </w:r>
          </w:p>
        </w:tc>
        <w:tc>
          <w:tcPr>
            <w:tcW w:type="dxa" w:w="2500"/>
            <w:shd w:fill="D9E2F3" w:val="clear"/>
          </w:tcPr>
          <w:p>
            <w:r>
              <w:rPr>
                <w:b/>
                <w:bCs/>
                <w:sz w:val="20"/>
                <w:szCs w:val="20"/>
              </w:rPr>
              <w:t xml:space="preserve">Elasticsearch</w:t>
            </w:r>
          </w:p>
        </w:tc>
      </w:tr>
      <w:tr>
        <w:tc>
          <w:tcPr>
            <w:tcW w:type="dxa" w:w="4200"/>
          </w:tcPr>
          <w:p>
            <w:r>
              <w:rPr>
                <w:b w:val="false"/>
                <w:bCs w:val="false"/>
                <w:sz w:val="20"/>
                <w:szCs w:val="20"/>
              </w:rPr>
              <w:t xml:space="preserve">Pré-processamento (isolado)</w:t>
            </w:r>
          </w:p>
        </w:tc>
        <w:tc>
          <w:tcPr>
            <w:tcW w:type="dxa" w:w="2500"/>
          </w:tcPr>
          <w:p>
            <w:r>
              <w:rPr>
                <w:b w:val="false"/>
                <w:bCs w:val="false"/>
                <w:sz w:val="20"/>
                <w:szCs w:val="20"/>
              </w:rPr>
              <w:t xml:space="preserve">0,1279 s/doc</w:t>
            </w:r>
          </w:p>
        </w:tc>
        <w:tc>
          <w:tcPr>
            <w:tcW w:type="dxa" w:w="2500"/>
          </w:tcPr>
          <w:p>
            <w:r>
              <w:rPr>
                <w:b w:val="false"/>
                <w:bCs w:val="false"/>
                <w:sz w:val="20"/>
                <w:szCs w:val="20"/>
              </w:rPr>
              <w:t xml:space="preserve">0,1279 s/doc</w:t>
            </w:r>
          </w:p>
        </w:tc>
      </w:tr>
      <w:tr>
        <w:tc>
          <w:tcPr>
            <w:tcW w:type="dxa" w:w="4200"/>
          </w:tcPr>
          <w:p>
            <w:r>
              <w:rPr>
                <w:b w:val="false"/>
                <w:bCs w:val="false"/>
                <w:sz w:val="20"/>
                <w:szCs w:val="20"/>
              </w:rPr>
              <w:t xml:space="preserve">Pré-proc. + representação + indexação (total)</w:t>
            </w:r>
          </w:p>
        </w:tc>
        <w:tc>
          <w:tcPr>
            <w:tcW w:type="dxa" w:w="2500"/>
          </w:tcPr>
          <w:p>
            <w:r>
              <w:rPr>
                <w:b w:val="false"/>
                <w:bCs w:val="false"/>
                <w:sz w:val="20"/>
                <w:szCs w:val="20"/>
              </w:rPr>
              <w:t xml:space="preserve">0,1587 s/doc</w:t>
            </w:r>
          </w:p>
        </w:tc>
        <w:tc>
          <w:tcPr>
            <w:tcW w:type="dxa" w:w="2500"/>
          </w:tcPr>
          <w:p>
            <w:r>
              <w:rPr>
                <w:b w:val="false"/>
                <w:bCs w:val="false"/>
                <w:sz w:val="20"/>
                <w:szCs w:val="20"/>
              </w:rPr>
              <w:t xml:space="preserve">0,1266 s/doc</w:t>
            </w:r>
          </w:p>
        </w:tc>
      </w:tr>
      <w:tr>
        <w:tc>
          <w:tcPr>
            <w:tcW w:type="dxa" w:w="4200"/>
          </w:tcPr>
          <w:p>
            <w:r>
              <w:rPr>
                <w:b w:val="false"/>
                <w:bCs w:val="false"/>
                <w:sz w:val="20"/>
                <w:szCs w:val="20"/>
              </w:rPr>
              <w:t xml:space="preserve">Só representação + indexação (derivado)</w:t>
            </w:r>
          </w:p>
        </w:tc>
        <w:tc>
          <w:tcPr>
            <w:tcW w:type="dxa" w:w="2500"/>
          </w:tcPr>
          <w:p>
            <w:r>
              <w:rPr>
                <w:b w:val="false"/>
                <w:bCs w:val="false"/>
                <w:sz w:val="20"/>
                <w:szCs w:val="20"/>
              </w:rPr>
              <w:t xml:space="preserve">0,0308 s/doc</w:t>
            </w:r>
          </w:p>
        </w:tc>
        <w:tc>
          <w:tcPr>
            <w:tcW w:type="dxa" w:w="2500"/>
          </w:tcPr>
          <w:p>
            <w:r>
              <w:rPr>
                <w:b w:val="false"/>
                <w:bCs w:val="false"/>
                <w:sz w:val="20"/>
                <w:szCs w:val="20"/>
              </w:rPr>
              <w:t xml:space="preserve">≈0 s/doc (margem de erro)</w:t>
            </w:r>
          </w:p>
        </w:tc>
      </w:tr>
    </w:tbl>
    <w:p>
      <w:pPr>
        <w:spacing w:after="200"/>
      </w:pPr>
    </w:p>
    <w:p>
      <w:pPr>
        <w:spacing w:after="200" w:line="276"/>
        <w:jc w:val="both"/>
      </w:pPr>
      <w:r>
        <w:t xml:space="preserve">O pré-processamento domina o custo total em ambas as ferramentas — mais de 80% do tempo de indexação é gasto no pré-processamento (stopwords + stemming em Python puro), que é idêntico independente da ferramenta. A etapa de indexação em si é levemente mais custosa no Whoosh (aproximadamente 31ms/doc) do que no Elasticsearch, cujo tempo de indexação via Bulk API ficou dentro da margem de ruído de medição. Em termos absolutos, a indexação completa dos 11.093 documentos levou 1.760,8s (aproximadamente 29,3 min) no Whoosh e 1.404,9s (aproximadamente 23,4 min) no Elasticsearch.</w:t>
      </w:r>
    </w:p>
    <w:p>
      <w:pPr>
        <w:pStyle w:val="Heading2"/>
        <w:spacing w:after="200" w:before="400"/>
      </w:pPr>
      <w:r>
        <w:t xml:space="preserve">4.2 Avaliando a busca</w:t>
      </w:r>
    </w:p>
    <w:p>
      <w:pPr>
        <w:spacing w:after="200" w:line="276"/>
        <w:jc w:val="both"/>
      </w:pPr>
      <w:r>
        <w:t xml:space="preserve">O tempo de pré-processamento e extração das consultas (documentos suspeitos) foi medido sobre os 64 documentos oficiais: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D9E2F3" w:val="clear"/>
          </w:tcPr>
          <w:p>
            <w:r>
              <w:rPr>
                <w:b/>
                <w:bCs/>
                <w:sz w:val="20"/>
                <w:szCs w:val="20"/>
              </w:rPr>
              <w:t xml:space="preserve">Etapa</w:t>
            </w:r>
          </w:p>
        </w:tc>
        <w:tc>
          <w:tcPr>
            <w:tcW w:type="dxa" w:w="3500"/>
            <w:shd w:fill="D9E2F3" w:val="clear"/>
          </w:tcPr>
          <w:p>
            <w:r>
              <w:rPr>
                <w:b/>
                <w:bCs/>
                <w:sz w:val="20"/>
                <w:szCs w:val="20"/>
              </w:rPr>
              <w:t xml:space="preserve">Tempo médio/documento</w:t>
            </w:r>
          </w:p>
        </w:tc>
      </w:tr>
      <w:tr>
        <w:tc>
          <w:tcPr>
            <w:tcW w:type="dxa" w:w="5500"/>
          </w:tcPr>
          <w:p>
            <w:r>
              <w:rPr>
                <w:b w:val="false"/>
                <w:bCs w:val="false"/>
                <w:sz w:val="20"/>
                <w:szCs w:val="20"/>
              </w:rPr>
              <w:t xml:space="preserve">Pré-processamento isolado (documento inteiro)</w:t>
            </w:r>
          </w:p>
        </w:tc>
        <w:tc>
          <w:tcPr>
            <w:tcW w:type="dxa" w:w="3500"/>
          </w:tcPr>
          <w:p>
            <w:r>
              <w:rPr>
                <w:b w:val="false"/>
                <w:bCs w:val="false"/>
                <w:sz w:val="20"/>
                <w:szCs w:val="20"/>
              </w:rPr>
              <w:t xml:space="preserve">0,193 s</w:t>
            </w:r>
          </w:p>
        </w:tc>
      </w:tr>
      <w:tr>
        <w:tc>
          <w:tcPr>
            <w:tcW w:type="dxa" w:w="5500"/>
          </w:tcPr>
          <w:p>
            <w:r>
              <w:rPr>
                <w:b w:val="false"/>
                <w:bCs w:val="false"/>
                <w:sz w:val="20"/>
                <w:szCs w:val="20"/>
              </w:rPr>
              <w:t xml:space="preserve">+ Extração por janelas (combinação 7)</w:t>
            </w:r>
          </w:p>
        </w:tc>
        <w:tc>
          <w:tcPr>
            <w:tcW w:type="dxa" w:w="3500"/>
          </w:tcPr>
          <w:p>
            <w:r>
              <w:rPr>
                <w:b w:val="false"/>
                <w:bCs w:val="false"/>
                <w:sz w:val="20"/>
                <w:szCs w:val="20"/>
              </w:rPr>
              <w:t xml:space="preserve">0,352 s (+0,159 s)</w:t>
            </w:r>
          </w:p>
        </w:tc>
      </w:tr>
      <w:tr>
        <w:tc>
          <w:tcPr>
            <w:tcW w:type="dxa" w:w="5500"/>
          </w:tcPr>
          <w:p>
            <w:r>
              <w:rPr>
                <w:b w:val="false"/>
                <w:bCs w:val="false"/>
                <w:sz w:val="20"/>
                <w:szCs w:val="20"/>
              </w:rPr>
              <w:t xml:space="preserve">+ Expansão de sinônimos (combinação 8)</w:t>
            </w:r>
          </w:p>
        </w:tc>
        <w:tc>
          <w:tcPr>
            <w:tcW w:type="dxa" w:w="3500"/>
          </w:tcPr>
          <w:p>
            <w:r>
              <w:rPr>
                <w:b w:val="false"/>
                <w:bCs w:val="false"/>
                <w:sz w:val="20"/>
                <w:szCs w:val="20"/>
              </w:rPr>
              <w:t xml:space="preserve">1,219 s (+0,867 s)</w:t>
            </w:r>
          </w:p>
        </w:tc>
      </w:tr>
    </w:tbl>
    <w:p>
      <w:pPr>
        <w:spacing w:after="200"/>
      </w:pPr>
    </w:p>
    <w:p>
      <w:pPr>
        <w:spacing w:after="200" w:line="276"/>
        <w:jc w:val="both"/>
      </w:pPr>
      <w:r>
        <w:t xml:space="preserve">A expansão de sinônimos via WordNet é, disparadamente, a etapa mais cara do pipeline de consulta — custa mais de 5 vezes o restante do pipeline combinado. Essa etapa é agnóstica à ferramenta de busca (acontece antes de qualquer interação com Whoosh ou Elasticsearch), portanto o tempo é idêntico nas duas ferramentas; a diferença entre elas se manifesta apenas na etapa seguinte, de busca propriamente dita (ver observação na Seção 3.4 sobre a otimização de termos aplicada somente no Whoosh).</w:t>
      </w:r>
    </w:p>
    <w:p>
      <w:pPr>
        <w:pStyle w:val="Heading2"/>
        <w:spacing w:after="200" w:before="400"/>
      </w:pPr>
      <w:r>
        <w:t xml:space="preserve">4.3 Avaliando o resultado da busca</w:t>
      </w:r>
    </w:p>
    <w:p>
      <w:pPr>
        <w:spacing w:after="200" w:line="276"/>
        <w:jc w:val="both"/>
      </w:pPr>
      <w:r>
        <w:t xml:space="preserve">Precision@k e recall@k foram calculados comparando o ranking de cada consulta com o gabarito (campo src_file do papers.json), em média sobre as 64 consultas oficiais. O gabarito médio tem 63,8 documentos-fonte relevantes por consulta.</w:t>
      </w:r>
    </w:p>
    <w:p>
      <w:pPr>
        <w:pStyle w:val="Heading3"/>
        <w:spacing w:after="200" w:before="400"/>
      </w:pPr>
      <w:r>
        <w:t xml:space="preserve">Precision@k</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1900"/>
        <w:gridCol w:w="1900"/>
        <w:gridCol w:w="1900"/>
      </w:tblGrid>
      <w:tr>
        <w:tc>
          <w:tcPr>
            <w:tcW w:type="dxa" w:w="1000"/>
            <w:shd w:fill="D9E2F3" w:val="clear"/>
          </w:tcPr>
          <w:p>
            <w:r>
              <w:rPr>
                <w:b/>
                <w:bCs/>
                <w:sz w:val="20"/>
                <w:szCs w:val="20"/>
              </w:rPr>
              <w:t xml:space="preserve">k</w:t>
            </w:r>
          </w:p>
        </w:tc>
        <w:tc>
          <w:tcPr>
            <w:tcW w:type="dxa" w:w="1900"/>
            <w:shd w:fill="D9E2F3" w:val="clear"/>
          </w:tcPr>
          <w:p>
            <w:r>
              <w:rPr>
                <w:b/>
                <w:bCs/>
                <w:sz w:val="20"/>
                <w:szCs w:val="20"/>
              </w:rPr>
              <w:t xml:space="preserve">Whoosh combo7</w:t>
            </w:r>
          </w:p>
        </w:tc>
        <w:tc>
          <w:tcPr>
            <w:tcW w:type="dxa" w:w="1900"/>
            <w:shd w:fill="D9E2F3" w:val="clear"/>
          </w:tcPr>
          <w:p>
            <w:r>
              <w:rPr>
                <w:b/>
                <w:bCs/>
                <w:sz w:val="20"/>
                <w:szCs w:val="20"/>
              </w:rPr>
              <w:t xml:space="preserve">Whoosh combo8</w:t>
            </w:r>
          </w:p>
        </w:tc>
        <w:tc>
          <w:tcPr>
            <w:tcW w:type="dxa" w:w="1900"/>
            <w:shd w:fill="D9E2F3" w:val="clear"/>
          </w:tcPr>
          <w:p>
            <w:r>
              <w:rPr>
                <w:b/>
                <w:bCs/>
                <w:sz w:val="20"/>
                <w:szCs w:val="20"/>
              </w:rPr>
              <w:t xml:space="preserve">ES combo7</w:t>
            </w:r>
          </w:p>
        </w:tc>
        <w:tc>
          <w:tcPr>
            <w:tcW w:type="dxa" w:w="1900"/>
            <w:shd w:fill="D9E2F3" w:val="clear"/>
          </w:tcPr>
          <w:p>
            <w:r>
              <w:rPr>
                <w:b/>
                <w:bCs/>
                <w:sz w:val="20"/>
                <w:szCs w:val="20"/>
              </w:rPr>
              <w:t xml:space="preserve">ES combo8</w:t>
            </w:r>
          </w:p>
        </w:tc>
      </w:tr>
      <w:tr>
        <w:tc>
          <w:tcPr>
            <w:tcW w:type="dxa" w:w="1000"/>
          </w:tcPr>
          <w:p>
            <w:r>
              <w:rPr>
                <w:b w:val="false"/>
                <w:bCs w:val="false"/>
                <w:sz w:val="20"/>
                <w:szCs w:val="20"/>
              </w:rPr>
              <w:t xml:space="preserve">2</w:t>
            </w:r>
          </w:p>
        </w:tc>
        <w:tc>
          <w:tcPr>
            <w:tcW w:type="dxa" w:w="1900"/>
          </w:tcPr>
          <w:p>
            <w:r>
              <w:rPr>
                <w:b w:val="false"/>
                <w:bCs w:val="false"/>
                <w:sz w:val="20"/>
                <w:szCs w:val="20"/>
              </w:rPr>
              <w:t xml:space="preserve">0,0625</w:t>
            </w:r>
          </w:p>
        </w:tc>
        <w:tc>
          <w:tcPr>
            <w:tcW w:type="dxa" w:w="1900"/>
          </w:tcPr>
          <w:p>
            <w:r>
              <w:rPr>
                <w:b w:val="false"/>
                <w:bCs w:val="false"/>
                <w:sz w:val="20"/>
                <w:szCs w:val="20"/>
              </w:rPr>
              <w:t xml:space="preserve">0,0938</w:t>
            </w:r>
          </w:p>
        </w:tc>
        <w:tc>
          <w:tcPr>
            <w:tcW w:type="dxa" w:w="1900"/>
          </w:tcPr>
          <w:p>
            <w:r>
              <w:rPr>
                <w:b w:val="false"/>
                <w:bCs w:val="false"/>
                <w:sz w:val="20"/>
                <w:szCs w:val="20"/>
              </w:rPr>
              <w:t xml:space="preserve">0,2109</w:t>
            </w:r>
          </w:p>
        </w:tc>
        <w:tc>
          <w:tcPr>
            <w:tcW w:type="dxa" w:w="1900"/>
          </w:tcPr>
          <w:p>
            <w:r>
              <w:rPr>
                <w:b w:val="false"/>
                <w:bCs w:val="false"/>
                <w:sz w:val="20"/>
                <w:szCs w:val="20"/>
              </w:rPr>
              <w:t xml:space="preserve">0,0234</w:t>
            </w:r>
          </w:p>
        </w:tc>
      </w:tr>
      <w:tr>
        <w:tc>
          <w:tcPr>
            <w:tcW w:type="dxa" w:w="1000"/>
          </w:tcPr>
          <w:p>
            <w:r>
              <w:rPr>
                <w:b w:val="false"/>
                <w:bCs w:val="false"/>
                <w:sz w:val="20"/>
                <w:szCs w:val="20"/>
              </w:rPr>
              <w:t xml:space="preserve">4</w:t>
            </w:r>
          </w:p>
        </w:tc>
        <w:tc>
          <w:tcPr>
            <w:tcW w:type="dxa" w:w="1900"/>
          </w:tcPr>
          <w:p>
            <w:r>
              <w:rPr>
                <w:b w:val="false"/>
                <w:bCs w:val="false"/>
                <w:sz w:val="20"/>
                <w:szCs w:val="20"/>
              </w:rPr>
              <w:t xml:space="preserve">0,0586</w:t>
            </w:r>
          </w:p>
        </w:tc>
        <w:tc>
          <w:tcPr>
            <w:tcW w:type="dxa" w:w="1900"/>
          </w:tcPr>
          <w:p>
            <w:r>
              <w:rPr>
                <w:b w:val="false"/>
                <w:bCs w:val="false"/>
                <w:sz w:val="20"/>
                <w:szCs w:val="20"/>
              </w:rPr>
              <w:t xml:space="preserve">0,0898</w:t>
            </w:r>
          </w:p>
        </w:tc>
        <w:tc>
          <w:tcPr>
            <w:tcW w:type="dxa" w:w="1900"/>
          </w:tcPr>
          <w:p>
            <w:r>
              <w:rPr>
                <w:b w:val="false"/>
                <w:bCs w:val="false"/>
                <w:sz w:val="20"/>
                <w:szCs w:val="20"/>
              </w:rPr>
              <w:t xml:space="preserve">0,1680</w:t>
            </w:r>
          </w:p>
        </w:tc>
        <w:tc>
          <w:tcPr>
            <w:tcW w:type="dxa" w:w="1900"/>
          </w:tcPr>
          <w:p>
            <w:r>
              <w:rPr>
                <w:b w:val="false"/>
                <w:bCs w:val="false"/>
                <w:sz w:val="20"/>
                <w:szCs w:val="20"/>
              </w:rPr>
              <w:t xml:space="preserve">0,0352</w:t>
            </w:r>
          </w:p>
        </w:tc>
      </w:tr>
      <w:tr>
        <w:tc>
          <w:tcPr>
            <w:tcW w:type="dxa" w:w="1000"/>
          </w:tcPr>
          <w:p>
            <w:r>
              <w:rPr>
                <w:b w:val="false"/>
                <w:bCs w:val="false"/>
                <w:sz w:val="20"/>
                <w:szCs w:val="20"/>
              </w:rPr>
              <w:t xml:space="preserve">6</w:t>
            </w:r>
          </w:p>
        </w:tc>
        <w:tc>
          <w:tcPr>
            <w:tcW w:type="dxa" w:w="1900"/>
          </w:tcPr>
          <w:p>
            <w:r>
              <w:rPr>
                <w:b w:val="false"/>
                <w:bCs w:val="false"/>
                <w:sz w:val="20"/>
                <w:szCs w:val="20"/>
              </w:rPr>
              <w:t xml:space="preserve">0,0755</w:t>
            </w:r>
          </w:p>
        </w:tc>
        <w:tc>
          <w:tcPr>
            <w:tcW w:type="dxa" w:w="1900"/>
          </w:tcPr>
          <w:p>
            <w:r>
              <w:rPr>
                <w:b w:val="false"/>
                <w:bCs w:val="false"/>
                <w:sz w:val="20"/>
                <w:szCs w:val="20"/>
              </w:rPr>
              <w:t xml:space="preserve">0,0964</w:t>
            </w:r>
          </w:p>
        </w:tc>
        <w:tc>
          <w:tcPr>
            <w:tcW w:type="dxa" w:w="1900"/>
          </w:tcPr>
          <w:p>
            <w:r>
              <w:rPr>
                <w:b w:val="false"/>
                <w:bCs w:val="false"/>
                <w:sz w:val="20"/>
                <w:szCs w:val="20"/>
              </w:rPr>
              <w:t xml:space="preserve">0,1484</w:t>
            </w:r>
          </w:p>
        </w:tc>
        <w:tc>
          <w:tcPr>
            <w:tcW w:type="dxa" w:w="1900"/>
          </w:tcPr>
          <w:p>
            <w:r>
              <w:rPr>
                <w:b w:val="false"/>
                <w:bCs w:val="false"/>
                <w:sz w:val="20"/>
                <w:szCs w:val="20"/>
              </w:rPr>
              <w:t xml:space="preserve">0,0443</w:t>
            </w:r>
          </w:p>
        </w:tc>
      </w:tr>
      <w:tr>
        <w:tc>
          <w:tcPr>
            <w:tcW w:type="dxa" w:w="1000"/>
          </w:tcPr>
          <w:p>
            <w:r>
              <w:rPr>
                <w:b w:val="false"/>
                <w:bCs w:val="false"/>
                <w:sz w:val="20"/>
                <w:szCs w:val="20"/>
              </w:rPr>
              <w:t xml:space="preserve">8</w:t>
            </w:r>
          </w:p>
        </w:tc>
        <w:tc>
          <w:tcPr>
            <w:tcW w:type="dxa" w:w="1900"/>
          </w:tcPr>
          <w:p>
            <w:r>
              <w:rPr>
                <w:b w:val="false"/>
                <w:bCs w:val="false"/>
                <w:sz w:val="20"/>
                <w:szCs w:val="20"/>
              </w:rPr>
              <w:t xml:space="preserve">0,0898</w:t>
            </w:r>
          </w:p>
        </w:tc>
        <w:tc>
          <w:tcPr>
            <w:tcW w:type="dxa" w:w="1900"/>
          </w:tcPr>
          <w:p>
            <w:r>
              <w:rPr>
                <w:b w:val="false"/>
                <w:bCs w:val="false"/>
                <w:sz w:val="20"/>
                <w:szCs w:val="20"/>
              </w:rPr>
              <w:t xml:space="preserve">0,0820</w:t>
            </w:r>
          </w:p>
        </w:tc>
        <w:tc>
          <w:tcPr>
            <w:tcW w:type="dxa" w:w="1900"/>
          </w:tcPr>
          <w:p>
            <w:r>
              <w:rPr>
                <w:b w:val="false"/>
                <w:bCs w:val="false"/>
                <w:sz w:val="20"/>
                <w:szCs w:val="20"/>
              </w:rPr>
              <w:t xml:space="preserve">0,1445</w:t>
            </w:r>
          </w:p>
        </w:tc>
        <w:tc>
          <w:tcPr>
            <w:tcW w:type="dxa" w:w="1900"/>
          </w:tcPr>
          <w:p>
            <w:r>
              <w:rPr>
                <w:b w:val="false"/>
                <w:bCs w:val="false"/>
                <w:sz w:val="20"/>
                <w:szCs w:val="20"/>
              </w:rPr>
              <w:t xml:space="preserve">0,0488</w:t>
            </w:r>
          </w:p>
        </w:tc>
      </w:tr>
      <w:tr>
        <w:tc>
          <w:tcPr>
            <w:tcW w:type="dxa" w:w="1000"/>
          </w:tcPr>
          <w:p>
            <w:r>
              <w:rPr>
                <w:b w:val="false"/>
                <w:bCs w:val="false"/>
                <w:sz w:val="20"/>
                <w:szCs w:val="20"/>
              </w:rPr>
              <w:t xml:space="preserve">10</w:t>
            </w:r>
          </w:p>
        </w:tc>
        <w:tc>
          <w:tcPr>
            <w:tcW w:type="dxa" w:w="1900"/>
          </w:tcPr>
          <w:p>
            <w:r>
              <w:rPr>
                <w:b w:val="false"/>
                <w:bCs w:val="false"/>
                <w:sz w:val="20"/>
                <w:szCs w:val="20"/>
              </w:rPr>
              <w:t xml:space="preserve">0,0969</w:t>
            </w:r>
          </w:p>
        </w:tc>
        <w:tc>
          <w:tcPr>
            <w:tcW w:type="dxa" w:w="1900"/>
          </w:tcPr>
          <w:p>
            <w:r>
              <w:rPr>
                <w:b w:val="false"/>
                <w:bCs w:val="false"/>
                <w:sz w:val="20"/>
                <w:szCs w:val="20"/>
              </w:rPr>
              <w:t xml:space="preserve">0,0813</w:t>
            </w:r>
          </w:p>
        </w:tc>
        <w:tc>
          <w:tcPr>
            <w:tcW w:type="dxa" w:w="1900"/>
          </w:tcPr>
          <w:p>
            <w:r>
              <w:rPr>
                <w:b w:val="false"/>
                <w:bCs w:val="false"/>
                <w:sz w:val="20"/>
                <w:szCs w:val="20"/>
              </w:rPr>
              <w:t xml:space="preserve">0,1297</w:t>
            </w:r>
          </w:p>
        </w:tc>
        <w:tc>
          <w:tcPr>
            <w:tcW w:type="dxa" w:w="1900"/>
          </w:tcPr>
          <w:p>
            <w:r>
              <w:rPr>
                <w:b w:val="false"/>
                <w:bCs w:val="false"/>
                <w:sz w:val="20"/>
                <w:szCs w:val="20"/>
              </w:rPr>
              <w:t xml:space="preserve">0,0516</w:t>
            </w:r>
          </w:p>
        </w:tc>
      </w:tr>
    </w:tbl>
    <w:p>
      <w:pPr>
        <w:spacing w:after="200"/>
      </w:pPr>
    </w:p>
    <w:p>
      <w:pPr>
        <w:pBdr>
          <w:top w:val="single" w:color="CCCCCC" w:sz="4"/>
          <w:bottom w:val="single" w:color="CCCCCC" w:sz="4"/>
          <w:left w:val="single" w:color="CCCCCC" w:sz="4"/>
          <w:right w:val="single" w:color="CCCCCC" w:sz="4"/>
        </w:pBdr>
        <w:spacing w:after="100" w:before="200"/>
        <w:jc w:val="center"/>
      </w:pPr>
      <w:r>
        <w:rPr>
          <w:i/>
          <w:iCs/>
          <w:color w:val="888888"/>
        </w:rPr>
        <w:t xml:space="preserve">[Inserir aqui a figura: precision_whoosh.png]</w:t>
      </w:r>
    </w:p>
    <w:p>
      <w:pPr>
        <w:spacing w:after="300"/>
        <w:jc w:val="center"/>
      </w:pPr>
      <w:r>
        <w:rPr>
          <w:i/>
          <w:iCs/>
          <w:sz w:val="18"/>
          <w:szCs w:val="18"/>
        </w:rPr>
        <w:t xml:space="preserve">Figura 4.1 — Precision@k, Whoosh (combinação 7 vs. combinação 8)</w:t>
      </w:r>
    </w:p>
    <w:p>
      <w:pPr>
        <w:pBdr>
          <w:top w:val="single" w:color="CCCCCC" w:sz="4"/>
          <w:bottom w:val="single" w:color="CCCCCC" w:sz="4"/>
          <w:left w:val="single" w:color="CCCCCC" w:sz="4"/>
          <w:right w:val="single" w:color="CCCCCC" w:sz="4"/>
        </w:pBdr>
        <w:spacing w:after="100" w:before="200"/>
        <w:jc w:val="center"/>
      </w:pPr>
      <w:r>
        <w:rPr>
          <w:i/>
          <w:iCs/>
          <w:color w:val="888888"/>
        </w:rPr>
        <w:t xml:space="preserve">[Inserir aqui a figura: precision_elasticsearch.png]</w:t>
      </w:r>
    </w:p>
    <w:p>
      <w:pPr>
        <w:spacing w:after="300"/>
        <w:jc w:val="center"/>
      </w:pPr>
      <w:r>
        <w:rPr>
          <w:i/>
          <w:iCs/>
          <w:sz w:val="18"/>
          <w:szCs w:val="18"/>
        </w:rPr>
        <w:t xml:space="preserve">Figura 4.2 — Precision@k, Elasticsearch (combinação 7 vs. combinação 8)</w:t>
      </w:r>
    </w:p>
    <w:p>
      <w:pPr>
        <w:pStyle w:val="Heading3"/>
        <w:spacing w:after="200" w:before="400"/>
      </w:pPr>
      <w:r>
        <w:t xml:space="preserve">Recall@k</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1900"/>
        <w:gridCol w:w="1900"/>
        <w:gridCol w:w="1900"/>
      </w:tblGrid>
      <w:tr>
        <w:tc>
          <w:tcPr>
            <w:tcW w:type="dxa" w:w="1000"/>
            <w:shd w:fill="D9E2F3" w:val="clear"/>
          </w:tcPr>
          <w:p>
            <w:r>
              <w:rPr>
                <w:b/>
                <w:bCs/>
                <w:sz w:val="20"/>
                <w:szCs w:val="20"/>
              </w:rPr>
              <w:t xml:space="preserve">k</w:t>
            </w:r>
          </w:p>
        </w:tc>
        <w:tc>
          <w:tcPr>
            <w:tcW w:type="dxa" w:w="1900"/>
            <w:shd w:fill="D9E2F3" w:val="clear"/>
          </w:tcPr>
          <w:p>
            <w:r>
              <w:rPr>
                <w:b/>
                <w:bCs/>
                <w:sz w:val="20"/>
                <w:szCs w:val="20"/>
              </w:rPr>
              <w:t xml:space="preserve">Whoosh combo7</w:t>
            </w:r>
          </w:p>
        </w:tc>
        <w:tc>
          <w:tcPr>
            <w:tcW w:type="dxa" w:w="1900"/>
            <w:shd w:fill="D9E2F3" w:val="clear"/>
          </w:tcPr>
          <w:p>
            <w:r>
              <w:rPr>
                <w:b/>
                <w:bCs/>
                <w:sz w:val="20"/>
                <w:szCs w:val="20"/>
              </w:rPr>
              <w:t xml:space="preserve">Whoosh combo8</w:t>
            </w:r>
          </w:p>
        </w:tc>
        <w:tc>
          <w:tcPr>
            <w:tcW w:type="dxa" w:w="1900"/>
            <w:shd w:fill="D9E2F3" w:val="clear"/>
          </w:tcPr>
          <w:p>
            <w:r>
              <w:rPr>
                <w:b/>
                <w:bCs/>
                <w:sz w:val="20"/>
                <w:szCs w:val="20"/>
              </w:rPr>
              <w:t xml:space="preserve">ES combo7</w:t>
            </w:r>
          </w:p>
        </w:tc>
        <w:tc>
          <w:tcPr>
            <w:tcW w:type="dxa" w:w="1900"/>
            <w:shd w:fill="D9E2F3" w:val="clear"/>
          </w:tcPr>
          <w:p>
            <w:r>
              <w:rPr>
                <w:b/>
                <w:bCs/>
                <w:sz w:val="20"/>
                <w:szCs w:val="20"/>
              </w:rPr>
              <w:t xml:space="preserve">ES combo8</w:t>
            </w:r>
          </w:p>
        </w:tc>
      </w:tr>
      <w:tr>
        <w:tc>
          <w:tcPr>
            <w:tcW w:type="dxa" w:w="1000"/>
          </w:tcPr>
          <w:p>
            <w:r>
              <w:rPr>
                <w:b w:val="false"/>
                <w:bCs w:val="false"/>
                <w:sz w:val="20"/>
                <w:szCs w:val="20"/>
              </w:rPr>
              <w:t xml:space="preserve">2</w:t>
            </w:r>
          </w:p>
        </w:tc>
        <w:tc>
          <w:tcPr>
            <w:tcW w:type="dxa" w:w="1900"/>
          </w:tcPr>
          <w:p>
            <w:r>
              <w:rPr>
                <w:b w:val="false"/>
                <w:bCs w:val="false"/>
                <w:sz w:val="20"/>
                <w:szCs w:val="20"/>
              </w:rPr>
              <w:t xml:space="preserve">0,0009</w:t>
            </w:r>
          </w:p>
        </w:tc>
        <w:tc>
          <w:tcPr>
            <w:tcW w:type="dxa" w:w="1900"/>
          </w:tcPr>
          <w:p>
            <w:r>
              <w:rPr>
                <w:b w:val="false"/>
                <w:bCs w:val="false"/>
                <w:sz w:val="20"/>
                <w:szCs w:val="20"/>
              </w:rPr>
              <w:t xml:space="preserve">0,0060</w:t>
            </w:r>
          </w:p>
        </w:tc>
        <w:tc>
          <w:tcPr>
            <w:tcW w:type="dxa" w:w="1900"/>
          </w:tcPr>
          <w:p>
            <w:r>
              <w:rPr>
                <w:b w:val="false"/>
                <w:bCs w:val="false"/>
                <w:sz w:val="20"/>
                <w:szCs w:val="20"/>
              </w:rPr>
              <w:t xml:space="preserve">0,0286</w:t>
            </w:r>
          </w:p>
        </w:tc>
        <w:tc>
          <w:tcPr>
            <w:tcW w:type="dxa" w:w="1900"/>
          </w:tcPr>
          <w:p>
            <w:r>
              <w:rPr>
                <w:b w:val="false"/>
                <w:bCs w:val="false"/>
                <w:sz w:val="20"/>
                <w:szCs w:val="20"/>
              </w:rPr>
              <w:t xml:space="preserve">0,0001</w:t>
            </w:r>
          </w:p>
        </w:tc>
      </w:tr>
      <w:tr>
        <w:tc>
          <w:tcPr>
            <w:tcW w:type="dxa" w:w="1000"/>
          </w:tcPr>
          <w:p>
            <w:r>
              <w:rPr>
                <w:b w:val="false"/>
                <w:bCs w:val="false"/>
                <w:sz w:val="20"/>
                <w:szCs w:val="20"/>
              </w:rPr>
              <w:t xml:space="preserve">4</w:t>
            </w:r>
          </w:p>
        </w:tc>
        <w:tc>
          <w:tcPr>
            <w:tcW w:type="dxa" w:w="1900"/>
          </w:tcPr>
          <w:p>
            <w:r>
              <w:rPr>
                <w:b w:val="false"/>
                <w:bCs w:val="false"/>
                <w:sz w:val="20"/>
                <w:szCs w:val="20"/>
              </w:rPr>
              <w:t xml:space="preserve">0,0062</w:t>
            </w:r>
          </w:p>
        </w:tc>
        <w:tc>
          <w:tcPr>
            <w:tcW w:type="dxa" w:w="1900"/>
          </w:tcPr>
          <w:p>
            <w:r>
              <w:rPr>
                <w:b w:val="false"/>
                <w:bCs w:val="false"/>
                <w:sz w:val="20"/>
                <w:szCs w:val="20"/>
              </w:rPr>
              <w:t xml:space="preserve">0,0135</w:t>
            </w:r>
          </w:p>
        </w:tc>
        <w:tc>
          <w:tcPr>
            <w:tcW w:type="dxa" w:w="1900"/>
          </w:tcPr>
          <w:p>
            <w:r>
              <w:rPr>
                <w:b w:val="false"/>
                <w:bCs w:val="false"/>
                <w:sz w:val="20"/>
                <w:szCs w:val="20"/>
              </w:rPr>
              <w:t xml:space="preserve">0,0418</w:t>
            </w:r>
          </w:p>
        </w:tc>
        <w:tc>
          <w:tcPr>
            <w:tcW w:type="dxa" w:w="1900"/>
          </w:tcPr>
          <w:p>
            <w:r>
              <w:rPr>
                <w:b w:val="false"/>
                <w:bCs w:val="false"/>
                <w:sz w:val="20"/>
                <w:szCs w:val="20"/>
              </w:rPr>
              <w:t xml:space="preserve">0,0037</w:t>
            </w:r>
          </w:p>
        </w:tc>
      </w:tr>
      <w:tr>
        <w:tc>
          <w:tcPr>
            <w:tcW w:type="dxa" w:w="1000"/>
          </w:tcPr>
          <w:p>
            <w:r>
              <w:rPr>
                <w:b w:val="false"/>
                <w:bCs w:val="false"/>
                <w:sz w:val="20"/>
                <w:szCs w:val="20"/>
              </w:rPr>
              <w:t xml:space="preserve">6</w:t>
            </w:r>
          </w:p>
        </w:tc>
        <w:tc>
          <w:tcPr>
            <w:tcW w:type="dxa" w:w="1900"/>
          </w:tcPr>
          <w:p>
            <w:r>
              <w:rPr>
                <w:b w:val="false"/>
                <w:bCs w:val="false"/>
                <w:sz w:val="20"/>
                <w:szCs w:val="20"/>
              </w:rPr>
              <w:t xml:space="preserve">0,0149</w:t>
            </w:r>
          </w:p>
        </w:tc>
        <w:tc>
          <w:tcPr>
            <w:tcW w:type="dxa" w:w="1900"/>
          </w:tcPr>
          <w:p>
            <w:r>
              <w:rPr>
                <w:b w:val="false"/>
                <w:bCs w:val="false"/>
                <w:sz w:val="20"/>
                <w:szCs w:val="20"/>
              </w:rPr>
              <w:t xml:space="preserve">0,0259</w:t>
            </w:r>
          </w:p>
        </w:tc>
        <w:tc>
          <w:tcPr>
            <w:tcW w:type="dxa" w:w="1900"/>
          </w:tcPr>
          <w:p>
            <w:r>
              <w:rPr>
                <w:b w:val="false"/>
                <w:bCs w:val="false"/>
                <w:sz w:val="20"/>
                <w:szCs w:val="20"/>
              </w:rPr>
              <w:t xml:space="preserve">0,0517</w:t>
            </w:r>
          </w:p>
        </w:tc>
        <w:tc>
          <w:tcPr>
            <w:tcW w:type="dxa" w:w="1900"/>
          </w:tcPr>
          <w:p>
            <w:r>
              <w:rPr>
                <w:b w:val="false"/>
                <w:bCs w:val="false"/>
                <w:sz w:val="20"/>
                <w:szCs w:val="20"/>
              </w:rPr>
              <w:t xml:space="preserve">0,0089</w:t>
            </w:r>
          </w:p>
        </w:tc>
      </w:tr>
      <w:tr>
        <w:tc>
          <w:tcPr>
            <w:tcW w:type="dxa" w:w="1000"/>
          </w:tcPr>
          <w:p>
            <w:r>
              <w:rPr>
                <w:b w:val="false"/>
                <w:bCs w:val="false"/>
                <w:sz w:val="20"/>
                <w:szCs w:val="20"/>
              </w:rPr>
              <w:t xml:space="preserve">8</w:t>
            </w:r>
          </w:p>
        </w:tc>
        <w:tc>
          <w:tcPr>
            <w:tcW w:type="dxa" w:w="1900"/>
          </w:tcPr>
          <w:p>
            <w:r>
              <w:rPr>
                <w:b w:val="false"/>
                <w:bCs w:val="false"/>
                <w:sz w:val="20"/>
                <w:szCs w:val="20"/>
              </w:rPr>
              <w:t xml:space="preserve">0,0295</w:t>
            </w:r>
          </w:p>
        </w:tc>
        <w:tc>
          <w:tcPr>
            <w:tcW w:type="dxa" w:w="1900"/>
          </w:tcPr>
          <w:p>
            <w:r>
              <w:rPr>
                <w:b w:val="false"/>
                <w:bCs w:val="false"/>
                <w:sz w:val="20"/>
                <w:szCs w:val="20"/>
              </w:rPr>
              <w:t xml:space="preserve">0,0287</w:t>
            </w:r>
          </w:p>
        </w:tc>
        <w:tc>
          <w:tcPr>
            <w:tcW w:type="dxa" w:w="1900"/>
          </w:tcPr>
          <w:p>
            <w:r>
              <w:rPr>
                <w:b w:val="false"/>
                <w:bCs w:val="false"/>
                <w:sz w:val="20"/>
                <w:szCs w:val="20"/>
              </w:rPr>
              <w:t xml:space="preserve">0,0634</w:t>
            </w:r>
          </w:p>
        </w:tc>
        <w:tc>
          <w:tcPr>
            <w:tcW w:type="dxa" w:w="1900"/>
          </w:tcPr>
          <w:p>
            <w:r>
              <w:rPr>
                <w:b w:val="false"/>
                <w:bCs w:val="false"/>
                <w:sz w:val="20"/>
                <w:szCs w:val="20"/>
              </w:rPr>
              <w:t xml:space="preserve">0,0129</w:t>
            </w:r>
          </w:p>
        </w:tc>
      </w:tr>
      <w:tr>
        <w:tc>
          <w:tcPr>
            <w:tcW w:type="dxa" w:w="1000"/>
          </w:tcPr>
          <w:p>
            <w:r>
              <w:rPr>
                <w:b w:val="false"/>
                <w:bCs w:val="false"/>
                <w:sz w:val="20"/>
                <w:szCs w:val="20"/>
              </w:rPr>
              <w:t xml:space="preserve">10</w:t>
            </w:r>
          </w:p>
        </w:tc>
        <w:tc>
          <w:tcPr>
            <w:tcW w:type="dxa" w:w="1900"/>
          </w:tcPr>
          <w:p>
            <w:r>
              <w:rPr>
                <w:b w:val="false"/>
                <w:bCs w:val="false"/>
                <w:sz w:val="20"/>
                <w:szCs w:val="20"/>
              </w:rPr>
              <w:t xml:space="preserve">0,0436</w:t>
            </w:r>
          </w:p>
        </w:tc>
        <w:tc>
          <w:tcPr>
            <w:tcW w:type="dxa" w:w="1900"/>
          </w:tcPr>
          <w:p>
            <w:r>
              <w:rPr>
                <w:b w:val="false"/>
                <w:bCs w:val="false"/>
                <w:sz w:val="20"/>
                <w:szCs w:val="20"/>
              </w:rPr>
              <w:t xml:space="preserve">0,0354</w:t>
            </w:r>
          </w:p>
        </w:tc>
        <w:tc>
          <w:tcPr>
            <w:tcW w:type="dxa" w:w="1900"/>
          </w:tcPr>
          <w:p>
            <w:r>
              <w:rPr>
                <w:b w:val="false"/>
                <w:bCs w:val="false"/>
                <w:sz w:val="20"/>
                <w:szCs w:val="20"/>
              </w:rPr>
              <w:t xml:space="preserve">0,0687</w:t>
            </w:r>
          </w:p>
        </w:tc>
        <w:tc>
          <w:tcPr>
            <w:tcW w:type="dxa" w:w="1900"/>
          </w:tcPr>
          <w:p>
            <w:r>
              <w:rPr>
                <w:b w:val="false"/>
                <w:bCs w:val="false"/>
                <w:sz w:val="20"/>
                <w:szCs w:val="20"/>
              </w:rPr>
              <w:t xml:space="preserve">0,0202</w:t>
            </w:r>
          </w:p>
        </w:tc>
      </w:tr>
    </w:tbl>
    <w:p>
      <w:pPr>
        <w:spacing w:after="200"/>
      </w:pPr>
    </w:p>
    <w:p>
      <w:pPr>
        <w:pBdr>
          <w:top w:val="single" w:color="CCCCCC" w:sz="4"/>
          <w:bottom w:val="single" w:color="CCCCCC" w:sz="4"/>
          <w:left w:val="single" w:color="CCCCCC" w:sz="4"/>
          <w:right w:val="single" w:color="CCCCCC" w:sz="4"/>
        </w:pBdr>
        <w:spacing w:after="100" w:before="200"/>
        <w:jc w:val="center"/>
      </w:pPr>
      <w:r>
        <w:rPr>
          <w:i/>
          <w:iCs/>
          <w:color w:val="888888"/>
        </w:rPr>
        <w:t xml:space="preserve">[Inserir aqui a figura: recall_whoosh.png]</w:t>
      </w:r>
    </w:p>
    <w:p>
      <w:pPr>
        <w:spacing w:after="300"/>
        <w:jc w:val="center"/>
      </w:pPr>
      <w:r>
        <w:rPr>
          <w:i/>
          <w:iCs/>
          <w:sz w:val="18"/>
          <w:szCs w:val="18"/>
        </w:rPr>
        <w:t xml:space="preserve">Figura 4.3 — Recall@k, Whoosh (combinação 7 vs. combinação 8)</w:t>
      </w:r>
    </w:p>
    <w:p>
      <w:pPr>
        <w:pBdr>
          <w:top w:val="single" w:color="CCCCCC" w:sz="4"/>
          <w:bottom w:val="single" w:color="CCCCCC" w:sz="4"/>
          <w:left w:val="single" w:color="CCCCCC" w:sz="4"/>
          <w:right w:val="single" w:color="CCCCCC" w:sz="4"/>
        </w:pBdr>
        <w:spacing w:after="100" w:before="200"/>
        <w:jc w:val="center"/>
      </w:pPr>
      <w:r>
        <w:rPr>
          <w:i/>
          <w:iCs/>
          <w:color w:val="888888"/>
        </w:rPr>
        <w:t xml:space="preserve">[Inserir aqui a figura: recall_elasticsearch.png]</w:t>
      </w:r>
    </w:p>
    <w:p>
      <w:pPr>
        <w:spacing w:after="300"/>
        <w:jc w:val="center"/>
      </w:pPr>
      <w:r>
        <w:rPr>
          <w:i/>
          <w:iCs/>
          <w:sz w:val="18"/>
          <w:szCs w:val="18"/>
        </w:rPr>
        <w:t xml:space="preserve">Figura 4.4 — Recall@k, Elasticsearch (combinação 7 vs. combinação 8)</w:t>
      </w:r>
    </w:p>
    <w:p>
      <w:pPr>
        <w:pStyle w:val="Heading2"/>
        <w:spacing w:after="200" w:before="400"/>
      </w:pPr>
      <w:r>
        <w:t xml:space="preserve">4.4 Discussão</w:t>
      </w:r>
    </w:p>
    <w:p>
      <w:pPr>
        <w:spacing w:after="200" w:line="276"/>
        <w:jc w:val="both"/>
      </w:pPr>
      <w:r>
        <w:rPr>
          <w:b/>
          <w:bCs/>
        </w:rPr>
        <w:t xml:space="preserve">Os valores absolutos são baixos, mas significativamente acima do acaso.</w:t>
      </w:r>
      <w:r>
        <w:t xml:space="preserve"> Com um gabarito médio de 63,8 documentos relevantes entre 11.093 documentos-fonte candidatos, a precisão esperada de uma seleção aleatória de 10 documentos seria de apenas 63,8/11.093 ≈ 0,58%. A melhor combinação obtida (Elasticsearch, combinação 7) atingiu p@10 = 12,97% — aproximadamente 22 vezes o valor esperado ao acaso. Isso indica que, apesar dos números parecerem baixos em termos absolutos, o motor de busca está de fato capturando sinal relevante, num problema inerentemente difícil (encontrar documentos-fonte específicos de plágio entre mais de 11 mil candidatos, a partir de fragmentos de texto de janelas de poucas sentenças).</w:t>
      </w:r>
    </w:p>
    <w:p>
      <w:pPr>
        <w:spacing w:after="200" w:line="276"/>
        <w:jc w:val="both"/>
      </w:pPr>
      <w:r>
        <w:rPr>
          <w:b/>
          <w:bCs/>
        </w:rPr>
        <w:t xml:space="preserve">A expansão de sinônimos (combinação 8) piorou o desempenho em ambas as ferramentas</w:t>
      </w:r>
      <w:r>
        <w:t xml:space="preserve">, de forma mais acentuada no Elasticsearch (p@2 caiu de 0,21 para 0,02, uma queda de aproximadamente 89%) do que no Whoosh. Esse resultado é consistente com o risco discutido teoricamente no Capítulo 2 — adicionar sinônimos aumenta a chance de recuperar documentos que compartilham apenas vocabulário genérico, sem conter o trecho de fato copiado — mas a magnitude do efeito foi maior do que o antecipado. Possíveis causas: os sinônimos foram extraídos do WordNet sem desambiguação de sentido (o primeiro synset retornado nem sempre corresponde ao sentido usado no texto), e todos os termos expandidos foram tratados com o mesmo peso dos termos originais na consulta, sem atenuação.</w:t>
      </w:r>
    </w:p>
    <w:p>
      <w:pPr>
        <w:spacing w:after="200" w:line="276"/>
        <w:jc w:val="both"/>
      </w:pPr>
      <w:r>
        <w:rPr>
          <w:b/>
          <w:bCs/>
        </w:rPr>
        <w:t xml:space="preserve">Elasticsearch (combinação 7) superou o Whoosh (combinação 7) em todas as métricas</w:t>
      </w:r>
      <w:r>
        <w:t xml:space="preserve">, mas essa comparação deve ser lida à luz da limitação metodológica registrada na Seção 3.4: a busca no Whoosh usou apenas os 15 termos mais raros de cada subconsulta (otimização necessária por restrições de tempo de execução), enquanto o Elasticsearch usou o conjunto completo de tokens (aproximadamente 50-60 por janela). Parte da vantagem observada do Elasticsearch é, portanto, atribuível a essa assimetria de informação disponível para cada busca, e não necessariamente a uma diferença intrínseca de qualidade entre as implementações de BM25 das duas ferramentas. Uma comparação rigorosamente controlada exigiria aplicar a mesma redução de termos (ou a ausência dela) em ambas as ferramentas — não realizada neste trabalho por restrição de tempo.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2026-09-12T22:08:41.939Z</dcterms:created>
  <dcterms:modified xsi:type="dcterms:W3CDTF">2026-09-12T22:08:41.951Z</dcterms:modified>
</cp:coreProperties>
</file>

<file path=docProps/custom.xml><?xml version="1.0" encoding="utf-8"?>
<Properties xmlns="http://schemas.openxmlformats.org/officeDocument/2006/custom-properties" xmlns:vt="http://schemas.openxmlformats.org/officeDocument/2006/docPropsVTypes"/>
</file>