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120"/>
        <w:jc w:val="center"/>
        <w:rPr/>
      </w:pPr>
      <w:r>
        <w:rPr>
          <w:rFonts w:ascii="Times New Roman" w:cs="Times New Roman" w:eastAsia="Times New Roman" w:hAnsi="Times New Roman"/>
          <w:b/>
          <w:bCs/>
          <w:sz w:val="30"/>
          <w:szCs w:val="30"/>
        </w:rPr>
        <w:t>CHAPTER TWO</w:t>
      </w:r>
    </w:p>
    <w:p>
      <w:pPr>
        <w:pStyle w:val="style0"/>
        <w:spacing w:after="360"/>
        <w:jc w:val="center"/>
        <w:rPr/>
      </w:pPr>
      <w:r>
        <w:rPr>
          <w:rFonts w:ascii="Times New Roman" w:cs="Times New Roman" w:eastAsia="Times New Roman" w:hAnsi="Times New Roman"/>
          <w:b/>
          <w:bCs/>
          <w:sz w:val="30"/>
          <w:szCs w:val="30"/>
        </w:rPr>
        <w:t>LITERATURE REVIEW</w:t>
      </w:r>
    </w:p>
    <w:p>
      <w:pPr>
        <w:pStyle w:val="style0"/>
        <w:spacing w:before="320" w:after="160"/>
        <w:rPr/>
      </w:pPr>
      <w:r>
        <w:rPr>
          <w:rFonts w:ascii="Times New Roman" w:cs="Times New Roman" w:eastAsia="Times New Roman" w:hAnsi="Times New Roman"/>
          <w:b/>
          <w:bCs/>
          <w:sz w:val="28"/>
          <w:szCs w:val="28"/>
        </w:rPr>
        <w:t>2.1 Introduction</w:t>
      </w:r>
    </w:p>
    <w:p>
      <w:pPr>
        <w:pStyle w:val="style0"/>
        <w:spacing w:before="80" w:after="120" w:lineRule="auto" w:line="360"/>
        <w:jc w:val="both"/>
        <w:rPr/>
      </w:pPr>
      <w:r>
        <w:rPr>
          <w:rFonts w:ascii="Times New Roman" w:cs="Times New Roman" w:eastAsia="Times New Roman" w:hAnsi="Times New Roman"/>
          <w:sz w:val="24"/>
          <w:szCs w:val="24"/>
        </w:rPr>
        <w:t>This chapter presents a systematic review of literature relevant to the proposed Student Union E-Voting Model Using Face Recognition Authentication. The review is organised thematically across five interconnected areas: (i) the evolution of voting systems and the case for electronic voting; (ii) biometric authentication in electoral systems, with particular attention to the Nigerian context; (iii) the theoretical and technical foundations of face recognition technology; (iv) an empirical review of face-recognition-based e-voting and related biometric authentication systems; and (v) a comparative synthesis identifying the specific gap in existing literature that this project addresses. Sources were drawn from peer-reviewed journals, conference proceedings, and institutional reports, spanning both international face-recognition voting research and Nigeria-specific biometric election studies published between 2014 and 2025.</w:t>
      </w:r>
    </w:p>
    <w:p>
      <w:pPr>
        <w:pStyle w:val="style0"/>
        <w:spacing w:before="320" w:after="160"/>
        <w:rPr/>
      </w:pPr>
      <w:r>
        <w:rPr>
          <w:rFonts w:ascii="Times New Roman" w:cs="Times New Roman" w:eastAsia="Times New Roman" w:hAnsi="Times New Roman"/>
          <w:b/>
          <w:bCs/>
          <w:sz w:val="28"/>
          <w:szCs w:val="28"/>
        </w:rPr>
        <w:t>2.2 Evolution of Voting Systems and the Case for Electronic Voting</w:t>
      </w:r>
    </w:p>
    <w:p>
      <w:pPr>
        <w:pStyle w:val="style0"/>
        <w:spacing w:before="240" w:after="120"/>
        <w:rPr/>
      </w:pPr>
      <w:r>
        <w:rPr>
          <w:rFonts w:ascii="Times New Roman" w:cs="Times New Roman" w:eastAsia="Times New Roman" w:hAnsi="Times New Roman"/>
          <w:b/>
          <w:bCs/>
          <w:sz w:val="24"/>
          <w:szCs w:val="24"/>
        </w:rPr>
        <w:t>2.2.1 From Manual Ballots to Electronic and Online Voting</w:t>
      </w:r>
    </w:p>
    <w:p>
      <w:pPr>
        <w:pStyle w:val="style0"/>
        <w:spacing w:before="80" w:after="120" w:lineRule="auto" w:line="360"/>
        <w:jc w:val="both"/>
        <w:rPr/>
      </w:pPr>
      <w:r>
        <w:rPr>
          <w:rFonts w:ascii="Times New Roman" w:cs="Times New Roman" w:eastAsia="Times New Roman" w:hAnsi="Times New Roman"/>
          <w:sz w:val="24"/>
          <w:szCs w:val="24"/>
        </w:rPr>
        <w:t>Buchsbaurn (2014) defined electronic voting broadly as any process that incorporates electronic means either in the casting of a vote or in the counting of votes, a definition that encompasses everything from optical-scan ballots to fully online, biometrically authenticated platforms. Voting itself is a mechanism by which a group of people register a collective decision, and the manner in which that mechanism is implemented has direct consequences for the credibility of the outcome. Within academic institutions, Omoweh (2017) observed that the manual recording and tallying of ballot papers to elect student union leaders has become increasingly difficult to manage as student populations grow, creating delays and opportunities for disputed results.</w:t>
      </w:r>
    </w:p>
    <w:p>
      <w:pPr>
        <w:pStyle w:val="style0"/>
        <w:spacing w:before="80" w:after="120" w:lineRule="auto" w:line="360"/>
        <w:jc w:val="both"/>
        <w:rPr/>
      </w:pPr>
      <w:r>
        <w:rPr>
          <w:rFonts w:ascii="Times New Roman" w:cs="Times New Roman" w:eastAsia="Times New Roman" w:hAnsi="Times New Roman"/>
          <w:sz w:val="24"/>
          <w:szCs w:val="24"/>
        </w:rPr>
        <w:t>The motivation for migrating student union elections away from paper ballots mirrors, at a smaller scale, the motivation that has driven national election technology reform across Nigeria. Abdullahi (2015) documented that election malpractice, including voter impersonation, has remained a persistent feature of the Nigerian political process, and youth-driven institutional elections are not insulated from the same pressures. Abdul-Kadir, Mohamed, Bharun, Mohd Satar and Abd. Hamid (2023) argued that biometric e-voting offers a materially more secure alternative to paper-based voting in academic institutions specifically because it binds the act of voting to a verified physical identity rather than to a physical card that can be transferred, lost, or forged.</w:t>
      </w:r>
    </w:p>
    <w:p>
      <w:pPr>
        <w:pStyle w:val="style0"/>
        <w:spacing w:before="240" w:after="120"/>
        <w:rPr/>
      </w:pPr>
      <w:r>
        <w:rPr>
          <w:rFonts w:ascii="Times New Roman" w:cs="Times New Roman" w:eastAsia="Times New Roman" w:hAnsi="Times New Roman"/>
          <w:b/>
          <w:bCs/>
          <w:sz w:val="24"/>
          <w:szCs w:val="24"/>
        </w:rPr>
        <w:t>2.2.2 Voter Authentication as the Central Security Bottleneck</w:t>
      </w:r>
    </w:p>
    <w:p>
      <w:pPr>
        <w:pStyle w:val="style0"/>
        <w:spacing w:before="80" w:after="120" w:lineRule="auto" w:line="360"/>
        <w:jc w:val="both"/>
        <w:rPr/>
      </w:pPr>
      <w:r>
        <w:rPr>
          <w:rFonts w:ascii="Times New Roman" w:cs="Times New Roman" w:eastAsia="Times New Roman" w:hAnsi="Times New Roman"/>
          <w:sz w:val="24"/>
          <w:szCs w:val="24"/>
        </w:rPr>
        <w:t>Across the systems reviewed in this chapter, voter authentication rather than vote transmission or tallying emerges as the recurring point of failure. Traditional card-and-register verification requires a polling official to manually match a voter against a printed roll, a process that Okokpujie, Nwankwo and Okokpujie (2021) identified as inherently susceptible to human error, misidentification, and impersonation, particularly under the time pressure of a busy polling exercise. This structural weakness is what has driven the successive waves of biometric adoption discussed in Section 2.3.</w:t>
      </w:r>
    </w:p>
    <w:p>
      <w:pPr>
        <w:pStyle w:val="style0"/>
        <w:spacing w:before="320" w:after="160"/>
        <w:rPr/>
      </w:pPr>
      <w:r>
        <w:rPr>
          <w:rFonts w:ascii="Times New Roman" w:cs="Times New Roman" w:eastAsia="Times New Roman" w:hAnsi="Times New Roman"/>
          <w:b/>
          <w:bCs/>
          <w:sz w:val="28"/>
          <w:szCs w:val="28"/>
        </w:rPr>
        <w:t>2.3 Biometric Authentication in Electoral Systems</w:t>
      </w:r>
    </w:p>
    <w:p>
      <w:pPr>
        <w:pStyle w:val="style0"/>
        <w:spacing w:before="240" w:after="120"/>
        <w:rPr/>
      </w:pPr>
      <w:r>
        <w:rPr>
          <w:rFonts w:ascii="Times New Roman" w:cs="Times New Roman" w:eastAsia="Times New Roman" w:hAnsi="Times New Roman"/>
          <w:b/>
          <w:bCs/>
          <w:sz w:val="24"/>
          <w:szCs w:val="24"/>
        </w:rPr>
        <w:t>2.3.1 Fingerprint-Based Biometric Voting: Adoption, Performance and Limits</w:t>
      </w:r>
    </w:p>
    <w:p>
      <w:pPr>
        <w:pStyle w:val="style0"/>
        <w:spacing w:before="80" w:after="120" w:lineRule="auto" w:line="360"/>
        <w:jc w:val="both"/>
        <w:rPr/>
      </w:pPr>
      <w:r>
        <w:rPr>
          <w:rFonts w:ascii="Times New Roman" w:cs="Times New Roman" w:eastAsia="Times New Roman" w:hAnsi="Times New Roman"/>
          <w:sz w:val="24"/>
          <w:szCs w:val="24"/>
        </w:rPr>
        <w:t>Fingerprint verification was the first biometric modality to see widespread deployment in electoral contexts because of its comparatively low cost and mature underlying technology. Okandeji, Olajide, Okubanjo and Onaifo (2020) designed and evaluated a biometric voting system combining fingerprint and facial recognition specifically to address the time-consuming and fraud-prone nature of Nigeria's largely manual election process, reporting that the dual-modality approach reduced the incidence of duplicate voting relative to fingerprint-only verification. However, Okokpujie et al. (2021) noted that fingerprint scanners introduce their own failure modes: technical glitches, sensor degradation, and difficulty reading the fingerprints of individuals whose prints are worn, damaged, or affected by manual labour, all of which can disenfranchise legitimate voters at the point of authentication.</w:t>
      </w:r>
    </w:p>
    <w:p>
      <w:pPr>
        <w:pStyle w:val="style0"/>
        <w:spacing w:before="240" w:after="120"/>
        <w:rPr/>
      </w:pPr>
      <w:r>
        <w:rPr>
          <w:rFonts w:ascii="Times New Roman" w:cs="Times New Roman" w:eastAsia="Times New Roman" w:hAnsi="Times New Roman"/>
          <w:b/>
          <w:bCs/>
          <w:sz w:val="24"/>
          <w:szCs w:val="24"/>
        </w:rPr>
        <w:t>2.3.2 Biometric Verification in the Nigerian Electoral Context</w:t>
      </w:r>
    </w:p>
    <w:p>
      <w:pPr>
        <w:pStyle w:val="style0"/>
        <w:spacing w:before="80" w:after="120" w:lineRule="auto" w:line="360"/>
        <w:jc w:val="both"/>
        <w:rPr/>
      </w:pPr>
      <w:r>
        <w:rPr>
          <w:rFonts w:ascii="Times New Roman" w:cs="Times New Roman" w:eastAsia="Times New Roman" w:hAnsi="Times New Roman"/>
          <w:sz w:val="24"/>
          <w:szCs w:val="24"/>
        </w:rPr>
        <w:t>The limitations of single-modality biometric verification are well documented at national scale in Nigeria, where the Independent National Electoral Commission has progressively layered fingerprint- and, more recently, facial-recognition-based accreditation onto the voting process. Afolabi and Ogunne (2018) provide a cautionary empirical finding relevant to this project: their analysis of the 2015 Nigerian general elections found that greater reliance on biometric technology coincided with only modest voter turnout (43.65%), and that physically challenged voters in particular reported the biometric capture process as a barrier to participation. Their finding that biometric technology alone does not automatically improve either turnout or public confidence is an important qualifier for any system, including the one proposed here, that positions biometric authentication as a solution to electoral integrity problems; usability and accessibility must be engineered deliberately rather than assumed to follow from the choice of modality.</w:t>
      </w:r>
    </w:p>
    <w:p>
      <w:pPr>
        <w:pStyle w:val="style0"/>
        <w:spacing w:before="320" w:after="160"/>
        <w:rPr/>
      </w:pPr>
      <w:r>
        <w:rPr>
          <w:rFonts w:ascii="Times New Roman" w:cs="Times New Roman" w:eastAsia="Times New Roman" w:hAnsi="Times New Roman"/>
          <w:b/>
          <w:bCs/>
          <w:sz w:val="28"/>
          <w:szCs w:val="28"/>
        </w:rPr>
        <w:t>2.4 Face Recognition Technology: Principles and Technical Foundations</w:t>
      </w:r>
    </w:p>
    <w:p>
      <w:pPr>
        <w:pStyle w:val="style0"/>
        <w:spacing w:before="240" w:after="120"/>
        <w:rPr/>
      </w:pPr>
      <w:r>
        <w:rPr>
          <w:rFonts w:ascii="Times New Roman" w:cs="Times New Roman" w:eastAsia="Times New Roman" w:hAnsi="Times New Roman"/>
          <w:b/>
          <w:bCs/>
          <w:sz w:val="24"/>
          <w:szCs w:val="24"/>
        </w:rPr>
        <w:t>2.4.1 From Handcrafted Features to Deep Learning</w:t>
      </w:r>
    </w:p>
    <w:p>
      <w:pPr>
        <w:pStyle w:val="style0"/>
        <w:spacing w:before="80" w:after="120" w:lineRule="auto" w:line="360"/>
        <w:jc w:val="both"/>
        <w:rPr/>
      </w:pPr>
      <w:r>
        <w:rPr>
          <w:rFonts w:ascii="Times New Roman" w:cs="Times New Roman" w:eastAsia="Times New Roman" w:hAnsi="Times New Roman"/>
          <w:sz w:val="24"/>
          <w:szCs w:val="24"/>
        </w:rPr>
        <w:t>Face recognition is a biometric technique that identifies or verifies an individual by analysing and comparing the geometric and textural patterns of the face captured in an image or video frame. Bhimanwar, Bhole, Biradar and Rane (2017) described the technology as mapping distinctive facial landmarks into a numerical representation that can be compared against a stored database of enrolled faces. El Fadel (2025), in a systematic literature review of facial recognition algorithms published in the Journal of Imaging, traced the field's progression from classical statistical techniques such as Principal Component Analysis and handcrafted descriptors toward deep convolutional neural network (CNN) architectures, concluding that CNN-based methods have substantially improved both the accuracy and the operational efficiency of face recognition systems, while introducing new concerns around privacy, algorithmic bias, and computational cost. Fernando, Andwiyan, Fitria Murad, Touriano and Irsan (2019) demonstrated this shift directly, developing a face recognition system built on deep neural networks with CNN layers to improve identification accuracy, though at the cost of higher computational requirements for both training and real-time inference.</w:t>
      </w:r>
    </w:p>
    <w:p>
      <w:pPr>
        <w:pStyle w:val="style0"/>
        <w:spacing w:before="240" w:after="120"/>
        <w:rPr/>
      </w:pPr>
      <w:r>
        <w:rPr>
          <w:rFonts w:ascii="Times New Roman" w:cs="Times New Roman" w:eastAsia="Times New Roman" w:hAnsi="Times New Roman"/>
          <w:b/>
          <w:bCs/>
          <w:sz w:val="24"/>
          <w:szCs w:val="24"/>
        </w:rPr>
        <w:t>2.4.2 Recognition Performance Under Real-World Conditions</w:t>
      </w:r>
    </w:p>
    <w:p>
      <w:pPr>
        <w:pStyle w:val="style0"/>
        <w:spacing w:before="80" w:after="120" w:lineRule="auto" w:line="360"/>
        <w:jc w:val="both"/>
        <w:rPr/>
      </w:pPr>
      <w:r>
        <w:rPr>
          <w:rFonts w:ascii="Times New Roman" w:cs="Times New Roman" w:eastAsia="Times New Roman" w:hAnsi="Times New Roman"/>
          <w:sz w:val="24"/>
          <w:szCs w:val="24"/>
        </w:rPr>
        <w:t>A recurring theme across the reviewed literature is that face recognition accuracy achieved under controlled laboratory conditions does not automatically transfer to field deployment. Adeniji, Omidiora, Ganiyu, Awodoye and Ileladewa (2025), in a CNN-based access-control study, reported an operating accuracy of 92.96%, a False Acceptance Rate of 6.84%, and a False Rejection Rate of 7.19% at their optimal decision threshold, while confirming that classification performance degraded as lighting and pose variation increased and that inference time (over 60 seconds per comparison in their implementation) posed a practical constraint for real-time applications. Sulaiman, Othman, Md Shah, Hassan, Harum and Mohammed Alseadoon (2021) and Behrainwala, Saxena, Navlani, Sahay and Tarapore (2022) reported the same class of limitation in campus e-voting contexts specifically: both studies found that recognition accuracy was sensitive to changes in ambient lighting and to natural variation in a voter's appearance over time. Together, these findings establish that any face-recognition-based authentication module must be designed with explicit tolerance for non-ideal capture conditions rather than assuming laboratory-grade accuracy in the field.</w:t>
      </w:r>
    </w:p>
    <w:p>
      <w:pPr>
        <w:pStyle w:val="style0"/>
        <w:spacing w:before="320" w:after="160"/>
        <w:rPr/>
      </w:pPr>
      <w:r>
        <w:rPr>
          <w:rFonts w:ascii="Times New Roman" w:cs="Times New Roman" w:eastAsia="Times New Roman" w:hAnsi="Times New Roman"/>
          <w:b/>
          <w:bCs/>
          <w:sz w:val="28"/>
          <w:szCs w:val="28"/>
        </w:rPr>
        <w:t>2.5 Face-Recognition-Based E-Voting and Related Biometric Systems: Empirical Review</w:t>
      </w:r>
    </w:p>
    <w:p>
      <w:pPr>
        <w:pStyle w:val="style0"/>
        <w:spacing w:before="240" w:after="120"/>
        <w:rPr/>
      </w:pPr>
      <w:r>
        <w:rPr>
          <w:rFonts w:ascii="Times New Roman" w:cs="Times New Roman" w:eastAsia="Times New Roman" w:hAnsi="Times New Roman"/>
          <w:b/>
          <w:bCs/>
          <w:sz w:val="24"/>
          <w:szCs w:val="24"/>
        </w:rPr>
        <w:t>2.5.1 Campus and Institutional E-Voting Implementations</w:t>
      </w:r>
    </w:p>
    <w:p>
      <w:pPr>
        <w:pStyle w:val="style0"/>
        <w:spacing w:before="80" w:after="120" w:lineRule="auto" w:line="360"/>
        <w:jc w:val="both"/>
        <w:rPr/>
      </w:pPr>
      <w:r>
        <w:rPr>
          <w:rFonts w:ascii="Times New Roman" w:cs="Times New Roman" w:eastAsia="Times New Roman" w:hAnsi="Times New Roman"/>
          <w:sz w:val="24"/>
          <w:szCs w:val="24"/>
        </w:rPr>
        <w:t>Several studies have implemented face recognition specifically within campus or institutional voting contexts. Domakonda, Nishitha, Kumar, Rao and Sindhu (2022) developed an e-voting system using facial recognition to strengthen the security and reliability of the voting process, but reported that high-quality image capture and the computational cost of real-time processing remained open challenges. Kothawade, Bagul and colleagues (2021) proposed a complementary approach combining biometric thumb impressions with facial recognition for voter authentication, finding that the dual-modality design improved reliability but still depended on high-quality capture hardware and remained sensitive to environmental conditions. Vashisht, Mohan and Prakash (2022) presented a smart voting system built around face recognition and argued that the approach offers a meaningful improvement in both efficiency and security over card-based verification, while Sruthi and Shanjai (2021) demonstrated an automatic voting system using a convolutional neural network as the underlying recognition engine, reinforcing CNNs as the dominant technical approach across this literature.</w:t>
      </w:r>
    </w:p>
    <w:p>
      <w:pPr>
        <w:pStyle w:val="style0"/>
        <w:spacing w:before="240" w:after="120"/>
        <w:rPr/>
      </w:pPr>
      <w:r>
        <w:rPr>
          <w:rFonts w:ascii="Times New Roman" w:cs="Times New Roman" w:eastAsia="Times New Roman" w:hAnsi="Times New Roman"/>
          <w:b/>
          <w:bCs/>
          <w:sz w:val="24"/>
          <w:szCs w:val="24"/>
        </w:rPr>
        <w:t>2.5.2 Multimodal and Nigerian Biometric Voting Systems</w:t>
      </w:r>
    </w:p>
    <w:p>
      <w:pPr>
        <w:pStyle w:val="style0"/>
        <w:spacing w:before="80" w:after="120" w:lineRule="auto" w:line="360"/>
        <w:jc w:val="both"/>
        <w:rPr/>
      </w:pPr>
      <w:r>
        <w:rPr>
          <w:rFonts w:ascii="Times New Roman" w:cs="Times New Roman" w:eastAsia="Times New Roman" w:hAnsi="Times New Roman"/>
          <w:sz w:val="24"/>
          <w:szCs w:val="24"/>
        </w:rPr>
        <w:t>The Student Union Electoral Commission (SUEC, 2022) introduced the Student Voter Accreditation System (SVAS) during Nigeria's 2023 student union election cycle, combining fingerprint and facial recognition specifically to curb voter impersonation and multiple voting. The reported limitations, technical failures attributable to poor institutional infrastructure and reduced biometric recognition accuracy under varying environmental conditions, closely mirror the national-level findings of Afolabi and Ogunne (2018) and reinforce that infrastructure reliability, not recognition algorithm choice alone, is a decisive factor for successful deployment within Nigerian tertiary institutions. Related work on facial recognition outside the voting domain, such as Srinivas, Goutham and Kumaran's (2022) IoT-based facial recognition attendance system, further confirms that the same recognition pipeline (enrolment, capture, matching, decision) generalises well across authentication use cases, lending additional confidence to its applicability for student voter verification.</w:t>
      </w:r>
    </w:p>
    <w:p>
      <w:pPr>
        <w:pStyle w:val="style0"/>
        <w:spacing w:before="320" w:after="160"/>
        <w:rPr/>
      </w:pPr>
      <w:r>
        <w:rPr>
          <w:rFonts w:ascii="Times New Roman" w:cs="Times New Roman" w:eastAsia="Times New Roman" w:hAnsi="Times New Roman"/>
          <w:b/>
          <w:bCs/>
          <w:sz w:val="28"/>
          <w:szCs w:val="28"/>
        </w:rPr>
        <w:t>2.6 Comparative Summary of Reviewed Systems</w:t>
      </w:r>
    </w:p>
    <w:p>
      <w:pPr>
        <w:pStyle w:val="style0"/>
        <w:spacing w:before="80" w:after="120" w:lineRule="auto" w:line="360"/>
        <w:jc w:val="both"/>
        <w:rPr/>
      </w:pPr>
      <w:r>
        <w:rPr>
          <w:rFonts w:ascii="Times New Roman" w:cs="Times New Roman" w:eastAsia="Times New Roman" w:hAnsi="Times New Roman"/>
          <w:sz w:val="24"/>
          <w:szCs w:val="24"/>
        </w:rPr>
        <w:t>Table 2.1 summarises the authentication modality, reported performance, connectivity assumptions, and principal limitation of the systems reviewed in this chapter, positioning the proposed model relative to existing work.</w:t>
      </w:r>
    </w:p>
    <w:p>
      <w:pPr>
        <w:pStyle w:val="style0"/>
        <w:spacing w:before="160" w:after="160"/>
        <w:jc w:val="center"/>
        <w:rPr/>
      </w:pPr>
      <w:r>
        <w:rPr>
          <w:rFonts w:ascii="Times New Roman" w:cs="Times New Roman" w:eastAsia="Times New Roman" w:hAnsi="Times New Roman"/>
          <w:b/>
          <w:bCs/>
          <w:sz w:val="22"/>
          <w:szCs w:val="22"/>
        </w:rPr>
        <w:t>Table 2.1: Comparative Summary of Reviewed Biometric and Face-Recognition Voting/Access Systems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00"/>
        <w:gridCol w:w="1400"/>
        <w:gridCol w:w="2000"/>
        <w:gridCol w:w="1200"/>
        <w:gridCol w:w="2166"/>
      </w:tblGrid>
      <w:tr>
        <w:trPr>
          <w:tblHeader/>
        </w:trPr>
        <w:tc>
          <w:tcPr>
            <w:tcW w:w="1900" w:type="dxa"/>
            <w:tcBorders/>
            <w:shd w:val="clear" w:color="auto" w:fill="d9d9d9"/>
            <w:tcMar>
              <w:top w:w="60" w:type="dxa"/>
              <w:left w:w="80" w:type="dxa"/>
              <w:bottom w:w="60" w:type="dxa"/>
              <w:right w:w="80" w:type="dxa"/>
            </w:tcMar>
            <w:vAlign w:val="center"/>
          </w:tcPr>
          <w:p>
            <w:pPr>
              <w:pStyle w:val="style0"/>
              <w:jc w:val="left"/>
              <w:rPr/>
            </w:pPr>
            <w:r>
              <w:rPr>
                <w:rFonts w:ascii="Times New Roman" w:cs="Times New Roman" w:eastAsia="Times New Roman" w:hAnsi="Times New Roman"/>
                <w:b/>
                <w:bCs/>
                <w:sz w:val="18"/>
                <w:szCs w:val="18"/>
              </w:rPr>
              <w:t>Author/Year / System</w:t>
            </w:r>
          </w:p>
        </w:tc>
        <w:tc>
          <w:tcPr>
            <w:tcW w:w="1400" w:type="dxa"/>
            <w:tcBorders/>
            <w:shd w:val="clear" w:color="auto" w:fill="d9d9d9"/>
            <w:tcMar>
              <w:top w:w="60" w:type="dxa"/>
              <w:left w:w="80" w:type="dxa"/>
              <w:bottom w:w="60" w:type="dxa"/>
              <w:right w:w="80" w:type="dxa"/>
            </w:tcMar>
            <w:vAlign w:val="center"/>
          </w:tcPr>
          <w:p>
            <w:pPr>
              <w:pStyle w:val="style0"/>
              <w:jc w:val="left"/>
              <w:rPr/>
            </w:pPr>
            <w:r>
              <w:rPr>
                <w:rFonts w:ascii="Times New Roman" w:cs="Times New Roman" w:eastAsia="Times New Roman" w:hAnsi="Times New Roman"/>
                <w:b/>
                <w:bCs/>
                <w:sz w:val="18"/>
                <w:szCs w:val="18"/>
              </w:rPr>
              <w:t>Authentication Modality</w:t>
            </w:r>
          </w:p>
        </w:tc>
        <w:tc>
          <w:tcPr>
            <w:tcW w:w="2000" w:type="dxa"/>
            <w:tcBorders/>
            <w:shd w:val="clear" w:color="auto" w:fill="d9d9d9"/>
            <w:tcMar>
              <w:top w:w="60" w:type="dxa"/>
              <w:left w:w="80" w:type="dxa"/>
              <w:bottom w:w="60" w:type="dxa"/>
              <w:right w:w="80" w:type="dxa"/>
            </w:tcMar>
            <w:vAlign w:val="center"/>
          </w:tcPr>
          <w:p>
            <w:pPr>
              <w:pStyle w:val="style0"/>
              <w:jc w:val="left"/>
              <w:rPr/>
            </w:pPr>
            <w:r>
              <w:rPr>
                <w:rFonts w:ascii="Times New Roman" w:cs="Times New Roman" w:eastAsia="Times New Roman" w:hAnsi="Times New Roman"/>
                <w:b/>
                <w:bCs/>
                <w:sz w:val="18"/>
                <w:szCs w:val="18"/>
              </w:rPr>
              <w:t>Reported Performance</w:t>
            </w:r>
          </w:p>
        </w:tc>
        <w:tc>
          <w:tcPr>
            <w:tcW w:w="1200" w:type="dxa"/>
            <w:tcBorders/>
            <w:shd w:val="clear" w:color="auto" w:fill="d9d9d9"/>
            <w:tcMar>
              <w:top w:w="60" w:type="dxa"/>
              <w:left w:w="80" w:type="dxa"/>
              <w:bottom w:w="60" w:type="dxa"/>
              <w:right w:w="80" w:type="dxa"/>
            </w:tcMar>
            <w:vAlign w:val="center"/>
          </w:tcPr>
          <w:p>
            <w:pPr>
              <w:pStyle w:val="style0"/>
              <w:jc w:val="left"/>
              <w:rPr/>
            </w:pPr>
            <w:r>
              <w:rPr>
                <w:rFonts w:ascii="Times New Roman" w:cs="Times New Roman" w:eastAsia="Times New Roman" w:hAnsi="Times New Roman"/>
                <w:b/>
                <w:bCs/>
                <w:sz w:val="18"/>
                <w:szCs w:val="18"/>
              </w:rPr>
              <w:t>Connectivity Mode</w:t>
            </w:r>
          </w:p>
        </w:tc>
        <w:tc>
          <w:tcPr>
            <w:tcW w:w="2166" w:type="dxa"/>
            <w:tcBorders/>
            <w:shd w:val="clear" w:color="auto" w:fill="d9d9d9"/>
            <w:tcMar>
              <w:top w:w="60" w:type="dxa"/>
              <w:left w:w="80" w:type="dxa"/>
              <w:bottom w:w="60" w:type="dxa"/>
              <w:right w:w="80" w:type="dxa"/>
            </w:tcMar>
            <w:vAlign w:val="center"/>
          </w:tcPr>
          <w:p>
            <w:pPr>
              <w:pStyle w:val="style0"/>
              <w:jc w:val="left"/>
              <w:rPr/>
            </w:pPr>
            <w:r>
              <w:rPr>
                <w:rFonts w:ascii="Times New Roman" w:cs="Times New Roman" w:eastAsia="Times New Roman" w:hAnsi="Times New Roman"/>
                <w:b/>
                <w:bCs/>
                <w:sz w:val="18"/>
                <w:szCs w:val="18"/>
              </w:rPr>
              <w:t>Principal Limitation</w:t>
            </w:r>
          </w:p>
        </w:tc>
      </w:tr>
      <w:tr>
        <w:tblPrEx/>
        <w:trPr/>
        <w:tc>
          <w:tcPr>
            <w:tcW w:w="1900" w:type="dxa"/>
            <w:tcBorders/>
            <w:tcMar>
              <w:top w:w="60" w:type="dxa"/>
              <w:left w:w="80" w:type="dxa"/>
              <w:bottom w:w="60" w:type="dxa"/>
              <w:right w:w="80" w:type="dxa"/>
            </w:tcMar>
            <w:vAlign w:val="center"/>
          </w:tcPr>
          <w:p>
            <w:pPr>
              <w:pStyle w:val="style0"/>
              <w:jc w:val="left"/>
              <w:rPr/>
            </w:pPr>
            <w:r>
              <w:rPr>
                <w:rFonts w:ascii="Times New Roman" w:cs="Times New Roman" w:eastAsia="Times New Roman" w:hAnsi="Times New Roman"/>
                <w:b w:val="false"/>
                <w:bCs w:val="false"/>
                <w:sz w:val="18"/>
                <w:szCs w:val="18"/>
              </w:rPr>
              <w:t>SUEC (2022) – SVAS</w:t>
            </w:r>
          </w:p>
        </w:tc>
        <w:tc>
          <w:tcPr>
            <w:tcW w:w="1400" w:type="dxa"/>
            <w:tcBorders/>
            <w:tcMar>
              <w:top w:w="60" w:type="dxa"/>
              <w:left w:w="80" w:type="dxa"/>
              <w:bottom w:w="60" w:type="dxa"/>
              <w:right w:w="80" w:type="dxa"/>
            </w:tcMar>
            <w:vAlign w:val="center"/>
          </w:tcPr>
          <w:p>
            <w:pPr>
              <w:pStyle w:val="style0"/>
              <w:jc w:val="left"/>
              <w:rPr/>
            </w:pPr>
            <w:r>
              <w:rPr>
                <w:rFonts w:ascii="Times New Roman" w:cs="Times New Roman" w:eastAsia="Times New Roman" w:hAnsi="Times New Roman"/>
                <w:b w:val="false"/>
                <w:bCs w:val="false"/>
                <w:sz w:val="18"/>
                <w:szCs w:val="18"/>
              </w:rPr>
              <w:t>Fingerprint + Face</w:t>
            </w:r>
          </w:p>
        </w:tc>
        <w:tc>
          <w:tcPr>
            <w:tcW w:w="2000" w:type="dxa"/>
            <w:tcBorders/>
            <w:tcMar>
              <w:top w:w="60" w:type="dxa"/>
              <w:left w:w="80" w:type="dxa"/>
              <w:bottom w:w="60" w:type="dxa"/>
              <w:right w:w="80" w:type="dxa"/>
            </w:tcMar>
            <w:vAlign w:val="center"/>
          </w:tcPr>
          <w:p>
            <w:pPr>
              <w:pStyle w:val="style0"/>
              <w:jc w:val="left"/>
              <w:rPr/>
            </w:pPr>
            <w:r>
              <w:rPr>
                <w:rFonts w:ascii="Times New Roman" w:cs="Times New Roman" w:eastAsia="Times New Roman" w:hAnsi="Times New Roman"/>
                <w:b w:val="false"/>
                <w:bCs w:val="false"/>
                <w:sz w:val="18"/>
                <w:szCs w:val="18"/>
              </w:rPr>
              <w:t>Reduced impersonation &amp; multiple voting (qualitative)</w:t>
            </w:r>
          </w:p>
        </w:tc>
        <w:tc>
          <w:tcPr>
            <w:tcW w:w="1200" w:type="dxa"/>
            <w:tcBorders/>
            <w:tcMar>
              <w:top w:w="60" w:type="dxa"/>
              <w:left w:w="80" w:type="dxa"/>
              <w:bottom w:w="60" w:type="dxa"/>
              <w:right w:w="80" w:type="dxa"/>
            </w:tcMar>
            <w:vAlign w:val="center"/>
          </w:tcPr>
          <w:p>
            <w:pPr>
              <w:pStyle w:val="style0"/>
              <w:jc w:val="left"/>
              <w:rPr/>
            </w:pPr>
            <w:r>
              <w:rPr>
                <w:rFonts w:ascii="Times New Roman" w:cs="Times New Roman" w:eastAsia="Times New Roman" w:hAnsi="Times New Roman"/>
                <w:b w:val="false"/>
                <w:bCs w:val="false"/>
                <w:sz w:val="18"/>
                <w:szCs w:val="18"/>
              </w:rPr>
              <w:t>Online (campus network)</w:t>
            </w:r>
          </w:p>
        </w:tc>
        <w:tc>
          <w:tcPr>
            <w:tcW w:w="2166" w:type="dxa"/>
            <w:tcBorders/>
            <w:tcMar>
              <w:top w:w="60" w:type="dxa"/>
              <w:left w:w="80" w:type="dxa"/>
              <w:bottom w:w="60" w:type="dxa"/>
              <w:right w:w="80" w:type="dxa"/>
            </w:tcMar>
            <w:vAlign w:val="center"/>
          </w:tcPr>
          <w:p>
            <w:pPr>
              <w:pStyle w:val="style0"/>
              <w:jc w:val="left"/>
              <w:rPr/>
            </w:pPr>
            <w:r>
              <w:rPr>
                <w:rFonts w:ascii="Times New Roman" w:cs="Times New Roman" w:eastAsia="Times New Roman" w:hAnsi="Times New Roman"/>
                <w:b w:val="false"/>
                <w:bCs w:val="false"/>
                <w:sz w:val="18"/>
                <w:szCs w:val="18"/>
              </w:rPr>
              <w:t>Infrastructure failures; recognition accuracy under varying conditions</w:t>
            </w:r>
          </w:p>
        </w:tc>
      </w:tr>
      <w:tr>
        <w:tblPrEx/>
        <w:trPr/>
        <w:tc>
          <w:tcPr>
            <w:tcW w:w="1900" w:type="dxa"/>
            <w:tcBorders/>
            <w:tcMar>
              <w:top w:w="60" w:type="dxa"/>
              <w:left w:w="80" w:type="dxa"/>
              <w:bottom w:w="60" w:type="dxa"/>
              <w:right w:w="80" w:type="dxa"/>
            </w:tcMar>
            <w:vAlign w:val="center"/>
          </w:tcPr>
          <w:p>
            <w:pPr>
              <w:pStyle w:val="style0"/>
              <w:jc w:val="left"/>
              <w:rPr/>
            </w:pPr>
            <w:r>
              <w:rPr>
                <w:rFonts w:ascii="Times New Roman" w:cs="Times New Roman" w:eastAsia="Times New Roman" w:hAnsi="Times New Roman"/>
                <w:b w:val="false"/>
                <w:bCs w:val="false"/>
                <w:sz w:val="18"/>
                <w:szCs w:val="18"/>
              </w:rPr>
              <w:t>Okandeji et al. (2020)</w:t>
            </w:r>
          </w:p>
        </w:tc>
        <w:tc>
          <w:tcPr>
            <w:tcW w:w="1400" w:type="dxa"/>
            <w:tcBorders/>
            <w:tcMar>
              <w:top w:w="60" w:type="dxa"/>
              <w:left w:w="80" w:type="dxa"/>
              <w:bottom w:w="60" w:type="dxa"/>
              <w:right w:w="80" w:type="dxa"/>
            </w:tcMar>
            <w:vAlign w:val="center"/>
          </w:tcPr>
          <w:p>
            <w:pPr>
              <w:pStyle w:val="style0"/>
              <w:jc w:val="left"/>
              <w:rPr/>
            </w:pPr>
            <w:r>
              <w:rPr>
                <w:rFonts w:ascii="Times New Roman" w:cs="Times New Roman" w:eastAsia="Times New Roman" w:hAnsi="Times New Roman"/>
                <w:b w:val="false"/>
                <w:bCs w:val="false"/>
                <w:sz w:val="18"/>
                <w:szCs w:val="18"/>
              </w:rPr>
              <w:t>Fingerprint + Face</w:t>
            </w:r>
          </w:p>
        </w:tc>
        <w:tc>
          <w:tcPr>
            <w:tcW w:w="2000" w:type="dxa"/>
            <w:tcBorders/>
            <w:tcMar>
              <w:top w:w="60" w:type="dxa"/>
              <w:left w:w="80" w:type="dxa"/>
              <w:bottom w:w="60" w:type="dxa"/>
              <w:right w:w="80" w:type="dxa"/>
            </w:tcMar>
            <w:vAlign w:val="center"/>
          </w:tcPr>
          <w:p>
            <w:pPr>
              <w:pStyle w:val="style0"/>
              <w:jc w:val="left"/>
              <w:rPr/>
            </w:pPr>
            <w:r>
              <w:rPr>
                <w:rFonts w:ascii="Times New Roman" w:cs="Times New Roman" w:eastAsia="Times New Roman" w:hAnsi="Times New Roman"/>
                <w:b w:val="false"/>
                <w:bCs w:val="false"/>
                <w:sz w:val="18"/>
                <w:szCs w:val="18"/>
              </w:rPr>
              <w:t>Reduced duplicate voting vs. single-modality</w:t>
            </w:r>
          </w:p>
        </w:tc>
        <w:tc>
          <w:tcPr>
            <w:tcW w:w="1200" w:type="dxa"/>
            <w:tcBorders/>
            <w:tcMar>
              <w:top w:w="60" w:type="dxa"/>
              <w:left w:w="80" w:type="dxa"/>
              <w:bottom w:w="60" w:type="dxa"/>
              <w:right w:w="80" w:type="dxa"/>
            </w:tcMar>
            <w:vAlign w:val="center"/>
          </w:tcPr>
          <w:p>
            <w:pPr>
              <w:pStyle w:val="style0"/>
              <w:jc w:val="left"/>
              <w:rPr/>
            </w:pPr>
            <w:r>
              <w:rPr>
                <w:rFonts w:ascii="Times New Roman" w:cs="Times New Roman" w:eastAsia="Times New Roman" w:hAnsi="Times New Roman"/>
                <w:b w:val="false"/>
                <w:bCs w:val="false"/>
                <w:sz w:val="18"/>
                <w:szCs w:val="18"/>
              </w:rPr>
              <w:t>Online</w:t>
            </w:r>
          </w:p>
        </w:tc>
        <w:tc>
          <w:tcPr>
            <w:tcW w:w="2166" w:type="dxa"/>
            <w:tcBorders/>
            <w:tcMar>
              <w:top w:w="60" w:type="dxa"/>
              <w:left w:w="80" w:type="dxa"/>
              <w:bottom w:w="60" w:type="dxa"/>
              <w:right w:w="80" w:type="dxa"/>
            </w:tcMar>
            <w:vAlign w:val="center"/>
          </w:tcPr>
          <w:p>
            <w:pPr>
              <w:pStyle w:val="style0"/>
              <w:jc w:val="left"/>
              <w:rPr/>
            </w:pPr>
            <w:r>
              <w:rPr>
                <w:rFonts w:ascii="Times New Roman" w:cs="Times New Roman" w:eastAsia="Times New Roman" w:hAnsi="Times New Roman"/>
                <w:b w:val="false"/>
                <w:bCs w:val="false"/>
                <w:sz w:val="18"/>
                <w:szCs w:val="18"/>
              </w:rPr>
              <w:t>Dependence on quality capture hardware</w:t>
            </w:r>
          </w:p>
        </w:tc>
      </w:tr>
      <w:tr>
        <w:tblPrEx/>
        <w:trPr/>
        <w:tc>
          <w:tcPr>
            <w:tcW w:w="1900" w:type="dxa"/>
            <w:tcBorders/>
            <w:tcMar>
              <w:top w:w="60" w:type="dxa"/>
              <w:left w:w="80" w:type="dxa"/>
              <w:bottom w:w="60" w:type="dxa"/>
              <w:right w:w="80" w:type="dxa"/>
            </w:tcMar>
            <w:vAlign w:val="center"/>
          </w:tcPr>
          <w:p>
            <w:pPr>
              <w:pStyle w:val="style0"/>
              <w:jc w:val="left"/>
              <w:rPr/>
            </w:pPr>
            <w:r>
              <w:rPr>
                <w:rFonts w:ascii="Times New Roman" w:cs="Times New Roman" w:eastAsia="Times New Roman" w:hAnsi="Times New Roman"/>
                <w:b w:val="false"/>
                <w:bCs w:val="false"/>
                <w:sz w:val="18"/>
                <w:szCs w:val="18"/>
              </w:rPr>
              <w:t>Domakonda et al. (2022)</w:t>
            </w:r>
          </w:p>
        </w:tc>
        <w:tc>
          <w:tcPr>
            <w:tcW w:w="1400" w:type="dxa"/>
            <w:tcBorders/>
            <w:tcMar>
              <w:top w:w="60" w:type="dxa"/>
              <w:left w:w="80" w:type="dxa"/>
              <w:bottom w:w="60" w:type="dxa"/>
              <w:right w:w="80" w:type="dxa"/>
            </w:tcMar>
            <w:vAlign w:val="center"/>
          </w:tcPr>
          <w:p>
            <w:pPr>
              <w:pStyle w:val="style0"/>
              <w:jc w:val="left"/>
              <w:rPr/>
            </w:pPr>
            <w:r>
              <w:rPr>
                <w:rFonts w:ascii="Times New Roman" w:cs="Times New Roman" w:eastAsia="Times New Roman" w:hAnsi="Times New Roman"/>
                <w:b w:val="false"/>
                <w:bCs w:val="false"/>
                <w:sz w:val="18"/>
                <w:szCs w:val="18"/>
              </w:rPr>
              <w:t>Face only</w:t>
            </w:r>
          </w:p>
        </w:tc>
        <w:tc>
          <w:tcPr>
            <w:tcW w:w="2000" w:type="dxa"/>
            <w:tcBorders/>
            <w:tcMar>
              <w:top w:w="60" w:type="dxa"/>
              <w:left w:w="80" w:type="dxa"/>
              <w:bottom w:w="60" w:type="dxa"/>
              <w:right w:w="80" w:type="dxa"/>
            </w:tcMar>
            <w:vAlign w:val="center"/>
          </w:tcPr>
          <w:p>
            <w:pPr>
              <w:pStyle w:val="style0"/>
              <w:jc w:val="left"/>
              <w:rPr/>
            </w:pPr>
            <w:r>
              <w:rPr>
                <w:rFonts w:ascii="Times New Roman" w:cs="Times New Roman" w:eastAsia="Times New Roman" w:hAnsi="Times New Roman"/>
                <w:b w:val="false"/>
                <w:bCs w:val="false"/>
                <w:sz w:val="18"/>
                <w:szCs w:val="18"/>
              </w:rPr>
              <w:t>Improved security/reliability (qualitative)</w:t>
            </w:r>
          </w:p>
        </w:tc>
        <w:tc>
          <w:tcPr>
            <w:tcW w:w="1200" w:type="dxa"/>
            <w:tcBorders/>
            <w:tcMar>
              <w:top w:w="60" w:type="dxa"/>
              <w:left w:w="80" w:type="dxa"/>
              <w:bottom w:w="60" w:type="dxa"/>
              <w:right w:w="80" w:type="dxa"/>
            </w:tcMar>
            <w:vAlign w:val="center"/>
          </w:tcPr>
          <w:p>
            <w:pPr>
              <w:pStyle w:val="style0"/>
              <w:jc w:val="left"/>
              <w:rPr/>
            </w:pPr>
            <w:r>
              <w:rPr>
                <w:rFonts w:ascii="Times New Roman" w:cs="Times New Roman" w:eastAsia="Times New Roman" w:hAnsi="Times New Roman"/>
                <w:b w:val="false"/>
                <w:bCs w:val="false"/>
                <w:sz w:val="18"/>
                <w:szCs w:val="18"/>
              </w:rPr>
              <w:t>Online</w:t>
            </w:r>
          </w:p>
        </w:tc>
        <w:tc>
          <w:tcPr>
            <w:tcW w:w="2166" w:type="dxa"/>
            <w:tcBorders/>
            <w:tcMar>
              <w:top w:w="60" w:type="dxa"/>
              <w:left w:w="80" w:type="dxa"/>
              <w:bottom w:w="60" w:type="dxa"/>
              <w:right w:w="80" w:type="dxa"/>
            </w:tcMar>
            <w:vAlign w:val="center"/>
          </w:tcPr>
          <w:p>
            <w:pPr>
              <w:pStyle w:val="style0"/>
              <w:jc w:val="left"/>
              <w:rPr/>
            </w:pPr>
            <w:r>
              <w:rPr>
                <w:rFonts w:ascii="Times New Roman" w:cs="Times New Roman" w:eastAsia="Times New Roman" w:hAnsi="Times New Roman"/>
                <w:b w:val="false"/>
                <w:bCs w:val="false"/>
                <w:sz w:val="18"/>
                <w:szCs w:val="18"/>
              </w:rPr>
              <w:t>Lighting sensitivity; real-time computation cost</w:t>
            </w:r>
          </w:p>
        </w:tc>
      </w:tr>
      <w:tr>
        <w:tblPrEx/>
        <w:trPr/>
        <w:tc>
          <w:tcPr>
            <w:tcW w:w="1900" w:type="dxa"/>
            <w:tcBorders/>
            <w:tcMar>
              <w:top w:w="60" w:type="dxa"/>
              <w:left w:w="80" w:type="dxa"/>
              <w:bottom w:w="60" w:type="dxa"/>
              <w:right w:w="80" w:type="dxa"/>
            </w:tcMar>
            <w:vAlign w:val="center"/>
          </w:tcPr>
          <w:p>
            <w:pPr>
              <w:pStyle w:val="style0"/>
              <w:jc w:val="left"/>
              <w:rPr/>
            </w:pPr>
            <w:r>
              <w:rPr>
                <w:rFonts w:ascii="Times New Roman" w:cs="Times New Roman" w:eastAsia="Times New Roman" w:hAnsi="Times New Roman"/>
                <w:b w:val="false"/>
                <w:bCs w:val="false"/>
                <w:sz w:val="18"/>
                <w:szCs w:val="18"/>
              </w:rPr>
              <w:t>Kothawade et al. (2021)</w:t>
            </w:r>
          </w:p>
        </w:tc>
        <w:tc>
          <w:tcPr>
            <w:tcW w:w="1400" w:type="dxa"/>
            <w:tcBorders/>
            <w:tcMar>
              <w:top w:w="60" w:type="dxa"/>
              <w:left w:w="80" w:type="dxa"/>
              <w:bottom w:w="60" w:type="dxa"/>
              <w:right w:w="80" w:type="dxa"/>
            </w:tcMar>
            <w:vAlign w:val="center"/>
          </w:tcPr>
          <w:p>
            <w:pPr>
              <w:pStyle w:val="style0"/>
              <w:jc w:val="left"/>
              <w:rPr/>
            </w:pPr>
            <w:r>
              <w:rPr>
                <w:rFonts w:ascii="Times New Roman" w:cs="Times New Roman" w:eastAsia="Times New Roman" w:hAnsi="Times New Roman"/>
                <w:b w:val="false"/>
                <w:bCs w:val="false"/>
                <w:sz w:val="18"/>
                <w:szCs w:val="18"/>
              </w:rPr>
              <w:t>Thumb + Face</w:t>
            </w:r>
          </w:p>
        </w:tc>
        <w:tc>
          <w:tcPr>
            <w:tcW w:w="2000" w:type="dxa"/>
            <w:tcBorders/>
            <w:tcMar>
              <w:top w:w="60" w:type="dxa"/>
              <w:left w:w="80" w:type="dxa"/>
              <w:bottom w:w="60" w:type="dxa"/>
              <w:right w:w="80" w:type="dxa"/>
            </w:tcMar>
            <w:vAlign w:val="center"/>
          </w:tcPr>
          <w:p>
            <w:pPr>
              <w:pStyle w:val="style0"/>
              <w:jc w:val="left"/>
              <w:rPr/>
            </w:pPr>
            <w:r>
              <w:rPr>
                <w:rFonts w:ascii="Times New Roman" w:cs="Times New Roman" w:eastAsia="Times New Roman" w:hAnsi="Times New Roman"/>
                <w:b w:val="false"/>
                <w:bCs w:val="false"/>
                <w:sz w:val="18"/>
                <w:szCs w:val="18"/>
              </w:rPr>
              <w:t>Improved reliability vs. single-modality</w:t>
            </w:r>
          </w:p>
        </w:tc>
        <w:tc>
          <w:tcPr>
            <w:tcW w:w="1200" w:type="dxa"/>
            <w:tcBorders/>
            <w:tcMar>
              <w:top w:w="60" w:type="dxa"/>
              <w:left w:w="80" w:type="dxa"/>
              <w:bottom w:w="60" w:type="dxa"/>
              <w:right w:w="80" w:type="dxa"/>
            </w:tcMar>
            <w:vAlign w:val="center"/>
          </w:tcPr>
          <w:p>
            <w:pPr>
              <w:pStyle w:val="style0"/>
              <w:jc w:val="left"/>
              <w:rPr/>
            </w:pPr>
            <w:r>
              <w:rPr>
                <w:rFonts w:ascii="Times New Roman" w:cs="Times New Roman" w:eastAsia="Times New Roman" w:hAnsi="Times New Roman"/>
                <w:b w:val="false"/>
                <w:bCs w:val="false"/>
                <w:sz w:val="18"/>
                <w:szCs w:val="18"/>
              </w:rPr>
              <w:t>Online</w:t>
            </w:r>
          </w:p>
        </w:tc>
        <w:tc>
          <w:tcPr>
            <w:tcW w:w="2166" w:type="dxa"/>
            <w:tcBorders/>
            <w:tcMar>
              <w:top w:w="60" w:type="dxa"/>
              <w:left w:w="80" w:type="dxa"/>
              <w:bottom w:w="60" w:type="dxa"/>
              <w:right w:w="80" w:type="dxa"/>
            </w:tcMar>
            <w:vAlign w:val="center"/>
          </w:tcPr>
          <w:p>
            <w:pPr>
              <w:pStyle w:val="style0"/>
              <w:jc w:val="left"/>
              <w:rPr/>
            </w:pPr>
            <w:r>
              <w:rPr>
                <w:rFonts w:ascii="Times New Roman" w:cs="Times New Roman" w:eastAsia="Times New Roman" w:hAnsi="Times New Roman"/>
                <w:b w:val="false"/>
                <w:bCs w:val="false"/>
                <w:sz w:val="18"/>
                <w:szCs w:val="18"/>
              </w:rPr>
              <w:t>Environmental sensitivity; capture hardware cost</w:t>
            </w:r>
          </w:p>
        </w:tc>
      </w:tr>
      <w:tr>
        <w:tblPrEx/>
        <w:trPr/>
        <w:tc>
          <w:tcPr>
            <w:tcW w:w="1900" w:type="dxa"/>
            <w:tcBorders/>
            <w:tcMar>
              <w:top w:w="60" w:type="dxa"/>
              <w:left w:w="80" w:type="dxa"/>
              <w:bottom w:w="60" w:type="dxa"/>
              <w:right w:w="80" w:type="dxa"/>
            </w:tcMar>
            <w:vAlign w:val="center"/>
          </w:tcPr>
          <w:p>
            <w:pPr>
              <w:pStyle w:val="style0"/>
              <w:jc w:val="left"/>
              <w:rPr/>
            </w:pPr>
            <w:r>
              <w:rPr>
                <w:rFonts w:ascii="Times New Roman" w:cs="Times New Roman" w:eastAsia="Times New Roman" w:hAnsi="Times New Roman"/>
                <w:b w:val="false"/>
                <w:bCs w:val="false"/>
                <w:sz w:val="18"/>
                <w:szCs w:val="18"/>
              </w:rPr>
              <w:t>Sulaiman et al. (2021)</w:t>
            </w:r>
          </w:p>
        </w:tc>
        <w:tc>
          <w:tcPr>
            <w:tcW w:w="1400" w:type="dxa"/>
            <w:tcBorders/>
            <w:tcMar>
              <w:top w:w="60" w:type="dxa"/>
              <w:left w:w="80" w:type="dxa"/>
              <w:bottom w:w="60" w:type="dxa"/>
              <w:right w:w="80" w:type="dxa"/>
            </w:tcMar>
            <w:vAlign w:val="center"/>
          </w:tcPr>
          <w:p>
            <w:pPr>
              <w:pStyle w:val="style0"/>
              <w:jc w:val="left"/>
              <w:rPr/>
            </w:pPr>
            <w:r>
              <w:rPr>
                <w:rFonts w:ascii="Times New Roman" w:cs="Times New Roman" w:eastAsia="Times New Roman" w:hAnsi="Times New Roman"/>
                <w:b w:val="false"/>
                <w:bCs w:val="false"/>
                <w:sz w:val="18"/>
                <w:szCs w:val="18"/>
              </w:rPr>
              <w:t>Face only</w:t>
            </w:r>
          </w:p>
        </w:tc>
        <w:tc>
          <w:tcPr>
            <w:tcW w:w="2000" w:type="dxa"/>
            <w:tcBorders/>
            <w:tcMar>
              <w:top w:w="60" w:type="dxa"/>
              <w:left w:w="80" w:type="dxa"/>
              <w:bottom w:w="60" w:type="dxa"/>
              <w:right w:w="80" w:type="dxa"/>
            </w:tcMar>
            <w:vAlign w:val="center"/>
          </w:tcPr>
          <w:p>
            <w:pPr>
              <w:pStyle w:val="style0"/>
              <w:jc w:val="left"/>
              <w:rPr/>
            </w:pPr>
            <w:r>
              <w:rPr>
                <w:rFonts w:ascii="Times New Roman" w:cs="Times New Roman" w:eastAsia="Times New Roman" w:hAnsi="Times New Roman"/>
                <w:b w:val="false"/>
                <w:bCs w:val="false"/>
                <w:sz w:val="18"/>
                <w:szCs w:val="18"/>
              </w:rPr>
              <w:t>Secure campus election workflow</w:t>
            </w:r>
          </w:p>
        </w:tc>
        <w:tc>
          <w:tcPr>
            <w:tcW w:w="1200" w:type="dxa"/>
            <w:tcBorders/>
            <w:tcMar>
              <w:top w:w="60" w:type="dxa"/>
              <w:left w:w="80" w:type="dxa"/>
              <w:bottom w:w="60" w:type="dxa"/>
              <w:right w:w="80" w:type="dxa"/>
            </w:tcMar>
            <w:vAlign w:val="center"/>
          </w:tcPr>
          <w:p>
            <w:pPr>
              <w:pStyle w:val="style0"/>
              <w:jc w:val="left"/>
              <w:rPr/>
            </w:pPr>
            <w:r>
              <w:rPr>
                <w:rFonts w:ascii="Times New Roman" w:cs="Times New Roman" w:eastAsia="Times New Roman" w:hAnsi="Times New Roman"/>
                <w:b w:val="false"/>
                <w:bCs w:val="false"/>
                <w:sz w:val="18"/>
                <w:szCs w:val="18"/>
              </w:rPr>
              <w:t>Online</w:t>
            </w:r>
          </w:p>
        </w:tc>
        <w:tc>
          <w:tcPr>
            <w:tcW w:w="2166" w:type="dxa"/>
            <w:tcBorders/>
            <w:tcMar>
              <w:top w:w="60" w:type="dxa"/>
              <w:left w:w="80" w:type="dxa"/>
              <w:bottom w:w="60" w:type="dxa"/>
              <w:right w:w="80" w:type="dxa"/>
            </w:tcMar>
            <w:vAlign w:val="center"/>
          </w:tcPr>
          <w:p>
            <w:pPr>
              <w:pStyle w:val="style0"/>
              <w:jc w:val="left"/>
              <w:rPr/>
            </w:pPr>
            <w:r>
              <w:rPr>
                <w:rFonts w:ascii="Times New Roman" w:cs="Times New Roman" w:eastAsia="Times New Roman" w:hAnsi="Times New Roman"/>
                <w:b w:val="false"/>
                <w:bCs w:val="false"/>
                <w:sz w:val="18"/>
                <w:szCs w:val="18"/>
              </w:rPr>
              <w:t>Accuracy affected by appearance/lighting change</w:t>
            </w:r>
          </w:p>
        </w:tc>
      </w:tr>
      <w:tr>
        <w:tblPrEx/>
        <w:trPr/>
        <w:tc>
          <w:tcPr>
            <w:tcW w:w="1900" w:type="dxa"/>
            <w:tcBorders/>
            <w:tcMar>
              <w:top w:w="60" w:type="dxa"/>
              <w:left w:w="80" w:type="dxa"/>
              <w:bottom w:w="60" w:type="dxa"/>
              <w:right w:w="80" w:type="dxa"/>
            </w:tcMar>
            <w:vAlign w:val="center"/>
          </w:tcPr>
          <w:p>
            <w:pPr>
              <w:pStyle w:val="style0"/>
              <w:jc w:val="left"/>
              <w:rPr/>
            </w:pPr>
            <w:r>
              <w:rPr>
                <w:rFonts w:ascii="Times New Roman" w:cs="Times New Roman" w:eastAsia="Times New Roman" w:hAnsi="Times New Roman"/>
                <w:b w:val="false"/>
                <w:bCs w:val="false"/>
                <w:sz w:val="18"/>
                <w:szCs w:val="18"/>
              </w:rPr>
              <w:t>Behrainwala et al. (2022)</w:t>
            </w:r>
          </w:p>
        </w:tc>
        <w:tc>
          <w:tcPr>
            <w:tcW w:w="1400" w:type="dxa"/>
            <w:tcBorders/>
            <w:tcMar>
              <w:top w:w="60" w:type="dxa"/>
              <w:left w:w="80" w:type="dxa"/>
              <w:bottom w:w="60" w:type="dxa"/>
              <w:right w:w="80" w:type="dxa"/>
            </w:tcMar>
            <w:vAlign w:val="center"/>
          </w:tcPr>
          <w:p>
            <w:pPr>
              <w:pStyle w:val="style0"/>
              <w:jc w:val="left"/>
              <w:rPr/>
            </w:pPr>
            <w:r>
              <w:rPr>
                <w:rFonts w:ascii="Times New Roman" w:cs="Times New Roman" w:eastAsia="Times New Roman" w:hAnsi="Times New Roman"/>
                <w:b w:val="false"/>
                <w:bCs w:val="false"/>
                <w:sz w:val="18"/>
                <w:szCs w:val="18"/>
              </w:rPr>
              <w:t>Face only</w:t>
            </w:r>
          </w:p>
        </w:tc>
        <w:tc>
          <w:tcPr>
            <w:tcW w:w="2000" w:type="dxa"/>
            <w:tcBorders/>
            <w:tcMar>
              <w:top w:w="60" w:type="dxa"/>
              <w:left w:w="80" w:type="dxa"/>
              <w:bottom w:w="60" w:type="dxa"/>
              <w:right w:w="80" w:type="dxa"/>
            </w:tcMar>
            <w:vAlign w:val="center"/>
          </w:tcPr>
          <w:p>
            <w:pPr>
              <w:pStyle w:val="style0"/>
              <w:jc w:val="left"/>
              <w:rPr/>
            </w:pPr>
            <w:r>
              <w:rPr>
                <w:rFonts w:ascii="Times New Roman" w:cs="Times New Roman" w:eastAsia="Times New Roman" w:hAnsi="Times New Roman"/>
                <w:b w:val="false"/>
                <w:bCs w:val="false"/>
                <w:sz w:val="18"/>
                <w:szCs w:val="18"/>
              </w:rPr>
              <w:t>Enhanced security &amp; efficiency (qualitative)</w:t>
            </w:r>
          </w:p>
        </w:tc>
        <w:tc>
          <w:tcPr>
            <w:tcW w:w="1200" w:type="dxa"/>
            <w:tcBorders/>
            <w:tcMar>
              <w:top w:w="60" w:type="dxa"/>
              <w:left w:w="80" w:type="dxa"/>
              <w:bottom w:w="60" w:type="dxa"/>
              <w:right w:w="80" w:type="dxa"/>
            </w:tcMar>
            <w:vAlign w:val="center"/>
          </w:tcPr>
          <w:p>
            <w:pPr>
              <w:pStyle w:val="style0"/>
              <w:jc w:val="left"/>
              <w:rPr/>
            </w:pPr>
            <w:r>
              <w:rPr>
                <w:rFonts w:ascii="Times New Roman" w:cs="Times New Roman" w:eastAsia="Times New Roman" w:hAnsi="Times New Roman"/>
                <w:b w:val="false"/>
                <w:bCs w:val="false"/>
                <w:sz w:val="18"/>
                <w:szCs w:val="18"/>
              </w:rPr>
              <w:t>Online</w:t>
            </w:r>
          </w:p>
        </w:tc>
        <w:tc>
          <w:tcPr>
            <w:tcW w:w="2166" w:type="dxa"/>
            <w:tcBorders/>
            <w:tcMar>
              <w:top w:w="60" w:type="dxa"/>
              <w:left w:w="80" w:type="dxa"/>
              <w:bottom w:w="60" w:type="dxa"/>
              <w:right w:w="80" w:type="dxa"/>
            </w:tcMar>
            <w:vAlign w:val="center"/>
          </w:tcPr>
          <w:p>
            <w:pPr>
              <w:pStyle w:val="style0"/>
              <w:jc w:val="left"/>
              <w:rPr/>
            </w:pPr>
            <w:r>
              <w:rPr>
                <w:rFonts w:ascii="Times New Roman" w:cs="Times New Roman" w:eastAsia="Times New Roman" w:hAnsi="Times New Roman"/>
                <w:b w:val="false"/>
                <w:bCs w:val="false"/>
                <w:sz w:val="18"/>
                <w:szCs w:val="18"/>
              </w:rPr>
              <w:t>Lighting sensitivity; scalability for large elections</w:t>
            </w:r>
          </w:p>
        </w:tc>
      </w:tr>
      <w:tr>
        <w:tblPrEx/>
        <w:trPr/>
        <w:tc>
          <w:tcPr>
            <w:tcW w:w="1900" w:type="dxa"/>
            <w:tcBorders/>
            <w:tcMar>
              <w:top w:w="60" w:type="dxa"/>
              <w:left w:w="80" w:type="dxa"/>
              <w:bottom w:w="60" w:type="dxa"/>
              <w:right w:w="80" w:type="dxa"/>
            </w:tcMar>
            <w:vAlign w:val="center"/>
          </w:tcPr>
          <w:p>
            <w:pPr>
              <w:pStyle w:val="style0"/>
              <w:jc w:val="left"/>
              <w:rPr/>
            </w:pPr>
            <w:r>
              <w:rPr>
                <w:rFonts w:ascii="Times New Roman" w:cs="Times New Roman" w:eastAsia="Times New Roman" w:hAnsi="Times New Roman"/>
                <w:b w:val="false"/>
                <w:bCs w:val="false"/>
                <w:sz w:val="18"/>
                <w:szCs w:val="18"/>
              </w:rPr>
              <w:t>Adeniji et al. (2025)</w:t>
            </w:r>
          </w:p>
        </w:tc>
        <w:tc>
          <w:tcPr>
            <w:tcW w:w="1400" w:type="dxa"/>
            <w:tcBorders/>
            <w:tcMar>
              <w:top w:w="60" w:type="dxa"/>
              <w:left w:w="80" w:type="dxa"/>
              <w:bottom w:w="60" w:type="dxa"/>
              <w:right w:w="80" w:type="dxa"/>
            </w:tcMar>
            <w:vAlign w:val="center"/>
          </w:tcPr>
          <w:p>
            <w:pPr>
              <w:pStyle w:val="style0"/>
              <w:jc w:val="left"/>
              <w:rPr/>
            </w:pPr>
            <w:r>
              <w:rPr>
                <w:rFonts w:ascii="Times New Roman" w:cs="Times New Roman" w:eastAsia="Times New Roman" w:hAnsi="Times New Roman"/>
                <w:b w:val="false"/>
                <w:bCs w:val="false"/>
                <w:sz w:val="18"/>
                <w:szCs w:val="18"/>
              </w:rPr>
              <w:t>Face (CNN, access control)</w:t>
            </w:r>
          </w:p>
        </w:tc>
        <w:tc>
          <w:tcPr>
            <w:tcW w:w="2000" w:type="dxa"/>
            <w:tcBorders/>
            <w:tcMar>
              <w:top w:w="60" w:type="dxa"/>
              <w:left w:w="80" w:type="dxa"/>
              <w:bottom w:w="60" w:type="dxa"/>
              <w:right w:w="80" w:type="dxa"/>
            </w:tcMar>
            <w:vAlign w:val="center"/>
          </w:tcPr>
          <w:p>
            <w:pPr>
              <w:pStyle w:val="style0"/>
              <w:jc w:val="left"/>
              <w:rPr/>
            </w:pPr>
            <w:r>
              <w:rPr>
                <w:rFonts w:ascii="Times New Roman" w:cs="Times New Roman" w:eastAsia="Times New Roman" w:hAnsi="Times New Roman"/>
                <w:b w:val="false"/>
                <w:bCs w:val="false"/>
                <w:sz w:val="18"/>
                <w:szCs w:val="18"/>
              </w:rPr>
              <w:t>92.96% accuracy; FAR 6.84%; FRR 7.19%</w:t>
            </w:r>
          </w:p>
        </w:tc>
        <w:tc>
          <w:tcPr>
            <w:tcW w:w="1200" w:type="dxa"/>
            <w:tcBorders/>
            <w:tcMar>
              <w:top w:w="60" w:type="dxa"/>
              <w:left w:w="80" w:type="dxa"/>
              <w:bottom w:w="60" w:type="dxa"/>
              <w:right w:w="80" w:type="dxa"/>
            </w:tcMar>
            <w:vAlign w:val="center"/>
          </w:tcPr>
          <w:p>
            <w:pPr>
              <w:pStyle w:val="style0"/>
              <w:jc w:val="left"/>
              <w:rPr/>
            </w:pPr>
            <w:r>
              <w:rPr>
                <w:rFonts w:ascii="Times New Roman" w:cs="Times New Roman" w:eastAsia="Times New Roman" w:hAnsi="Times New Roman"/>
                <w:b w:val="false"/>
                <w:bCs w:val="false"/>
                <w:sz w:val="18"/>
                <w:szCs w:val="18"/>
              </w:rPr>
              <w:t>N/A (local device)</w:t>
            </w:r>
          </w:p>
        </w:tc>
        <w:tc>
          <w:tcPr>
            <w:tcW w:w="2166" w:type="dxa"/>
            <w:tcBorders/>
            <w:tcMar>
              <w:top w:w="60" w:type="dxa"/>
              <w:left w:w="80" w:type="dxa"/>
              <w:bottom w:w="60" w:type="dxa"/>
              <w:right w:w="80" w:type="dxa"/>
            </w:tcMar>
            <w:vAlign w:val="center"/>
          </w:tcPr>
          <w:p>
            <w:pPr>
              <w:pStyle w:val="style0"/>
              <w:jc w:val="left"/>
              <w:rPr/>
            </w:pPr>
            <w:r>
              <w:rPr>
                <w:rFonts w:ascii="Times New Roman" w:cs="Times New Roman" w:eastAsia="Times New Roman" w:hAnsi="Times New Roman"/>
                <w:b w:val="false"/>
                <w:bCs w:val="false"/>
                <w:sz w:val="18"/>
                <w:szCs w:val="18"/>
              </w:rPr>
              <w:t>~64 s inference time; no liveness detection</w:t>
            </w:r>
          </w:p>
        </w:tc>
      </w:tr>
      <w:tr>
        <w:tblPrEx/>
        <w:trPr/>
        <w:tc>
          <w:tcPr>
            <w:tcW w:w="1900" w:type="dxa"/>
            <w:tcBorders/>
            <w:tcMar>
              <w:top w:w="60" w:type="dxa"/>
              <w:left w:w="80" w:type="dxa"/>
              <w:bottom w:w="60" w:type="dxa"/>
              <w:right w:w="80" w:type="dxa"/>
            </w:tcMar>
            <w:vAlign w:val="center"/>
          </w:tcPr>
          <w:p>
            <w:pPr>
              <w:pStyle w:val="style0"/>
              <w:jc w:val="left"/>
              <w:rPr/>
            </w:pPr>
            <w:r>
              <w:rPr>
                <w:rFonts w:ascii="Times New Roman" w:cs="Times New Roman" w:eastAsia="Times New Roman" w:hAnsi="Times New Roman"/>
                <w:b w:val="false"/>
                <w:bCs w:val="false"/>
                <w:sz w:val="18"/>
                <w:szCs w:val="18"/>
              </w:rPr>
              <w:t>Proposed System</w:t>
            </w:r>
          </w:p>
        </w:tc>
        <w:tc>
          <w:tcPr>
            <w:tcW w:w="1400" w:type="dxa"/>
            <w:tcBorders/>
            <w:tcMar>
              <w:top w:w="60" w:type="dxa"/>
              <w:left w:w="80" w:type="dxa"/>
              <w:bottom w:w="60" w:type="dxa"/>
              <w:right w:w="80" w:type="dxa"/>
            </w:tcMar>
            <w:vAlign w:val="center"/>
          </w:tcPr>
          <w:p>
            <w:pPr>
              <w:pStyle w:val="style0"/>
              <w:jc w:val="left"/>
              <w:rPr/>
            </w:pPr>
            <w:r>
              <w:rPr>
                <w:rFonts w:ascii="Times New Roman" w:cs="Times New Roman" w:eastAsia="Times New Roman" w:hAnsi="Times New Roman"/>
                <w:b w:val="false"/>
                <w:bCs w:val="false"/>
                <w:sz w:val="18"/>
                <w:szCs w:val="18"/>
              </w:rPr>
              <w:t>Registration Number + Face</w:t>
            </w:r>
          </w:p>
        </w:tc>
        <w:tc>
          <w:tcPr>
            <w:tcW w:w="2000" w:type="dxa"/>
            <w:tcBorders/>
            <w:tcMar>
              <w:top w:w="60" w:type="dxa"/>
              <w:left w:w="80" w:type="dxa"/>
              <w:bottom w:w="60" w:type="dxa"/>
              <w:right w:w="80" w:type="dxa"/>
            </w:tcMar>
            <w:vAlign w:val="center"/>
          </w:tcPr>
          <w:p>
            <w:pPr>
              <w:pStyle w:val="style0"/>
              <w:jc w:val="left"/>
              <w:rPr/>
            </w:pPr>
            <w:r>
              <w:rPr>
                <w:rFonts w:ascii="Times New Roman" w:cs="Times New Roman" w:eastAsia="Times New Roman" w:hAnsi="Times New Roman"/>
                <w:b w:val="false"/>
                <w:bCs w:val="false"/>
                <w:sz w:val="18"/>
                <w:szCs w:val="18"/>
              </w:rPr>
              <w:t>Target: accuracy ≥ 90%; response ≤ 3.5 s</w:t>
            </w:r>
          </w:p>
        </w:tc>
        <w:tc>
          <w:tcPr>
            <w:tcW w:w="1200" w:type="dxa"/>
            <w:tcBorders/>
            <w:tcMar>
              <w:top w:w="60" w:type="dxa"/>
              <w:left w:w="80" w:type="dxa"/>
              <w:bottom w:w="60" w:type="dxa"/>
              <w:right w:w="80" w:type="dxa"/>
            </w:tcMar>
            <w:vAlign w:val="center"/>
          </w:tcPr>
          <w:p>
            <w:pPr>
              <w:pStyle w:val="style0"/>
              <w:jc w:val="left"/>
              <w:rPr/>
            </w:pPr>
            <w:r>
              <w:rPr>
                <w:rFonts w:ascii="Times New Roman" w:cs="Times New Roman" w:eastAsia="Times New Roman" w:hAnsi="Times New Roman"/>
                <w:b w:val="false"/>
                <w:bCs w:val="false"/>
                <w:sz w:val="18"/>
                <w:szCs w:val="18"/>
              </w:rPr>
              <w:t>Dual: Online &amp; Offline</w:t>
            </w:r>
          </w:p>
        </w:tc>
        <w:tc>
          <w:tcPr>
            <w:tcW w:w="2166" w:type="dxa"/>
            <w:tcBorders/>
            <w:tcMar>
              <w:top w:w="60" w:type="dxa"/>
              <w:left w:w="80" w:type="dxa"/>
              <w:bottom w:w="60" w:type="dxa"/>
              <w:right w:w="80" w:type="dxa"/>
            </w:tcMar>
            <w:vAlign w:val="center"/>
          </w:tcPr>
          <w:p>
            <w:pPr>
              <w:pStyle w:val="style0"/>
              <w:jc w:val="left"/>
              <w:rPr/>
            </w:pPr>
            <w:r>
              <w:rPr>
                <w:rFonts w:ascii="Times New Roman" w:cs="Times New Roman" w:eastAsia="Times New Roman" w:hAnsi="Times New Roman"/>
                <w:b w:val="false"/>
                <w:bCs w:val="false"/>
                <w:sz w:val="18"/>
                <w:szCs w:val="18"/>
              </w:rPr>
              <w:t>To be validated via desk check, unit and integration testing</w:t>
            </w:r>
          </w:p>
        </w:tc>
      </w:tr>
    </w:tbl>
    <w:p>
      <w:pPr>
        <w:pStyle w:val="style0"/>
        <w:spacing w:before="320" w:after="160"/>
        <w:rPr/>
      </w:pPr>
      <w:r>
        <w:rPr>
          <w:rFonts w:ascii="Times New Roman" w:cs="Times New Roman" w:eastAsia="Times New Roman" w:hAnsi="Times New Roman"/>
          <w:b/>
          <w:bCs/>
          <w:sz w:val="28"/>
          <w:szCs w:val="28"/>
        </w:rPr>
        <w:t>2.7 Critical Synthesis and Research Gap Identification</w:t>
      </w:r>
    </w:p>
    <w:p>
      <w:pPr>
        <w:pStyle w:val="style0"/>
        <w:spacing w:before="80" w:after="120" w:lineRule="auto" w:line="360"/>
        <w:jc w:val="both"/>
        <w:rPr/>
      </w:pPr>
      <w:r>
        <w:rPr>
          <w:rFonts w:ascii="Times New Roman" w:cs="Times New Roman" w:eastAsia="Times New Roman" w:hAnsi="Times New Roman"/>
          <w:sz w:val="24"/>
          <w:szCs w:val="24"/>
        </w:rPr>
        <w:t>The literature reviewed in this chapter, spanning the historical shift from paper to electronic voting, the documented limitations of fingerprint-only verification, the technical evolution and real-world performance ceiling of face recognition, and the empirical experience of both international and Nigerian face-recognition voting deployments, converges on five findings that together define the research gap this project addresses:</w:t>
      </w:r>
    </w:p>
    <w:p>
      <w:pPr>
        <w:pStyle w:val="style0"/>
        <w:spacing w:before="120" w:after="120" w:lineRule="auto" w:line="360"/>
        <w:ind w:left="360"/>
        <w:jc w:val="both"/>
        <w:rPr/>
      </w:pPr>
      <w:r>
        <w:rPr>
          <w:rFonts w:ascii="Times New Roman" w:cs="Times New Roman" w:eastAsia="Times New Roman" w:hAnsi="Times New Roman"/>
          <w:b/>
          <w:bCs/>
          <w:sz w:val="24"/>
          <w:szCs w:val="24"/>
        </w:rPr>
        <w:t xml:space="preserve">Finding 1 — </w:t>
      </w:r>
      <w:r>
        <w:rPr>
          <w:rFonts w:ascii="Times New Roman" w:cs="Times New Roman" w:eastAsia="Times New Roman" w:hAnsi="Times New Roman"/>
          <w:sz w:val="24"/>
          <w:szCs w:val="24"/>
        </w:rPr>
        <w:t>Manual and card-based voter authentication remain structurally vulnerable to impersonation and human error, and even fingerprint-based biometric verification, while an improvement, introduces its own failure modes such as unreadable or damaged prints (Okokpujie et al., 2021; Omoweh, 2017; Abdullahi, 2015).</w:t>
      </w:r>
    </w:p>
    <w:p>
      <w:pPr>
        <w:pStyle w:val="style0"/>
        <w:spacing w:before="120" w:after="120" w:lineRule="auto" w:line="360"/>
        <w:ind w:left="360"/>
        <w:jc w:val="both"/>
        <w:rPr/>
      </w:pPr>
      <w:r>
        <w:rPr>
          <w:rFonts w:ascii="Times New Roman" w:cs="Times New Roman" w:eastAsia="Times New Roman" w:hAnsi="Times New Roman"/>
          <w:b/>
          <w:bCs/>
          <w:sz w:val="24"/>
          <w:szCs w:val="24"/>
        </w:rPr>
        <w:t xml:space="preserve">Finding 2 — </w:t>
      </w:r>
      <w:r>
        <w:rPr>
          <w:rFonts w:ascii="Times New Roman" w:cs="Times New Roman" w:eastAsia="Times New Roman" w:hAnsi="Times New Roman"/>
          <w:sz w:val="24"/>
          <w:szCs w:val="24"/>
        </w:rPr>
        <w:t>Face recognition has matured from handcrafted statistical techniques into CNN-based deep learning architectures capable of high laboratory accuracy, but published field results consistently show measurable False Acceptance and False Rejection Rates and degraded performance under real-world lighting and pose variation (El Fadel, 2025; Adeniji et al., 2025).</w:t>
      </w:r>
    </w:p>
    <w:p>
      <w:pPr>
        <w:pStyle w:val="style0"/>
        <w:spacing w:before="120" w:after="120" w:lineRule="auto" w:line="360"/>
        <w:ind w:left="360"/>
        <w:jc w:val="both"/>
        <w:rPr/>
      </w:pPr>
      <w:r>
        <w:rPr>
          <w:rFonts w:ascii="Times New Roman" w:cs="Times New Roman" w:eastAsia="Times New Roman" w:hAnsi="Times New Roman"/>
          <w:b/>
          <w:bCs/>
          <w:sz w:val="24"/>
          <w:szCs w:val="24"/>
        </w:rPr>
        <w:t xml:space="preserve">Finding 3 — </w:t>
      </w:r>
      <w:r>
        <w:rPr>
          <w:rFonts w:ascii="Times New Roman" w:cs="Times New Roman" w:eastAsia="Times New Roman" w:hAnsi="Times New Roman"/>
          <w:sz w:val="24"/>
          <w:szCs w:val="24"/>
        </w:rPr>
        <w:t>Existing face-recognition e-voting and voter-verification systems repeatedly report the same three constraints regardless of geography: sensitivity to image quality and lighting, dependence on capture hardware, and limited evidence of scalability testing beyond small cohorts (Domakonda et al., 2022; Fernando et al., 2019; Kothawade et al., 2021; Sulaiman et al., 2021).</w:t>
      </w:r>
    </w:p>
    <w:p>
      <w:pPr>
        <w:pStyle w:val="style0"/>
        <w:spacing w:before="120" w:after="120" w:lineRule="auto" w:line="360"/>
        <w:ind w:left="360"/>
        <w:jc w:val="both"/>
        <w:rPr/>
      </w:pPr>
      <w:r>
        <w:rPr>
          <w:rFonts w:ascii="Times New Roman" w:cs="Times New Roman" w:eastAsia="Times New Roman" w:hAnsi="Times New Roman"/>
          <w:b/>
          <w:bCs/>
          <w:sz w:val="24"/>
          <w:szCs w:val="24"/>
        </w:rPr>
        <w:t xml:space="preserve">Finding 4 — </w:t>
      </w:r>
      <w:r>
        <w:rPr>
          <w:rFonts w:ascii="Times New Roman" w:cs="Times New Roman" w:eastAsia="Times New Roman" w:hAnsi="Times New Roman"/>
          <w:sz w:val="24"/>
          <w:szCs w:val="24"/>
        </w:rPr>
        <w:t>Nigerian institutional deployments of biometric verification, both at national scale and within student union elections, show that unreliable power and network infrastructure is a decisive, context-specific failure factor that is rarely addressed by systems designed and validated abroad (SUEC, 2022; Okandeji et al., 2020; Afolabi &amp; Ogunne, 2018).</w:t>
      </w:r>
    </w:p>
    <w:p>
      <w:pPr>
        <w:pStyle w:val="style0"/>
        <w:spacing w:before="120" w:after="120" w:lineRule="auto" w:line="360"/>
        <w:ind w:left="360"/>
        <w:jc w:val="both"/>
        <w:rPr/>
      </w:pPr>
      <w:r>
        <w:rPr>
          <w:rFonts w:ascii="Times New Roman" w:cs="Times New Roman" w:eastAsia="Times New Roman" w:hAnsi="Times New Roman"/>
          <w:b/>
          <w:bCs/>
          <w:sz w:val="24"/>
          <w:szCs w:val="24"/>
        </w:rPr>
        <w:t xml:space="preserve">Finding 5 — </w:t>
      </w:r>
      <w:r>
        <w:rPr>
          <w:rFonts w:ascii="Times New Roman" w:cs="Times New Roman" w:eastAsia="Times New Roman" w:hAnsi="Times New Roman"/>
          <w:sz w:val="24"/>
          <w:szCs w:val="24"/>
        </w:rPr>
        <w:t>Biometric authentication accuracy alone does not guarantee improved electoral outcomes; Afolabi and Ogunne (2018) show that heavier biometric reliance coincided with only modest voter turnout, indicating that usability and accessibility must be designed for explicitly rather than assumed.</w:t>
      </w:r>
    </w:p>
    <w:p>
      <w:pPr>
        <w:pStyle w:val="style0"/>
        <w:spacing w:before="80" w:after="120" w:lineRule="auto" w:line="360"/>
        <w:jc w:val="both"/>
        <w:rPr/>
      </w:pPr>
      <w:r>
        <w:rPr>
          <w:rFonts w:ascii="Times New Roman" w:cs="Times New Roman" w:eastAsia="Times New Roman" w:hAnsi="Times New Roman"/>
          <w:b/>
          <w:bCs/>
          <w:sz w:val="24"/>
          <w:szCs w:val="24"/>
        </w:rPr>
        <w:t>Identified Research Gap:</w:t>
      </w:r>
      <w:r>
        <w:rPr>
          <w:rFonts w:ascii="Times New Roman" w:cs="Times New Roman" w:eastAsia="Times New Roman" w:hAnsi="Times New Roman"/>
          <w:sz w:val="24"/>
          <w:szCs w:val="24"/>
        </w:rPr>
        <w:t xml:space="preserve"> Despite the substantial body of literature on both face-recognition authentication and biometric voting, no reviewed system combines (a) face recognition authentication tied to a verified Student Registration Number for eligibility screening, (b) a dual online/offline voting mode specifically engineered to tolerate the network connectivity interruptions documented as a recurring Nigerian institutional constraint, and (c) formal desk-check, unit, and integration testing validated against explicit accuracy (≥ 90%) and response-time (≤ 3.5 s) benchmarks, within the specific scope of a university student union election. This project addresses that gap in its entirety.</w:t>
      </w:r>
    </w:p>
    <w:p>
      <w:pPr>
        <w:pStyle w:val="style0"/>
        <w:spacing w:before="320" w:after="160"/>
        <w:rPr/>
      </w:pPr>
      <w:r>
        <w:rPr>
          <w:rFonts w:ascii="Times New Roman" w:cs="Times New Roman" w:eastAsia="Times New Roman" w:hAnsi="Times New Roman"/>
          <w:b/>
          <w:bCs/>
          <w:sz w:val="28"/>
          <w:szCs w:val="28"/>
        </w:rPr>
        <w:t>2.8 Chapter Summary</w:t>
      </w:r>
    </w:p>
    <w:p>
      <w:pPr>
        <w:pStyle w:val="style0"/>
        <w:spacing w:before="80" w:after="120" w:lineRule="auto" w:line="360"/>
        <w:jc w:val="both"/>
        <w:rPr/>
      </w:pPr>
      <w:r>
        <w:rPr>
          <w:rFonts w:ascii="Times New Roman" w:cs="Times New Roman" w:eastAsia="Times New Roman" w:hAnsi="Times New Roman"/>
          <w:sz w:val="24"/>
          <w:szCs w:val="24"/>
        </w:rPr>
        <w:t>This chapter reviewed literature across five thematic domains relevant to the proposed Student Union E-Voting Model Using Face Recognition Authentication. It traced the shift from manual and card-based voting toward electronic and biometric alternatives, documented the specific limitations of fingerprint-only verification that motivate the addition of facial recognition, presented the technical evolution of face recognition from handcrafted features to CNN-based deep learning together with its documented real-world accuracy constraints, and surveyed empirical face-recognition voting and biometric verification systems from both international and Nigerian institutional contexts. The critical synthesis identified a specific research gap, the absence of a Registration-Number-linked, dual-mode (online/offline) face recognition e-voting system formally validated for the Nigerian student union election context, which the proposed system is designed to fill. Chapter Three proceeds to detail the methodology by which this system will be designed, implemented, and evaluated.</w:t>
      </w:r>
    </w:p>
    <w:p>
      <w:pPr>
        <w:pStyle w:val="style0"/>
        <w:spacing w:before="360" w:after="200"/>
        <w:rPr/>
      </w:pPr>
      <w:r>
        <w:rPr>
          <w:rFonts w:ascii="Times New Roman" w:cs="Times New Roman" w:eastAsia="Times New Roman" w:hAnsi="Times New Roman"/>
          <w:b/>
          <w:bCs/>
          <w:sz w:val="28"/>
          <w:szCs w:val="28"/>
        </w:rPr>
        <w:t>References</w:t>
      </w:r>
    </w:p>
    <w:p>
      <w:pPr>
        <w:pStyle w:val="style0"/>
        <w:spacing w:before="60" w:after="60" w:lineRule="auto" w:line="320"/>
        <w:ind w:left="360" w:hanging="360"/>
        <w:jc w:val="both"/>
        <w:rPr/>
      </w:pPr>
      <w:r>
        <w:rPr>
          <w:rFonts w:ascii="Times New Roman" w:cs="Times New Roman" w:eastAsia="Times New Roman" w:hAnsi="Times New Roman"/>
          <w:sz w:val="24"/>
          <w:szCs w:val="24"/>
        </w:rPr>
        <w:t>Abdul-Kadir, M. F., Mohamed, M. A., Bharun, A., Mohd Satar, S., &amp; Abd. Hamid, N. (2023). A secure online voting system using face recognition technology. Malaysian Journal of Computing and Applied Mathematics, 6, 1–9. https://doi.org/10.37231/myjcam.2023.6.1.80</w:t>
      </w:r>
    </w:p>
    <w:p>
      <w:pPr>
        <w:pStyle w:val="style0"/>
        <w:spacing w:before="60" w:after="60" w:lineRule="auto" w:line="320"/>
        <w:ind w:left="360" w:hanging="360"/>
        <w:jc w:val="both"/>
        <w:rPr/>
      </w:pPr>
      <w:r>
        <w:rPr>
          <w:rFonts w:ascii="Times New Roman" w:cs="Times New Roman" w:eastAsia="Times New Roman" w:hAnsi="Times New Roman"/>
          <w:sz w:val="24"/>
          <w:szCs w:val="24"/>
        </w:rPr>
        <w:t>Abdullahi, S. A. (2015). Youth, political parties and electoral violence in Nigeria. In H. Mohammed (Ed.), The patterns and dynamics of electoral violence in Nigeria. Friedrich-Ebert-Stiftung.</w:t>
      </w:r>
    </w:p>
    <w:p>
      <w:pPr>
        <w:pStyle w:val="style0"/>
        <w:spacing w:before="60" w:after="60" w:lineRule="auto" w:line="320"/>
        <w:ind w:left="360" w:hanging="360"/>
        <w:jc w:val="both"/>
        <w:rPr/>
      </w:pPr>
      <w:r>
        <w:rPr>
          <w:rFonts w:ascii="Times New Roman" w:cs="Times New Roman" w:eastAsia="Times New Roman" w:hAnsi="Times New Roman"/>
          <w:sz w:val="24"/>
          <w:szCs w:val="24"/>
        </w:rPr>
        <w:t>Adeniji, O. B., Omidiora, E. O., Ganiyu, R. A., Awodoye, O. O., &amp; Ileladewa, A. A. (2025). Development of a convolutional neural network technique for face-based access control system. FUOYE Journal of Engineering and Technology, 10(3), 494–500. https://dx.doi.org/10.4314/fuoyejet.v10i3.16</w:t>
      </w:r>
    </w:p>
    <w:p>
      <w:pPr>
        <w:pStyle w:val="style0"/>
        <w:spacing w:before="60" w:after="60" w:lineRule="auto" w:line="320"/>
        <w:ind w:left="360" w:hanging="360"/>
        <w:jc w:val="both"/>
        <w:rPr/>
      </w:pPr>
      <w:r>
        <w:rPr>
          <w:rFonts w:ascii="Times New Roman" w:cs="Times New Roman" w:eastAsia="Times New Roman" w:hAnsi="Times New Roman"/>
          <w:sz w:val="24"/>
          <w:szCs w:val="24"/>
        </w:rPr>
        <w:t>Afolabi, O. S., &amp; Ogunne, K. O. (2018). Biometric technologies, electoral fraud and the paradox of voter turnout during Nigeria's 2015 elections. Quarterly Journal of Administration, 35(1), 1–18.</w:t>
      </w:r>
    </w:p>
    <w:p>
      <w:pPr>
        <w:pStyle w:val="style0"/>
        <w:spacing w:before="60" w:after="60" w:lineRule="auto" w:line="320"/>
        <w:ind w:left="360" w:hanging="360"/>
        <w:jc w:val="both"/>
        <w:rPr/>
      </w:pPr>
      <w:r>
        <w:rPr>
          <w:rFonts w:ascii="Times New Roman" w:cs="Times New Roman" w:eastAsia="Times New Roman" w:hAnsi="Times New Roman"/>
          <w:sz w:val="24"/>
          <w:szCs w:val="24"/>
        </w:rPr>
        <w:t>Behrainwala, A., Saxena, A., Navlani, A., Sahay, S., &amp; Tarapore, N. (2022). Smart voting system using facial recognition. International Journal for Research in Applied Science and Engineering Technology, 10(1), 308–313. https://doi.org/10.22214/ijraset.2022.39810</w:t>
      </w:r>
    </w:p>
    <w:p>
      <w:pPr>
        <w:pStyle w:val="style0"/>
        <w:spacing w:before="60" w:after="60" w:lineRule="auto" w:line="320"/>
        <w:ind w:left="360" w:hanging="360"/>
        <w:jc w:val="both"/>
        <w:rPr/>
      </w:pPr>
      <w:r>
        <w:rPr>
          <w:rFonts w:ascii="Times New Roman" w:cs="Times New Roman" w:eastAsia="Times New Roman" w:hAnsi="Times New Roman"/>
          <w:sz w:val="24"/>
          <w:szCs w:val="24"/>
        </w:rPr>
        <w:t>Bhimanwar, C., Bhole, N., Biradar, R., &amp; Rane, M. (2017). Face identification. International Journal of Engineering Sciences &amp; Research Technology, 6(4).</w:t>
      </w:r>
    </w:p>
    <w:p>
      <w:pPr>
        <w:pStyle w:val="style0"/>
        <w:spacing w:before="60" w:after="60" w:lineRule="auto" w:line="320"/>
        <w:ind w:left="360" w:hanging="360"/>
        <w:jc w:val="both"/>
        <w:rPr/>
      </w:pPr>
      <w:r>
        <w:rPr>
          <w:rFonts w:ascii="Times New Roman" w:cs="Times New Roman" w:eastAsia="Times New Roman" w:hAnsi="Times New Roman"/>
          <w:sz w:val="24"/>
          <w:szCs w:val="24"/>
        </w:rPr>
        <w:t>Buchsbaurn, E. (2014). Toward secure and practical e-elections in the new era. In Proceedings of the International Conference on Security and Management. CSREA Press.</w:t>
      </w:r>
    </w:p>
    <w:p>
      <w:pPr>
        <w:pStyle w:val="style0"/>
        <w:spacing w:before="60" w:after="60" w:lineRule="auto" w:line="320"/>
        <w:ind w:left="360" w:hanging="360"/>
        <w:jc w:val="both"/>
        <w:rPr/>
      </w:pPr>
      <w:r>
        <w:rPr>
          <w:rFonts w:ascii="Times New Roman" w:cs="Times New Roman" w:eastAsia="Times New Roman" w:hAnsi="Times New Roman"/>
          <w:sz w:val="24"/>
          <w:szCs w:val="24"/>
        </w:rPr>
        <w:t>Domakonda, S., Nishitha, D., Kumar, A. Y., Rao, A. S., &amp; Sindhu, A. (2022). E-voting system using facial recognition. The International Journal of Analytical and Experimental Modal Analysis, 14(6), 1191–1201.</w:t>
      </w:r>
    </w:p>
    <w:p>
      <w:pPr>
        <w:pStyle w:val="style0"/>
        <w:spacing w:before="60" w:after="60" w:lineRule="auto" w:line="320"/>
        <w:ind w:left="360" w:hanging="360"/>
        <w:jc w:val="both"/>
        <w:rPr/>
      </w:pPr>
      <w:r>
        <w:rPr>
          <w:rFonts w:ascii="Times New Roman" w:cs="Times New Roman" w:eastAsia="Times New Roman" w:hAnsi="Times New Roman"/>
          <w:sz w:val="24"/>
          <w:szCs w:val="24"/>
        </w:rPr>
        <w:t>El Fadel, N. (2025). Facial recognition algorithms: A systematic literature review. Journal of Imaging, 11(2), 58. https://doi.org/10.3390/jimaging11020058</w:t>
      </w:r>
    </w:p>
    <w:p>
      <w:pPr>
        <w:pStyle w:val="style0"/>
        <w:spacing w:before="60" w:after="60" w:lineRule="auto" w:line="320"/>
        <w:ind w:left="360" w:hanging="360"/>
        <w:jc w:val="both"/>
        <w:rPr/>
      </w:pPr>
      <w:r>
        <w:rPr>
          <w:rFonts w:ascii="Times New Roman" w:cs="Times New Roman" w:eastAsia="Times New Roman" w:hAnsi="Times New Roman"/>
          <w:sz w:val="24"/>
          <w:szCs w:val="24"/>
        </w:rPr>
        <w:t>Fernando, E., Andwiyan, D., Fitria Murad, D., Touriano, D., &amp; Irsan, M. (2019). Face recognition system using deep neural network with convolutional neural networks. Journal of Physics: Conference Series, 1235(1), 012004. https://doi.org/10.1088/1742-6596/1235/1/012004</w:t>
      </w:r>
    </w:p>
    <w:p>
      <w:pPr>
        <w:pStyle w:val="style0"/>
        <w:spacing w:before="60" w:after="60" w:lineRule="auto" w:line="320"/>
        <w:ind w:left="360" w:hanging="360"/>
        <w:jc w:val="both"/>
        <w:rPr/>
      </w:pPr>
      <w:r>
        <w:rPr>
          <w:rFonts w:ascii="Times New Roman" w:cs="Times New Roman" w:eastAsia="Times New Roman" w:hAnsi="Times New Roman"/>
          <w:sz w:val="24"/>
          <w:szCs w:val="24"/>
        </w:rPr>
        <w:t>Kothawade, S., et al. (2021). E-voting system utilizing biometric thumb impressions and facial recognition for voter authentication.</w:t>
      </w:r>
    </w:p>
    <w:p>
      <w:pPr>
        <w:pStyle w:val="style0"/>
        <w:spacing w:before="60" w:after="60" w:lineRule="auto" w:line="320"/>
        <w:ind w:left="360" w:hanging="360"/>
        <w:jc w:val="both"/>
        <w:rPr/>
      </w:pPr>
      <w:r>
        <w:rPr>
          <w:rFonts w:ascii="Times New Roman" w:cs="Times New Roman" w:eastAsia="Times New Roman" w:hAnsi="Times New Roman"/>
          <w:sz w:val="24"/>
          <w:szCs w:val="24"/>
        </w:rPr>
        <w:t>Okandeji, A. A., Olajide, M., Okubanjo, A., &amp; Onaifo, F. (2020). Design and development of biometric voting system using fingerprint and facial recognition. Nigerian Journal of Technological Research, 15(3), 34–43. https://doi.org/10.4314/njtr.v15i3.5</w:t>
      </w:r>
    </w:p>
    <w:p>
      <w:pPr>
        <w:pStyle w:val="style0"/>
        <w:spacing w:before="60" w:after="60" w:lineRule="auto" w:line="320"/>
        <w:ind w:left="360" w:hanging="360"/>
        <w:jc w:val="both"/>
        <w:rPr/>
      </w:pPr>
      <w:r>
        <w:rPr>
          <w:rFonts w:ascii="Times New Roman" w:cs="Times New Roman" w:eastAsia="Times New Roman" w:hAnsi="Times New Roman"/>
          <w:sz w:val="24"/>
          <w:szCs w:val="24"/>
        </w:rPr>
        <w:t>Okokpujie, K., Nwankwo, C., &amp; Okokpujie, I. P. (2021). Challenges of traditional and biometric voter verification methods in developing democracies.</w:t>
      </w:r>
    </w:p>
    <w:p>
      <w:pPr>
        <w:pStyle w:val="style0"/>
        <w:spacing w:before="60" w:after="60" w:lineRule="auto" w:line="320"/>
        <w:ind w:left="360" w:hanging="360"/>
        <w:jc w:val="both"/>
        <w:rPr/>
      </w:pPr>
      <w:r>
        <w:rPr>
          <w:rFonts w:ascii="Times New Roman" w:cs="Times New Roman" w:eastAsia="Times New Roman" w:hAnsi="Times New Roman"/>
          <w:sz w:val="24"/>
          <w:szCs w:val="24"/>
        </w:rPr>
        <w:t>Omoweh, D. A. (2017). Manual ballot recording and the management of student union elections.</w:t>
      </w:r>
    </w:p>
    <w:p>
      <w:pPr>
        <w:pStyle w:val="style0"/>
        <w:spacing w:before="60" w:after="60" w:lineRule="auto" w:line="320"/>
        <w:ind w:left="360" w:hanging="360"/>
        <w:jc w:val="both"/>
        <w:rPr/>
      </w:pPr>
      <w:r>
        <w:rPr>
          <w:rFonts w:ascii="Times New Roman" w:cs="Times New Roman" w:eastAsia="Times New Roman" w:hAnsi="Times New Roman"/>
          <w:sz w:val="24"/>
          <w:szCs w:val="24"/>
        </w:rPr>
        <w:t>Srinivas, T. S., Goutham, T., &amp; Kumaran, M. S. (2022). Face recognition-based smart attendance system using IoT. International Journal of Early Childhood Special Education, 14(3).</w:t>
      </w:r>
    </w:p>
    <w:p>
      <w:pPr>
        <w:pStyle w:val="style0"/>
        <w:spacing w:before="60" w:after="60" w:lineRule="auto" w:line="320"/>
        <w:ind w:left="360" w:hanging="360"/>
        <w:jc w:val="both"/>
        <w:rPr/>
      </w:pPr>
      <w:r>
        <w:rPr>
          <w:rFonts w:ascii="Times New Roman" w:cs="Times New Roman" w:eastAsia="Times New Roman" w:hAnsi="Times New Roman"/>
          <w:sz w:val="24"/>
          <w:szCs w:val="24"/>
        </w:rPr>
        <w:t>Sruthi, M. S., &amp; Shanjai, K. (2021). Automatic voting system using convolutional neural network. Journal of Physics: Conference Series, 1916(1), 012202.</w:t>
      </w:r>
    </w:p>
    <w:p>
      <w:pPr>
        <w:pStyle w:val="style0"/>
        <w:spacing w:before="60" w:after="60" w:lineRule="auto" w:line="320"/>
        <w:ind w:left="360" w:hanging="360"/>
        <w:jc w:val="both"/>
        <w:rPr/>
      </w:pPr>
      <w:r>
        <w:rPr>
          <w:rFonts w:ascii="Times New Roman" w:cs="Times New Roman" w:eastAsia="Times New Roman" w:hAnsi="Times New Roman"/>
          <w:sz w:val="24"/>
          <w:szCs w:val="24"/>
        </w:rPr>
        <w:t>SUEC. (2022). Enhancing voter authentication using dual biometric technology: Fingerprint and facial recognition. Student Union Electoral Commission Report.</w:t>
      </w:r>
    </w:p>
    <w:p>
      <w:pPr>
        <w:pStyle w:val="style0"/>
        <w:spacing w:before="60" w:after="60" w:lineRule="auto" w:line="320"/>
        <w:ind w:left="360" w:hanging="360"/>
        <w:jc w:val="both"/>
        <w:rPr/>
      </w:pPr>
      <w:r>
        <w:rPr>
          <w:rFonts w:ascii="Times New Roman" w:cs="Times New Roman" w:eastAsia="Times New Roman" w:hAnsi="Times New Roman"/>
          <w:sz w:val="24"/>
          <w:szCs w:val="24"/>
        </w:rPr>
        <w:t>Sulaiman, M. M., Othman, M. F. I., Md Shah, W., Hassan, A., Harum, N., &amp; Mohammed Alseadoon, I. (2021). An online voting system using face recognition for campus election. Journal of Advanced Computing Technology and Application, 3(1), 37–42.</w:t>
      </w:r>
    </w:p>
    <w:p>
      <w:pPr>
        <w:pStyle w:val="style0"/>
        <w:spacing w:before="60" w:after="60" w:lineRule="auto" w:line="320"/>
        <w:ind w:left="360" w:hanging="360"/>
        <w:jc w:val="both"/>
        <w:rPr/>
      </w:pPr>
      <w:r>
        <w:rPr>
          <w:rFonts w:ascii="Times New Roman" w:cs="Times New Roman" w:eastAsia="Times New Roman" w:hAnsi="Times New Roman"/>
          <w:sz w:val="24"/>
          <w:szCs w:val="24"/>
        </w:rPr>
        <w:t>Vashisht, V. L., Mohan, H., &amp; Prakash, S. (2022). Smart voting system through face recognition. In 2022 4th International Conference on Advances in Computing, Communication Control and Networking (ICAC3N) (pp. 909–913). https://doi.org/10.1109/ICAC3N56670.2022.10073982</w:t>
      </w:r>
    </w:p>
    <w:sectPr>
      <w:headerReference w:type="default" r:id="rId2"/>
      <w:footerReference w:type="default" r:id="rId3"/>
      <w:pgSz w:w="11906" w:h="16838" w:orient="portrait"/>
      <w:pgMar w:top="1440" w:right="1440" w:bottom="1440" w:left="1800"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jc w:val="center"/>
      <w:rPr/>
    </w:pPr>
    <w:r>
      <w:rPr>
        <w:rFonts w:ascii="Times New Roman" w:cs="Times New Roman" w:eastAsia="Times New Roman" w:hAnsi="Times New Roman"/>
        <w:sz w:val="22"/>
        <w:szCs w:val="22"/>
      </w:rPr>
      <w:fldChar w:fldCharType="begin"/>
    </w:r>
    <w:r>
      <w:rPr>
        <w:rFonts w:ascii="Times New Roman" w:cs="Times New Roman" w:eastAsia="Times New Roman" w:hAnsi="Times New Roman"/>
        <w:sz w:val="22"/>
        <w:szCs w:val="22"/>
      </w:rPr>
      <w:instrText>PAGE</w:instrText>
    </w:r>
    <w:r>
      <w:rPr>
        <w:rFonts w:ascii="Times New Roman" w:cs="Times New Roman" w:eastAsia="Times New Roman" w:hAnsi="Times New Roman"/>
        <w:sz w:val="22"/>
        <w:szCs w:val="22"/>
      </w:rPr>
      <w:fldChar w:fldCharType="separate"/>
    </w:r>
    <w:r>
      <w:rPr>
        <w:rFonts w:ascii="Times New Roman" w:cs="Times New Roman" w:eastAsia="Times New Roman" w:hAnsi="Times New Roman"/>
        <w:sz w:val="22"/>
        <w:szCs w:val="22"/>
      </w:rPr>
      <w:fldChar w:fldCharType="end"/>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pPrDefault>
      <w:pPr/>
    </w:pPrDefault>
  </w:docDefaults>
  <w:style w:type="paragraph" w:styleId="style62">
    <w:name w:val="Title"/>
    <w:next w:val="style62"/>
    <w:qFormat/>
    <w:pPr/>
    <w:rPr>
      <w:sz w:val="56"/>
      <w:szCs w:val="56"/>
    </w:rPr>
  </w:style>
  <w:style w:type="paragraph" w:customStyle="1" w:styleId="style4097">
    <w:name w:val="Heading 1"/>
    <w:next w:val="style4097"/>
    <w:qFormat/>
    <w:pPr/>
    <w:rPr>
      <w:color w:val="2e74b5"/>
      <w:sz w:val="32"/>
      <w:szCs w:val="32"/>
    </w:rPr>
  </w:style>
  <w:style w:type="paragraph" w:customStyle="1" w:styleId="style4098">
    <w:name w:val="Heading 2"/>
    <w:next w:val="style4098"/>
    <w:qFormat/>
    <w:pPr/>
    <w:rPr>
      <w:color w:val="2e74b5"/>
      <w:sz w:val="26"/>
      <w:szCs w:val="26"/>
    </w:rPr>
  </w:style>
  <w:style w:type="paragraph" w:customStyle="1" w:styleId="style4099">
    <w:name w:val="Heading 3"/>
    <w:next w:val="style4099"/>
    <w:qFormat/>
    <w:pPr/>
    <w:rPr>
      <w:color w:val="1f4d78"/>
      <w:sz w:val="24"/>
      <w:szCs w:val="24"/>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2efd0d6d-0d1c-456b-a411-fb267d66c892"/>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105"/>
    <w:uiPriority w:val="99"/>
    <w:pPr>
      <w:spacing w:after="0" w:lineRule="auto" w:line="240"/>
    </w:pPr>
    <w:rPr>
      <w:sz w:val="20"/>
      <w:szCs w:val="20"/>
    </w:rPr>
  </w:style>
  <w:style w:type="character" w:customStyle="1" w:styleId="style4105">
    <w:name w:val="Endnote Text Char"/>
    <w:next w:val="style4105"/>
    <w:link w:val="style43"/>
    <w:uiPriority w:val="99"/>
    <w:rPr>
      <w:sz w:val="20"/>
      <w:szCs w:val="20"/>
    </w:r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2656</Words>
  <Characters>17357</Characters>
  <Application>WPS Office</Application>
  <Paragraphs>116</Paragraphs>
  <CharactersWithSpaces>19908</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2026-08-09T15:03:10Z</dcterms:created>
  <dc:creator>Un-named</dc:creator>
  <lastModifiedBy>Infinix X6728B</lastModifiedBy>
  <dcterms:modified xsi:type="dcterms:W3CDTF">2026-08-09T15:03:10Z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235de47a88f14bd086ed56f09245b32d</vt:lpwstr>
  </property>
</Properties>
</file>