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 entre filiais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comunicação eficiente entre diferentes filiais do pet shop, permitindo o compartilhamento de informações sobre produtos, estoque e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Coordenação de eventos e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administradores do sistema devem poder coordenar eventos e promoções em todas as filiais, definindo datas, produtos em destaque e descontos especiais.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haver uma funcionalidade para agendar eventos, como feiras de adoção ou campanhas de vacinação, com a capacidade de atribuir locais e horários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gerentes de filiais devem poder ativar e desativar promoções em tempo real, além de definir as regras de desconto e duração.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de funcionários por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conceder diferentes níveis de acesso aos funcionários, com base em suas funções, garantindo que apenas funcionários autorizados possam realizar determinadas 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histórico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haver um registro de todas as ações realizadas pelos funcionários no sistema, permitindo o rastreamento e a prestação de contas.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de catálogo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capaz de integrar o catálogo de produtos de todas as filiais, mantendo informações atualizadas sobre preços, estoque e descrições.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 em tempo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monitorar o estoque de produtos em tempo real, atualizando as quantidades à medida que as vendas são feitas e disparando alertas quando o estoque atinge níveis críticos.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 entre filiais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ser possível fazer pedidos de reposição de produtos entre filiais quando uma delas estiver com estoque insuficiente, garantindo um fluxo contínuo de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inventário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oferecer funcionalidades avançadas de gestão de inventário, incluindo a contagem periódica de estoque e a reconciliação de divergências.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2288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228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b+X6iVPRYMEHldDnQJwcOt6p6w==">CgMxLjAyCGguZ2pkZ3hzMgloLjMwajB6bGw4AHIhMVJjQzRQOXZ5MTM2RS0waUQ0azFOVV9ROXNZRzA2TnJV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2020-10-16T11:25:00Z</dcterms:created>
</cp:coreProperties>
</file>