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color w:val="1F4E79"/>
          <w:sz w:val="26"/>
        </w:rPr>
        <w:t>TRABAJO FINAL · UNIDAD 1</w:t>
      </w:r>
    </w:p>
    <w:p>
      <w:pPr>
        <w:spacing w:after="120"/>
        <w:jc w:val="center"/>
      </w:pPr>
      <w:r>
        <w:rPr>
          <w:b/>
          <w:color w:val="1F4E79"/>
          <w:sz w:val="52"/>
        </w:rPr>
        <w:t>Diagnóstico y preparación de una serie de tiempo financiera</w:t>
      </w:r>
    </w:p>
    <w:p>
      <w:pPr>
        <w:spacing w:after="800"/>
        <w:jc w:val="center"/>
      </w:pPr>
      <w:r>
        <w:rPr>
          <w:sz w:val="30"/>
        </w:rPr>
        <w:t>Precio de cierre mensual de Rocket Lab USA, Inc. (Nasdaq: RKLB)</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1F4E79"/>
          </w:tcPr>
          <w:p>
            <w:r/>
            <w:r>
              <w:rPr>
                <w:b/>
                <w:color w:val="FFFFFF"/>
                <w:sz w:val="22"/>
              </w:rPr>
              <w:t>Materia</w:t>
            </w:r>
          </w:p>
        </w:tc>
        <w:tc>
          <w:tcPr>
            <w:tcW w:type="dxa" w:w="6624"/>
          </w:tcPr>
          <w:p>
            <w:r/>
            <w:r>
              <w:rPr>
                <w:sz w:val="22"/>
              </w:rPr>
              <w:t>Series de Tiempo Aplicadas a las Finanzas</w:t>
            </w:r>
          </w:p>
        </w:tc>
      </w:tr>
      <w:tr>
        <w:tc>
          <w:tcPr>
            <w:tcW w:type="dxa" w:w="2448"/>
            <w:shd w:val="clear" w:color="auto" w:fill="1F4E79"/>
          </w:tcPr>
          <w:p>
            <w:r/>
            <w:r>
              <w:rPr>
                <w:b/>
                <w:color w:val="FFFFFF"/>
                <w:sz w:val="22"/>
              </w:rPr>
              <w:t>Unidad</w:t>
            </w:r>
          </w:p>
        </w:tc>
        <w:tc>
          <w:tcPr>
            <w:tcW w:type="dxa" w:w="6624"/>
          </w:tcPr>
          <w:p>
            <w:r/>
            <w:r>
              <w:rPr>
                <w:sz w:val="22"/>
              </w:rPr>
              <w:t>Unidad 1 · Diagnóstico y preparación de una serie de tiempo</w:t>
            </w:r>
          </w:p>
        </w:tc>
      </w:tr>
      <w:tr>
        <w:tc>
          <w:tcPr>
            <w:tcW w:type="dxa" w:w="2448"/>
            <w:shd w:val="clear" w:color="auto" w:fill="1F4E79"/>
          </w:tcPr>
          <w:p>
            <w:r/>
            <w:r>
              <w:rPr>
                <w:b/>
                <w:color w:val="FFFFFF"/>
                <w:sz w:val="22"/>
              </w:rPr>
              <w:t>Serie analizada</w:t>
            </w:r>
          </w:p>
        </w:tc>
        <w:tc>
          <w:tcPr>
            <w:tcW w:type="dxa" w:w="6624"/>
          </w:tcPr>
          <w:p>
            <w:r/>
            <w:r>
              <w:rPr>
                <w:sz w:val="22"/>
              </w:rPr>
              <w:t>Rocket Lab USA, Inc. (RKLB) · precio de cierre, USD por acción</w:t>
            </w:r>
          </w:p>
        </w:tc>
      </w:tr>
      <w:tr>
        <w:tc>
          <w:tcPr>
            <w:tcW w:type="dxa" w:w="2448"/>
            <w:shd w:val="clear" w:color="auto" w:fill="1F4E79"/>
          </w:tcPr>
          <w:p>
            <w:r/>
            <w:r>
              <w:rPr>
                <w:b/>
                <w:color w:val="FFFFFF"/>
                <w:sz w:val="22"/>
              </w:rPr>
              <w:t>Periodo / frecuencia</w:t>
            </w:r>
          </w:p>
        </w:tc>
        <w:tc>
          <w:tcPr>
            <w:tcW w:type="dxa" w:w="6624"/>
          </w:tcPr>
          <w:p>
            <w:r/>
            <w:r>
              <w:rPr>
                <w:sz w:val="22"/>
              </w:rPr>
              <w:t>oct-2022 a oct-2026 · mensual · 49 observaciones</w:t>
            </w:r>
          </w:p>
        </w:tc>
      </w:tr>
      <w:tr>
        <w:tc>
          <w:tcPr>
            <w:tcW w:type="dxa" w:w="2448"/>
            <w:shd w:val="clear" w:color="auto" w:fill="1F4E79"/>
          </w:tcPr>
          <w:p>
            <w:r/>
            <w:r>
              <w:rPr>
                <w:b/>
                <w:color w:val="FFFFFF"/>
                <w:sz w:val="22"/>
              </w:rPr>
              <w:t>Integrantes</w:t>
            </w:r>
          </w:p>
        </w:tc>
        <w:tc>
          <w:tcPr>
            <w:tcW w:type="dxa" w:w="6624"/>
          </w:tcPr>
          <w:p>
            <w:r/>
            <w:r>
              <w:rPr>
                <w:sz w:val="22"/>
              </w:rPr>
              <w:t>[Completar nombres de los integrantes]</w:t>
            </w:r>
          </w:p>
        </w:tc>
      </w:tr>
      <w:tr>
        <w:tc>
          <w:tcPr>
            <w:tcW w:type="dxa" w:w="2448"/>
            <w:shd w:val="clear" w:color="auto" w:fill="1F4E79"/>
          </w:tcPr>
          <w:p>
            <w:r/>
            <w:r>
              <w:rPr>
                <w:b/>
                <w:color w:val="FFFFFF"/>
                <w:sz w:val="22"/>
              </w:rPr>
              <w:t>Docente</w:t>
            </w:r>
          </w:p>
        </w:tc>
        <w:tc>
          <w:tcPr>
            <w:tcW w:type="dxa" w:w="6624"/>
          </w:tcPr>
          <w:p>
            <w:r/>
            <w:r>
              <w:rPr>
                <w:sz w:val="22"/>
              </w:rPr>
              <w:t>[Completar]</w:t>
            </w:r>
          </w:p>
        </w:tc>
      </w:tr>
      <w:tr>
        <w:tc>
          <w:tcPr>
            <w:tcW w:type="dxa" w:w="2448"/>
            <w:shd w:val="clear" w:color="auto" w:fill="1F4E79"/>
          </w:tcPr>
          <w:p>
            <w:r/>
            <w:r>
              <w:rPr>
                <w:b/>
                <w:color w:val="FFFFFF"/>
                <w:sz w:val="22"/>
              </w:rPr>
              <w:t>Fecha de entrega</w:t>
            </w:r>
          </w:p>
        </w:tc>
        <w:tc>
          <w:tcPr>
            <w:tcW w:type="dxa" w:w="6624"/>
          </w:tcPr>
          <w:p>
            <w:r/>
            <w:r>
              <w:rPr>
                <w:sz w:val="22"/>
              </w:rPr>
              <w:t>[Completar fecha]</w:t>
            </w:r>
          </w:p>
        </w:tc>
      </w:tr>
    </w:tbl>
    <w:p/>
    <w:p>
      <w:pPr>
        <w:jc w:val="center"/>
      </w:pPr>
      <w:r>
        <w:rPr>
          <w:color w:val="595959"/>
          <w:sz w:val="19"/>
        </w:rPr>
        <w:t>Documento que acompaña al notebook RKLB_Trabajo_Final_Unidad1.ipynb. Fecha de consulta de los datos: 2 de octubre de 2026.</w:t>
      </w:r>
    </w:p>
    <w:p>
      <w:r>
        <w:br w:type="page"/>
      </w:r>
    </w:p>
    <w:p>
      <w:pPr>
        <w:pStyle w:val="Heading1"/>
      </w:pPr>
      <w:r>
        <w:t>Síntesis ejecutiva</w:t>
      </w:r>
    </w:p>
    <w:p>
      <w:r>
        <w:t>Se analizó el precio de cierre mensual de Rocket Lab (RKLB) entre oct-2022 y oct-2026 (49 observaciones, USD por acción). La base está completa: no tiene faltantes, duplicados ni meses ausentes; el único detalle es que el último mes (oct-2026) está incompleto a la fecha de consulta.</w:t>
      </w:r>
    </w:p>
    <w:p>
      <w:pPr>
        <w:pStyle w:val="ListBullet"/>
        <w:spacing w:after="60"/>
      </w:pPr>
      <w:r>
        <w:rPr>
          <w:b/>
        </w:rPr>
        <w:t>Tendencia y escala.</w:t>
      </w:r>
      <w:r>
        <w:t xml:space="preserve"> El precio pasó de 5.09 a 70.46 USD (+1,284 %), con un máximo de 143.48 USD en may-2026 y una corrección posterior de 51 %. El crecimiento es casi exponencial (≈ 8.2 % mensual compuesto) y la variabilidad crece con el nivel.</w:t>
      </w:r>
    </w:p>
    <w:p>
      <w:pPr>
        <w:pStyle w:val="ListBullet"/>
        <w:spacing w:after="60"/>
      </w:pPr>
      <w:r>
        <w:rPr>
          <w:b/>
        </w:rPr>
        <w:t>Transformaciones.</w:t>
      </w:r>
      <w:r>
        <w:t xml:space="preserve"> El logaritmo solo reescala (autocorrelación de rezago 1 = 0.977); la primera diferencia quita la tendencia pero conserva la heterocedasticidad; el </w:t>
      </w:r>
      <w:r>
        <w:rPr>
          <w:b/>
        </w:rPr>
        <w:t>cambio logarítmico</w:t>
      </w:r>
      <w:r>
        <w:t xml:space="preserve"> deja una serie sin tendencia visible, con autocorrelación de rezago 1 = 0.034 y media de 5.47 % mensual (desv. 26.0 %).</w:t>
      </w:r>
    </w:p>
    <w:p>
      <w:pPr>
        <w:pStyle w:val="ListBullet"/>
        <w:spacing w:after="60"/>
      </w:pPr>
      <w:r>
        <w:rPr>
          <w:b/>
        </w:rPr>
        <w:t>Dependencia temporal.</w:t>
      </w:r>
      <w:r>
        <w:t xml:space="preserve"> En nivel, la ACF es 0.885 en el rezago 1, con los rezagos 1–4 fuera de bandas y decaimiento lento; la PACF concentra la dependencia en el rezago 1. En el cambio logarítmico ninguna barra de ACF ni de PACF supera las bandas (Ljung-Box p = 0.980).</w:t>
      </w:r>
    </w:p>
    <w:p>
      <w:pPr>
        <w:pStyle w:val="ListBullet"/>
        <w:spacing w:after="60"/>
      </w:pPr>
      <w:r>
        <w:rPr>
          <w:b/>
        </w:rPr>
        <w:t>Episodios.</w:t>
      </w:r>
      <w:r>
        <w:t xml:space="preserve"> nov-2024 (+154.95 % en un mes) es el movimiento más extremo; hay rachas de alzas (may–nov-2024, abr–ago-2025), un posible cambio de nivel tras nov-2024 y regímenes de volatilidad (desv. móvil de 6 meses entre 11.1 % y 44.6 %).</w:t>
      </w:r>
    </w:p>
    <w:p>
      <w:pPr>
        <w:pStyle w:val="ListBullet"/>
        <w:spacing w:after="60"/>
      </w:pPr>
      <w:r>
        <w:rPr>
          <w:b/>
        </w:rPr>
        <w:t>Train/Test.</w:t>
      </w:r>
      <w:r>
        <w:t xml:space="preserve"> División cronológica 80/20: Train de oct-2022 a dic-2025 (39 meses) y Test de ene-2026 a oct-2026 (10 meses).</w:t>
      </w:r>
    </w:p>
    <w:p>
      <w:pPr>
        <w:pStyle w:val="ListBullet"/>
        <w:spacing w:after="60"/>
      </w:pPr>
      <w:r>
        <w:rPr>
          <w:b/>
        </w:rPr>
        <w:t>Representación recomendada para modelar:</w:t>
      </w:r>
      <w:r>
        <w:t xml:space="preserve"> el cambio logarítmico mensual, estimado con Train; se sugiere considerar un modelo de volatilidad condicional. Limitación principal: muestra corta (48 cambios), que hace amplias las bandas de confianza.</w:t>
      </w:r>
    </w:p>
    <w:p>
      <w:pPr>
        <w:keepNext/>
        <w:spacing w:after="60"/>
      </w:pPr>
      <w:r>
        <w:rPr>
          <w:b/>
          <w:sz w:val="19"/>
        </w:rPr>
        <w:t>Tabla 1. Resumen de resultados clave</w:t>
      </w:r>
    </w:p>
    <w:tbl>
      <w:tblPr>
        <w:tblStyle w:val="TableGrid"/>
        <w:tblW w:type="auto" w:w="0"/>
        <w:jc w:val="center"/>
        <w:tblLook w:firstColumn="1" w:firstRow="1" w:lastColumn="0" w:lastRow="0" w:noHBand="0" w:noVBand="1" w:val="04A0"/>
      </w:tblPr>
      <w:tblGrid>
        <w:gridCol w:w="4680"/>
        <w:gridCol w:w="4680"/>
      </w:tblGrid>
      <w:tr>
        <w:trPr>
          <w:cantSplit w:val="true"/>
          <w:tblHeader w:val="true"/>
        </w:trPr>
        <w:tc>
          <w:tcPr>
            <w:tcW w:type="dxa" w:w="4176"/>
            <w:shd w:val="clear" w:color="auto" w:fill="1F4E79"/>
          </w:tcPr>
          <w:p>
            <w:pPr>
              <w:keepNext/>
              <w:jc w:val="center"/>
            </w:pPr>
            <w:r/>
            <w:r>
              <w:rPr>
                <w:b/>
                <w:color w:val="FFFFFF"/>
                <w:sz w:val="19"/>
              </w:rPr>
              <w:t>Indicador</w:t>
            </w:r>
          </w:p>
        </w:tc>
        <w:tc>
          <w:tcPr>
            <w:tcW w:type="dxa" w:w="5184"/>
            <w:shd w:val="clear" w:color="auto" w:fill="1F4E79"/>
          </w:tcPr>
          <w:p>
            <w:pPr>
              <w:keepNext/>
              <w:jc w:val="center"/>
            </w:pPr>
            <w:r/>
            <w:r>
              <w:rPr>
                <w:b/>
                <w:color w:val="FFFFFF"/>
                <w:sz w:val="19"/>
              </w:rPr>
              <w:t>Valor</w:t>
            </w:r>
          </w:p>
        </w:tc>
      </w:tr>
      <w:tr>
        <w:trPr>
          <w:cantSplit w:val="true"/>
        </w:trPr>
        <w:tc>
          <w:tcPr>
            <w:tcW w:type="dxa" w:w="4176"/>
          </w:tcPr>
          <w:p>
            <w:pPr>
              <w:keepNext/>
              <w:spacing w:after="0"/>
              <w:jc w:val="left"/>
            </w:pPr>
            <w:r/>
            <w:r>
              <w:rPr>
                <w:sz w:val="19"/>
              </w:rPr>
              <w:t>Observaciones</w:t>
            </w:r>
          </w:p>
        </w:tc>
        <w:tc>
          <w:tcPr>
            <w:tcW w:type="dxa" w:w="5184"/>
          </w:tcPr>
          <w:p>
            <w:pPr>
              <w:keepNext/>
              <w:spacing w:after="0"/>
              <w:jc w:val="left"/>
            </w:pPr>
            <w:r/>
            <w:r>
              <w:rPr>
                <w:sz w:val="19"/>
              </w:rPr>
              <w:t>49 meses (oct-2022 – oct-2026)</w:t>
            </w:r>
          </w:p>
        </w:tc>
      </w:tr>
      <w:tr>
        <w:trPr>
          <w:cantSplit w:val="true"/>
        </w:trPr>
        <w:tc>
          <w:tcPr>
            <w:tcW w:type="dxa" w:w="4176"/>
            <w:shd w:val="clear" w:color="auto" w:fill="EAF1F8"/>
          </w:tcPr>
          <w:p>
            <w:pPr>
              <w:keepNext/>
              <w:spacing w:after="0"/>
              <w:jc w:val="left"/>
            </w:pPr>
            <w:r/>
            <w:r>
              <w:rPr>
                <w:sz w:val="19"/>
              </w:rPr>
              <w:t>Precio inicial → final (USD)</w:t>
            </w:r>
          </w:p>
        </w:tc>
        <w:tc>
          <w:tcPr>
            <w:tcW w:type="dxa" w:w="5184"/>
            <w:shd w:val="clear" w:color="auto" w:fill="EAF1F8"/>
          </w:tcPr>
          <w:p>
            <w:pPr>
              <w:keepNext/>
              <w:spacing w:after="0"/>
              <w:jc w:val="left"/>
            </w:pPr>
            <w:r/>
            <w:r>
              <w:rPr>
                <w:sz w:val="19"/>
              </w:rPr>
              <w:t>5.09 → 70.46</w:t>
            </w:r>
          </w:p>
        </w:tc>
      </w:tr>
      <w:tr>
        <w:trPr>
          <w:cantSplit w:val="true"/>
        </w:trPr>
        <w:tc>
          <w:tcPr>
            <w:tcW w:type="dxa" w:w="4176"/>
          </w:tcPr>
          <w:p>
            <w:pPr>
              <w:keepNext/>
              <w:spacing w:after="0"/>
              <w:jc w:val="left"/>
            </w:pPr>
            <w:r/>
            <w:r>
              <w:rPr>
                <w:sz w:val="19"/>
              </w:rPr>
              <w:t>Máximo / mínimo (USD)</w:t>
            </w:r>
          </w:p>
        </w:tc>
        <w:tc>
          <w:tcPr>
            <w:tcW w:type="dxa" w:w="5184"/>
          </w:tcPr>
          <w:p>
            <w:pPr>
              <w:keepNext/>
              <w:spacing w:after="0"/>
              <w:jc w:val="left"/>
            </w:pPr>
            <w:r/>
            <w:r>
              <w:rPr>
                <w:sz w:val="19"/>
              </w:rPr>
              <w:t>143.48 (may-2026) / 3.76 (abr-2024)</w:t>
            </w:r>
          </w:p>
        </w:tc>
      </w:tr>
      <w:tr>
        <w:trPr>
          <w:cantSplit w:val="true"/>
        </w:trPr>
        <w:tc>
          <w:tcPr>
            <w:tcW w:type="dxa" w:w="4176"/>
            <w:shd w:val="clear" w:color="auto" w:fill="EAF1F8"/>
          </w:tcPr>
          <w:p>
            <w:pPr>
              <w:keepNext/>
              <w:spacing w:after="0"/>
              <w:jc w:val="left"/>
            </w:pPr>
            <w:r/>
            <w:r>
              <w:rPr>
                <w:sz w:val="19"/>
              </w:rPr>
              <w:t>Autocorr. rezago 1: nivel / ln / ΔY / cambio log</w:t>
            </w:r>
          </w:p>
        </w:tc>
        <w:tc>
          <w:tcPr>
            <w:tcW w:type="dxa" w:w="5184"/>
            <w:shd w:val="clear" w:color="auto" w:fill="EAF1F8"/>
          </w:tcPr>
          <w:p>
            <w:pPr>
              <w:keepNext/>
              <w:spacing w:after="0"/>
              <w:jc w:val="left"/>
            </w:pPr>
            <w:r/>
            <w:r>
              <w:rPr>
                <w:sz w:val="19"/>
              </w:rPr>
              <w:t>0.906 / 0.977 / -0.060 / 0.034</w:t>
            </w:r>
          </w:p>
        </w:tc>
      </w:tr>
      <w:tr>
        <w:trPr>
          <w:cantSplit w:val="true"/>
        </w:trPr>
        <w:tc>
          <w:tcPr>
            <w:tcW w:type="dxa" w:w="4176"/>
          </w:tcPr>
          <w:p>
            <w:pPr>
              <w:keepNext/>
              <w:spacing w:after="0"/>
              <w:jc w:val="left"/>
            </w:pPr>
            <w:r/>
            <w:r>
              <w:rPr>
                <w:sz w:val="19"/>
              </w:rPr>
              <w:t>Rezagos fuera de bandas: ACF nivel / PACF nivel</w:t>
            </w:r>
          </w:p>
        </w:tc>
        <w:tc>
          <w:tcPr>
            <w:tcW w:type="dxa" w:w="5184"/>
          </w:tcPr>
          <w:p>
            <w:pPr>
              <w:keepNext/>
              <w:spacing w:after="0"/>
              <w:jc w:val="left"/>
            </w:pPr>
            <w:r/>
            <w:r>
              <w:rPr>
                <w:sz w:val="19"/>
              </w:rPr>
              <w:t>[1, 2, 3, 4] / [1, 3, 6]</w:t>
            </w:r>
          </w:p>
        </w:tc>
      </w:tr>
      <w:tr>
        <w:trPr>
          <w:cantSplit w:val="true"/>
        </w:trPr>
        <w:tc>
          <w:tcPr>
            <w:tcW w:type="dxa" w:w="4176"/>
            <w:shd w:val="clear" w:color="auto" w:fill="EAF1F8"/>
          </w:tcPr>
          <w:p>
            <w:pPr>
              <w:keepNext/>
              <w:spacing w:after="0"/>
              <w:jc w:val="left"/>
            </w:pPr>
            <w:r/>
            <w:r>
              <w:rPr>
                <w:sz w:val="19"/>
              </w:rPr>
              <w:t>Rezagos fuera de bandas: ACF / PACF del cambio log</w:t>
            </w:r>
          </w:p>
        </w:tc>
        <w:tc>
          <w:tcPr>
            <w:tcW w:type="dxa" w:w="5184"/>
            <w:shd w:val="clear" w:color="auto" w:fill="EAF1F8"/>
          </w:tcPr>
          <w:p>
            <w:pPr>
              <w:keepNext/>
              <w:spacing w:after="0"/>
              <w:jc w:val="left"/>
            </w:pPr>
            <w:r/>
            <w:r>
              <w:rPr>
                <w:sz w:val="19"/>
              </w:rPr>
              <w:t>ninguno / ninguno</w:t>
            </w:r>
          </w:p>
        </w:tc>
      </w:tr>
      <w:tr>
        <w:trPr>
          <w:cantSplit w:val="true"/>
        </w:trPr>
        <w:tc>
          <w:tcPr>
            <w:tcW w:type="dxa" w:w="4176"/>
          </w:tcPr>
          <w:p>
            <w:pPr>
              <w:keepNext/>
              <w:spacing w:after="0"/>
              <w:jc w:val="left"/>
            </w:pPr>
            <w:r/>
            <w:r>
              <w:rPr>
                <w:sz w:val="19"/>
              </w:rPr>
              <w:t>Cambio log mensual: media / desv. est.</w:t>
            </w:r>
          </w:p>
        </w:tc>
        <w:tc>
          <w:tcPr>
            <w:tcW w:type="dxa" w:w="5184"/>
          </w:tcPr>
          <w:p>
            <w:pPr>
              <w:keepNext/>
              <w:spacing w:after="0"/>
              <w:jc w:val="left"/>
            </w:pPr>
            <w:r/>
            <w:r>
              <w:rPr>
                <w:sz w:val="19"/>
              </w:rPr>
              <w:t>5.47 % / 25.98 %</w:t>
            </w:r>
          </w:p>
        </w:tc>
      </w:tr>
      <w:tr>
        <w:trPr>
          <w:cantSplit w:val="true"/>
        </w:trPr>
        <w:tc>
          <w:tcPr>
            <w:tcW w:type="dxa" w:w="4176"/>
            <w:shd w:val="clear" w:color="auto" w:fill="EAF1F8"/>
          </w:tcPr>
          <w:p>
            <w:pPr>
              <w:spacing w:after="0"/>
              <w:jc w:val="left"/>
            </w:pPr>
            <w:r/>
            <w:r>
              <w:rPr>
                <w:sz w:val="19"/>
              </w:rPr>
              <w:t>Train / Test</w:t>
            </w:r>
          </w:p>
        </w:tc>
        <w:tc>
          <w:tcPr>
            <w:tcW w:type="dxa" w:w="5184"/>
            <w:shd w:val="clear" w:color="auto" w:fill="EAF1F8"/>
          </w:tcPr>
          <w:p>
            <w:pPr>
              <w:spacing w:after="0"/>
              <w:jc w:val="left"/>
            </w:pPr>
            <w:r/>
            <w:r>
              <w:rPr>
                <w:sz w:val="19"/>
              </w:rPr>
              <w:t>39 / 10 observaciones</w:t>
            </w:r>
          </w:p>
        </w:tc>
      </w:tr>
    </w:tbl>
    <w:p>
      <w:pPr>
        <w:spacing w:after="40"/>
      </w:pPr>
    </w:p>
    <w:p>
      <w:pPr>
        <w:pStyle w:val="Heading1"/>
      </w:pPr>
      <w:r>
        <w:t>1. Descripción de la serie</w:t>
      </w:r>
    </w:p>
    <w:p>
      <w:r>
        <w:t>La serie se tomó del archivo de datos históricos de RKLB proporcionado por el equipo. La tabla resume su identificación; el archivo original y la versión limpia (RKLB_base_limpia.csv) se entregan junto con este reporte.</w:t>
      </w:r>
    </w:p>
    <w:p>
      <w:pPr>
        <w:keepNext/>
        <w:spacing w:after="60"/>
      </w:pPr>
      <w:r>
        <w:rPr>
          <w:b/>
          <w:sz w:val="19"/>
        </w:rPr>
        <w:t>Tabla 2. Identificación de la serie</w:t>
      </w:r>
    </w:p>
    <w:tbl>
      <w:tblPr>
        <w:tblStyle w:val="TableGrid"/>
        <w:tblW w:type="auto" w:w="0"/>
        <w:jc w:val="center"/>
        <w:tblLook w:firstColumn="1" w:firstRow="1" w:lastColumn="0" w:lastRow="0" w:noHBand="0" w:noVBand="1" w:val="04A0"/>
      </w:tblPr>
      <w:tblGrid>
        <w:gridCol w:w="4680"/>
        <w:gridCol w:w="4680"/>
      </w:tblGrid>
      <w:tr>
        <w:trPr>
          <w:cantSplit w:val="true"/>
          <w:tblHeader w:val="true"/>
        </w:trPr>
        <w:tc>
          <w:tcPr>
            <w:tcW w:type="dxa" w:w="2592"/>
            <w:shd w:val="clear" w:color="auto" w:fill="1F4E79"/>
          </w:tcPr>
          <w:p>
            <w:pPr>
              <w:keepNext/>
              <w:jc w:val="center"/>
            </w:pPr>
            <w:r/>
            <w:r>
              <w:rPr>
                <w:b/>
                <w:color w:val="FFFFFF"/>
                <w:sz w:val="19"/>
              </w:rPr>
              <w:t>Elemento</w:t>
            </w:r>
          </w:p>
        </w:tc>
        <w:tc>
          <w:tcPr>
            <w:tcW w:type="dxa" w:w="6768"/>
            <w:shd w:val="clear" w:color="auto" w:fill="1F4E79"/>
          </w:tcPr>
          <w:p>
            <w:pPr>
              <w:keepNext/>
              <w:jc w:val="center"/>
            </w:pPr>
            <w:r/>
            <w:r>
              <w:rPr>
                <w:b/>
                <w:color w:val="FFFFFF"/>
                <w:sz w:val="19"/>
              </w:rPr>
              <w:t>Descripción</w:t>
            </w:r>
          </w:p>
        </w:tc>
      </w:tr>
      <w:tr>
        <w:trPr>
          <w:cantSplit w:val="true"/>
        </w:trPr>
        <w:tc>
          <w:tcPr>
            <w:tcW w:type="dxa" w:w="2592"/>
          </w:tcPr>
          <w:p>
            <w:pPr>
              <w:keepNext/>
              <w:spacing w:after="0"/>
              <w:jc w:val="left"/>
            </w:pPr>
            <w:r/>
            <w:r>
              <w:rPr>
                <w:sz w:val="19"/>
              </w:rPr>
              <w:t>Variable analizada</w:t>
            </w:r>
          </w:p>
        </w:tc>
        <w:tc>
          <w:tcPr>
            <w:tcW w:type="dxa" w:w="6768"/>
          </w:tcPr>
          <w:p>
            <w:pPr>
              <w:keepNext/>
              <w:spacing w:after="0"/>
              <w:jc w:val="left"/>
            </w:pPr>
            <w:r/>
            <w:r>
              <w:rPr>
                <w:sz w:val="19"/>
              </w:rPr>
              <w:t>Precio de cierre de la acción de Rocket Lab USA, Inc. (columna «Cierre»)</w:t>
            </w:r>
          </w:p>
        </w:tc>
      </w:tr>
      <w:tr>
        <w:trPr>
          <w:cantSplit w:val="true"/>
        </w:trPr>
        <w:tc>
          <w:tcPr>
            <w:tcW w:type="dxa" w:w="2592"/>
            <w:shd w:val="clear" w:color="auto" w:fill="EAF1F8"/>
          </w:tcPr>
          <w:p>
            <w:pPr>
              <w:keepNext/>
              <w:spacing w:after="0"/>
              <w:jc w:val="left"/>
            </w:pPr>
            <w:r/>
            <w:r>
              <w:rPr>
                <w:sz w:val="19"/>
              </w:rPr>
              <w:t>Qué representa una observación</w:t>
            </w:r>
          </w:p>
        </w:tc>
        <w:tc>
          <w:tcPr>
            <w:tcW w:type="dxa" w:w="6768"/>
            <w:shd w:val="clear" w:color="auto" w:fill="EAF1F8"/>
          </w:tcPr>
          <w:p>
            <w:pPr>
              <w:keepNext/>
              <w:spacing w:after="0"/>
              <w:jc w:val="left"/>
            </w:pPr>
            <w:r/>
            <w:r>
              <w:rPr>
                <w:sz w:val="19"/>
              </w:rPr>
              <w:t>Precio de cierre de la acción RKLB al final de un mes de negociación (la fecha es la etiqueta del mes, día 1)</w:t>
            </w:r>
          </w:p>
        </w:tc>
      </w:tr>
      <w:tr>
        <w:trPr>
          <w:cantSplit w:val="true"/>
        </w:trPr>
        <w:tc>
          <w:tcPr>
            <w:tcW w:type="dxa" w:w="2592"/>
          </w:tcPr>
          <w:p>
            <w:pPr>
              <w:keepNext/>
              <w:spacing w:after="0"/>
              <w:jc w:val="left"/>
            </w:pPr>
            <w:r/>
            <w:r>
              <w:rPr>
                <w:sz w:val="19"/>
              </w:rPr>
              <w:t>Unidades</w:t>
            </w:r>
          </w:p>
        </w:tc>
        <w:tc>
          <w:tcPr>
            <w:tcW w:type="dxa" w:w="6768"/>
          </w:tcPr>
          <w:p>
            <w:pPr>
              <w:keepNext/>
              <w:spacing w:after="0"/>
              <w:jc w:val="left"/>
            </w:pPr>
            <w:r/>
            <w:r>
              <w:rPr>
                <w:sz w:val="19"/>
              </w:rPr>
              <w:t>Dólares estadounidenses por acción (USD)</w:t>
            </w:r>
          </w:p>
        </w:tc>
      </w:tr>
      <w:tr>
        <w:trPr>
          <w:cantSplit w:val="true"/>
        </w:trPr>
        <w:tc>
          <w:tcPr>
            <w:tcW w:type="dxa" w:w="2592"/>
            <w:shd w:val="clear" w:color="auto" w:fill="EAF1F8"/>
          </w:tcPr>
          <w:p>
            <w:pPr>
              <w:keepNext/>
              <w:spacing w:after="0"/>
              <w:jc w:val="left"/>
            </w:pPr>
            <w:r/>
            <w:r>
              <w:rPr>
                <w:sz w:val="19"/>
              </w:rPr>
              <w:t>Frecuencia</w:t>
            </w:r>
          </w:p>
        </w:tc>
        <w:tc>
          <w:tcPr>
            <w:tcW w:type="dxa" w:w="6768"/>
            <w:shd w:val="clear" w:color="auto" w:fill="EAF1F8"/>
          </w:tcPr>
          <w:p>
            <w:pPr>
              <w:keepNext/>
              <w:spacing w:after="0"/>
              <w:jc w:val="left"/>
            </w:pPr>
            <w:r/>
            <w:r>
              <w:rPr>
                <w:sz w:val="19"/>
              </w:rPr>
              <w:t>Mensual</w:t>
            </w:r>
          </w:p>
        </w:tc>
      </w:tr>
      <w:tr>
        <w:trPr>
          <w:cantSplit w:val="true"/>
        </w:trPr>
        <w:tc>
          <w:tcPr>
            <w:tcW w:type="dxa" w:w="2592"/>
          </w:tcPr>
          <w:p>
            <w:pPr>
              <w:keepNext/>
              <w:spacing w:after="0"/>
              <w:jc w:val="left"/>
            </w:pPr>
            <w:r/>
            <w:r>
              <w:rPr>
                <w:sz w:val="19"/>
              </w:rPr>
              <w:t>Periodo</w:t>
            </w:r>
          </w:p>
        </w:tc>
        <w:tc>
          <w:tcPr>
            <w:tcW w:type="dxa" w:w="6768"/>
          </w:tcPr>
          <w:p>
            <w:pPr>
              <w:keepNext/>
              <w:spacing w:after="0"/>
              <w:jc w:val="left"/>
            </w:pPr>
            <w:r/>
            <w:r>
              <w:rPr>
                <w:sz w:val="19"/>
              </w:rPr>
              <w:t>oct-2022 a oct-2026</w:t>
            </w:r>
          </w:p>
        </w:tc>
      </w:tr>
      <w:tr>
        <w:trPr>
          <w:cantSplit w:val="true"/>
        </w:trPr>
        <w:tc>
          <w:tcPr>
            <w:tcW w:type="dxa" w:w="2592"/>
            <w:shd w:val="clear" w:color="auto" w:fill="EAF1F8"/>
          </w:tcPr>
          <w:p>
            <w:pPr>
              <w:keepNext/>
              <w:spacing w:after="0"/>
              <w:jc w:val="left"/>
            </w:pPr>
            <w:r/>
            <w:r>
              <w:rPr>
                <w:sz w:val="19"/>
              </w:rPr>
              <w:t>Número de observaciones</w:t>
            </w:r>
          </w:p>
        </w:tc>
        <w:tc>
          <w:tcPr>
            <w:tcW w:type="dxa" w:w="6768"/>
            <w:shd w:val="clear" w:color="auto" w:fill="EAF1F8"/>
          </w:tcPr>
          <w:p>
            <w:pPr>
              <w:keepNext/>
              <w:spacing w:after="0"/>
              <w:jc w:val="left"/>
            </w:pPr>
            <w:r/>
            <w:r>
              <w:rPr>
                <w:sz w:val="19"/>
              </w:rPr>
              <w:t>49 meses</w:t>
            </w:r>
          </w:p>
        </w:tc>
      </w:tr>
      <w:tr>
        <w:trPr>
          <w:cantSplit w:val="true"/>
        </w:trPr>
        <w:tc>
          <w:tcPr>
            <w:tcW w:type="dxa" w:w="2592"/>
          </w:tcPr>
          <w:p>
            <w:pPr>
              <w:keepNext/>
              <w:spacing w:after="0"/>
              <w:jc w:val="left"/>
            </w:pPr>
            <w:r/>
            <w:r>
              <w:rPr>
                <w:sz w:val="19"/>
              </w:rPr>
              <w:t>Fuente de los datos</w:t>
            </w:r>
          </w:p>
        </w:tc>
        <w:tc>
          <w:tcPr>
            <w:tcW w:type="dxa" w:w="6768"/>
          </w:tcPr>
          <w:p>
            <w:pPr>
              <w:keepNext/>
              <w:spacing w:after="0"/>
              <w:jc w:val="left"/>
            </w:pPr>
            <w:r/>
            <w:r>
              <w:rPr>
                <w:sz w:val="19"/>
              </w:rPr>
              <w:t>Archivo «Datos históricos RKLB» (CSV) proporcionado por el equipo; formato de exportación tipo Investing.com (Fecha, Cierre, Apertura, Máximo, Mínimo, Vol., % var.). Enlace exacto: [completar]</w:t>
            </w:r>
          </w:p>
        </w:tc>
      </w:tr>
      <w:tr>
        <w:trPr>
          <w:cantSplit w:val="true"/>
        </w:trPr>
        <w:tc>
          <w:tcPr>
            <w:tcW w:type="dxa" w:w="2592"/>
            <w:shd w:val="clear" w:color="auto" w:fill="EAF1F8"/>
          </w:tcPr>
          <w:p>
            <w:pPr>
              <w:keepNext/>
              <w:spacing w:after="0"/>
              <w:jc w:val="left"/>
            </w:pPr>
            <w:r/>
            <w:r>
              <w:rPr>
                <w:sz w:val="19"/>
              </w:rPr>
              <w:t>Mercado / emisor</w:t>
            </w:r>
          </w:p>
        </w:tc>
        <w:tc>
          <w:tcPr>
            <w:tcW w:type="dxa" w:w="6768"/>
            <w:shd w:val="clear" w:color="auto" w:fill="EAF1F8"/>
          </w:tcPr>
          <w:p>
            <w:pPr>
              <w:keepNext/>
              <w:spacing w:after="0"/>
              <w:jc w:val="left"/>
            </w:pPr>
            <w:r/>
            <w:r>
              <w:rPr>
                <w:sz w:val="19"/>
              </w:rPr>
              <w:t>Nasdaq (ticker RKLB)</w:t>
            </w:r>
          </w:p>
        </w:tc>
      </w:tr>
      <w:tr>
        <w:trPr>
          <w:cantSplit w:val="true"/>
        </w:trPr>
        <w:tc>
          <w:tcPr>
            <w:tcW w:type="dxa" w:w="2592"/>
          </w:tcPr>
          <w:p>
            <w:pPr>
              <w:spacing w:after="0"/>
              <w:jc w:val="left"/>
            </w:pPr>
            <w:r/>
            <w:r>
              <w:rPr>
                <w:sz w:val="19"/>
              </w:rPr>
              <w:t>Fecha de consulta</w:t>
            </w:r>
          </w:p>
        </w:tc>
        <w:tc>
          <w:tcPr>
            <w:tcW w:type="dxa" w:w="6768"/>
          </w:tcPr>
          <w:p>
            <w:pPr>
              <w:spacing w:after="0"/>
              <w:jc w:val="left"/>
            </w:pPr>
            <w:r/>
            <w:r>
              <w:rPr>
                <w:sz w:val="19"/>
              </w:rPr>
              <w:t>2 de octubre de 2026</w:t>
            </w:r>
          </w:p>
        </w:tc>
      </w:tr>
    </w:tbl>
    <w:p>
      <w:pPr>
        <w:spacing w:after="40"/>
      </w:pPr>
    </w:p>
    <w:p>
      <w:pPr>
        <w:pStyle w:val="Heading3"/>
      </w:pPr>
      <w:r>
        <w:t>Respuestas a las preguntas de la sección</w:t>
      </w:r>
    </w:p>
    <w:p>
      <w:pPr>
        <w:keepNext/>
        <w:spacing w:after="20"/>
      </w:pPr>
      <w:r>
        <w:rPr>
          <w:b/>
        </w:rPr>
        <w:t>¿Qué variable analizan y qué representa una observación?</w:t>
      </w:r>
    </w:p>
    <w:p>
      <w:pPr>
        <w:ind w:left="288"/>
      </w:pPr>
      <w:r>
        <w:t xml:space="preserve">La variable es el </w:t>
      </w:r>
      <w:r>
        <w:rPr>
          <w:b/>
        </w:rPr>
        <w:t>precio de cierre de la acción de Rocket Lab USA, Inc. (Nasdaq: RKLB)</w:t>
      </w:r>
      <w:r>
        <w:t>. Cada observación es el precio al que cerró la acción al final de un mes de negociación; la columna «Fecha» (día 1 de cada mes) funciona como etiqueta del mes. La base tiene 49 observaciones.</w:t>
      </w:r>
    </w:p>
    <w:p>
      <w:pPr>
        <w:keepNext/>
        <w:spacing w:after="20"/>
      </w:pPr>
      <w:r>
        <w:rPr>
          <w:b/>
        </w:rPr>
        <w:t>¿En qué unidades se expresa?</w:t>
      </w:r>
    </w:p>
    <w:p>
      <w:pPr>
        <w:ind w:left="288"/>
      </w:pPr>
      <w:r>
        <w:t>En dólares estadounidenses (USD) por acción.</w:t>
      </w:r>
    </w:p>
    <w:p>
      <w:pPr>
        <w:keepNext/>
        <w:spacing w:after="20"/>
      </w:pPr>
      <w:r>
        <w:rPr>
          <w:b/>
        </w:rPr>
        <w:t>¿Cuál es la fuente, periodo y frecuencia?</w:t>
      </w:r>
    </w:p>
    <w:p>
      <w:pPr>
        <w:ind w:left="288"/>
      </w:pPr>
      <w:r>
        <w:t xml:space="preserve">La fuente es el archivo CSV «Datos históricos RKLB» proporcionado por el equipo (con el formato de exportación tipo Investing.com: Fecha, Cierre, Apertura, Máximo, Mínimo, Vol., % var.); el enlace exacto debe completarse en el reporte. El periodo va de </w:t>
      </w:r>
      <w:r>
        <w:rPr>
          <w:b/>
        </w:rPr>
        <w:t>oct-2022 a oct-2026</w:t>
      </w:r>
      <w:r>
        <w:t xml:space="preserve">, con </w:t>
      </w:r>
      <w:r>
        <w:rPr>
          <w:b/>
        </w:rPr>
        <w:t>frecuencia mensual</w:t>
      </w:r>
      <w:r>
        <w:t>. La fecha de consulta es el 2 de octubre de 2026; por eso la última observación (oct-2026) corresponde a un mes todavía incompleto.</w:t>
      </w:r>
    </w:p>
    <w:p>
      <w:pPr>
        <w:pStyle w:val="Heading1"/>
      </w:pPr>
      <w:r>
        <w:t>2. Preparación de datos</w:t>
      </w:r>
    </w:p>
    <w:p>
      <w:pPr>
        <w:keepNext/>
        <w:spacing w:after="60"/>
      </w:pPr>
      <w:r>
        <w:rPr>
          <w:b/>
          <w:sz w:val="19"/>
        </w:rPr>
        <w:t>Tabla 3. Revisión de calidad de los datos</w:t>
      </w:r>
    </w:p>
    <w:tbl>
      <w:tblPr>
        <w:tblStyle w:val="TableGrid"/>
        <w:tblW w:type="auto" w:w="0"/>
        <w:jc w:val="center"/>
        <w:tblLook w:firstColumn="1" w:firstRow="1" w:lastColumn="0" w:lastRow="0" w:noHBand="0" w:noVBand="1" w:val="04A0"/>
      </w:tblPr>
      <w:tblGrid>
        <w:gridCol w:w="3120"/>
        <w:gridCol w:w="3120"/>
        <w:gridCol w:w="3120"/>
      </w:tblGrid>
      <w:tr>
        <w:trPr>
          <w:cantSplit w:val="true"/>
          <w:tblHeader w:val="true"/>
        </w:trPr>
        <w:tc>
          <w:tcPr>
            <w:tcW w:type="dxa" w:w="3744"/>
            <w:shd w:val="clear" w:color="auto" w:fill="1F4E79"/>
          </w:tcPr>
          <w:p>
            <w:pPr>
              <w:keepNext/>
              <w:jc w:val="center"/>
            </w:pPr>
            <w:r/>
            <w:r>
              <w:rPr>
                <w:b/>
                <w:color w:val="FFFFFF"/>
                <w:sz w:val="18"/>
              </w:rPr>
              <w:t>Revisión</w:t>
            </w:r>
          </w:p>
        </w:tc>
        <w:tc>
          <w:tcPr>
            <w:tcW w:type="dxa" w:w="2736"/>
            <w:shd w:val="clear" w:color="auto" w:fill="1F4E79"/>
          </w:tcPr>
          <w:p>
            <w:pPr>
              <w:keepNext/>
              <w:jc w:val="center"/>
            </w:pPr>
            <w:r/>
            <w:r>
              <w:rPr>
                <w:b/>
                <w:color w:val="FFFFFF"/>
                <w:sz w:val="18"/>
              </w:rPr>
              <w:t>Resultado</w:t>
            </w:r>
          </w:p>
        </w:tc>
        <w:tc>
          <w:tcPr>
            <w:tcW w:type="dxa" w:w="2880"/>
            <w:shd w:val="clear" w:color="auto" w:fill="1F4E79"/>
          </w:tcPr>
          <w:p>
            <w:pPr>
              <w:keepNext/>
              <w:jc w:val="center"/>
            </w:pPr>
            <w:r/>
            <w:r>
              <w:rPr>
                <w:b/>
                <w:color w:val="FFFFFF"/>
                <w:sz w:val="18"/>
              </w:rPr>
              <w:t>Decisión</w:t>
            </w:r>
          </w:p>
        </w:tc>
      </w:tr>
      <w:tr>
        <w:trPr>
          <w:cantSplit w:val="true"/>
        </w:trPr>
        <w:tc>
          <w:tcPr>
            <w:tcW w:type="dxa" w:w="3744"/>
          </w:tcPr>
          <w:p>
            <w:pPr>
              <w:keepNext/>
              <w:spacing w:after="0"/>
              <w:jc w:val="left"/>
            </w:pPr>
            <w:r/>
            <w:r>
              <w:rPr>
                <w:sz w:val="18"/>
              </w:rPr>
              <w:t>Valores faltantes (7 columnas)</w:t>
            </w:r>
          </w:p>
        </w:tc>
        <w:tc>
          <w:tcPr>
            <w:tcW w:type="dxa" w:w="2736"/>
          </w:tcPr>
          <w:p>
            <w:pPr>
              <w:keepNext/>
              <w:spacing w:after="0"/>
              <w:jc w:val="right"/>
            </w:pPr>
            <w:r/>
            <w:r>
              <w:rPr>
                <w:sz w:val="18"/>
              </w:rPr>
              <w:t>0</w:t>
            </w:r>
          </w:p>
        </w:tc>
        <w:tc>
          <w:tcPr>
            <w:tcW w:type="dxa" w:w="2880"/>
          </w:tcPr>
          <w:p>
            <w:pPr>
              <w:keepNext/>
              <w:spacing w:after="0"/>
              <w:jc w:val="left"/>
            </w:pPr>
            <w:r/>
            <w:r>
              <w:rPr>
                <w:sz w:val="18"/>
              </w:rPr>
              <w:t>Sin acción</w:t>
            </w:r>
          </w:p>
        </w:tc>
      </w:tr>
      <w:tr>
        <w:trPr>
          <w:cantSplit w:val="true"/>
        </w:trPr>
        <w:tc>
          <w:tcPr>
            <w:tcW w:type="dxa" w:w="3744"/>
            <w:shd w:val="clear" w:color="auto" w:fill="EAF1F8"/>
          </w:tcPr>
          <w:p>
            <w:pPr>
              <w:keepNext/>
              <w:spacing w:after="0"/>
              <w:jc w:val="left"/>
            </w:pPr>
            <w:r/>
            <w:r>
              <w:rPr>
                <w:sz w:val="18"/>
              </w:rPr>
              <w:t>Filas duplicadas / meses repetidos</w:t>
            </w:r>
          </w:p>
        </w:tc>
        <w:tc>
          <w:tcPr>
            <w:tcW w:type="dxa" w:w="2736"/>
            <w:shd w:val="clear" w:color="auto" w:fill="EAF1F8"/>
          </w:tcPr>
          <w:p>
            <w:pPr>
              <w:keepNext/>
              <w:spacing w:after="0"/>
              <w:jc w:val="left"/>
            </w:pPr>
            <w:r/>
            <w:r>
              <w:rPr>
                <w:sz w:val="18"/>
              </w:rPr>
              <w:t>0 / 0</w:t>
            </w:r>
          </w:p>
        </w:tc>
        <w:tc>
          <w:tcPr>
            <w:tcW w:type="dxa" w:w="2880"/>
            <w:shd w:val="clear" w:color="auto" w:fill="EAF1F8"/>
          </w:tcPr>
          <w:p>
            <w:pPr>
              <w:keepNext/>
              <w:spacing w:after="0"/>
              <w:jc w:val="left"/>
            </w:pPr>
            <w:r/>
            <w:r>
              <w:rPr>
                <w:sz w:val="18"/>
              </w:rPr>
              <w:t>Sin acción</w:t>
            </w:r>
          </w:p>
        </w:tc>
      </w:tr>
      <w:tr>
        <w:trPr>
          <w:cantSplit w:val="true"/>
        </w:trPr>
        <w:tc>
          <w:tcPr>
            <w:tcW w:type="dxa" w:w="3744"/>
          </w:tcPr>
          <w:p>
            <w:pPr>
              <w:keepNext/>
              <w:spacing w:after="0"/>
              <w:jc w:val="left"/>
            </w:pPr>
            <w:r/>
            <w:r>
              <w:rPr>
                <w:sz w:val="18"/>
              </w:rPr>
              <w:t>Meses del calendario vs. meses con dato</w:t>
            </w:r>
          </w:p>
        </w:tc>
        <w:tc>
          <w:tcPr>
            <w:tcW w:type="dxa" w:w="2736"/>
          </w:tcPr>
          <w:p>
            <w:pPr>
              <w:keepNext/>
              <w:spacing w:after="0"/>
              <w:jc w:val="left"/>
            </w:pPr>
            <w:r/>
            <w:r>
              <w:rPr>
                <w:sz w:val="18"/>
              </w:rPr>
              <w:t>49 vs. 49</w:t>
            </w:r>
          </w:p>
        </w:tc>
        <w:tc>
          <w:tcPr>
            <w:tcW w:type="dxa" w:w="2880"/>
          </w:tcPr>
          <w:p>
            <w:pPr>
              <w:keepNext/>
              <w:spacing w:after="0"/>
              <w:jc w:val="left"/>
            </w:pPr>
            <w:r/>
            <w:r>
              <w:rPr>
                <w:sz w:val="18"/>
              </w:rPr>
              <w:t>Serie continua, sin huecos</w:t>
            </w:r>
          </w:p>
        </w:tc>
      </w:tr>
      <w:tr>
        <w:trPr>
          <w:cantSplit w:val="true"/>
        </w:trPr>
        <w:tc>
          <w:tcPr>
            <w:tcW w:type="dxa" w:w="3744"/>
            <w:shd w:val="clear" w:color="auto" w:fill="EAF1F8"/>
          </w:tcPr>
          <w:p>
            <w:pPr>
              <w:keepNext/>
              <w:spacing w:after="0"/>
              <w:jc w:val="left"/>
            </w:pPr>
            <w:r/>
            <w:r>
              <w:rPr>
                <w:sz w:val="18"/>
              </w:rPr>
              <w:t>Etiquetas de mes en fin de semana</w:t>
            </w:r>
          </w:p>
        </w:tc>
        <w:tc>
          <w:tcPr>
            <w:tcW w:type="dxa" w:w="2736"/>
            <w:shd w:val="clear" w:color="auto" w:fill="EAF1F8"/>
          </w:tcPr>
          <w:p>
            <w:pPr>
              <w:keepNext/>
              <w:spacing w:after="0"/>
              <w:jc w:val="left"/>
            </w:pPr>
            <w:r/>
            <w:r>
              <w:rPr>
                <w:sz w:val="18"/>
              </w:rPr>
              <w:t>15 de 49</w:t>
            </w:r>
          </w:p>
        </w:tc>
        <w:tc>
          <w:tcPr>
            <w:tcW w:type="dxa" w:w="2880"/>
            <w:shd w:val="clear" w:color="auto" w:fill="EAF1F8"/>
          </w:tcPr>
          <w:p>
            <w:pPr>
              <w:keepNext/>
              <w:spacing w:after="0"/>
              <w:jc w:val="left"/>
            </w:pPr>
            <w:r/>
            <w:r>
              <w:rPr>
                <w:sz w:val="18"/>
              </w:rPr>
              <w:t>Son etiquetas de mes (día 1); no se modifican</w:t>
            </w:r>
          </w:p>
        </w:tc>
      </w:tr>
      <w:tr>
        <w:trPr>
          <w:cantSplit w:val="true"/>
        </w:trPr>
        <w:tc>
          <w:tcPr>
            <w:tcW w:type="dxa" w:w="3744"/>
          </w:tcPr>
          <w:p>
            <w:pPr>
              <w:keepNext/>
              <w:spacing w:after="0"/>
              <w:jc w:val="left"/>
            </w:pPr>
            <w:r/>
            <w:r>
              <w:rPr>
                <w:sz w:val="18"/>
              </w:rPr>
              <w:t>Orden de la fecha en el archivo</w:t>
            </w:r>
          </w:p>
        </w:tc>
        <w:tc>
          <w:tcPr>
            <w:tcW w:type="dxa" w:w="2736"/>
          </w:tcPr>
          <w:p>
            <w:pPr>
              <w:keepNext/>
              <w:spacing w:after="0"/>
              <w:jc w:val="left"/>
            </w:pPr>
            <w:r/>
            <w:r>
              <w:rPr>
                <w:sz w:val="18"/>
              </w:rPr>
              <w:t>Descendente</w:t>
            </w:r>
          </w:p>
        </w:tc>
        <w:tc>
          <w:tcPr>
            <w:tcW w:type="dxa" w:w="2880"/>
          </w:tcPr>
          <w:p>
            <w:pPr>
              <w:keepNext/>
              <w:spacing w:after="0"/>
              <w:jc w:val="left"/>
            </w:pPr>
            <w:r/>
            <w:r>
              <w:rPr>
                <w:sz w:val="18"/>
              </w:rPr>
              <w:t>Se ordenó ascendente</w:t>
            </w:r>
          </w:p>
        </w:tc>
      </w:tr>
      <w:tr>
        <w:trPr>
          <w:cantSplit w:val="true"/>
        </w:trPr>
        <w:tc>
          <w:tcPr>
            <w:tcW w:type="dxa" w:w="3744"/>
            <w:shd w:val="clear" w:color="auto" w:fill="EAF1F8"/>
          </w:tcPr>
          <w:p>
            <w:pPr>
              <w:keepNext/>
              <w:spacing w:after="0"/>
              <w:jc w:val="left"/>
            </w:pPr>
            <w:r/>
            <w:r>
              <w:rPr>
                <w:sz w:val="18"/>
              </w:rPr>
              <w:t>«% var.» fuente vs. cálculo con el cierre</w:t>
            </w:r>
          </w:p>
        </w:tc>
        <w:tc>
          <w:tcPr>
            <w:tcW w:type="dxa" w:w="2736"/>
            <w:shd w:val="clear" w:color="auto" w:fill="EAF1F8"/>
          </w:tcPr>
          <w:p>
            <w:pPr>
              <w:keepNext/>
              <w:spacing w:after="0"/>
              <w:jc w:val="left"/>
            </w:pPr>
            <w:r/>
            <w:r>
              <w:rPr>
                <w:sz w:val="18"/>
              </w:rPr>
              <w:t>≤ 0.0049 pp</w:t>
            </w:r>
          </w:p>
        </w:tc>
        <w:tc>
          <w:tcPr>
            <w:tcW w:type="dxa" w:w="2880"/>
            <w:shd w:val="clear" w:color="auto" w:fill="EAF1F8"/>
          </w:tcPr>
          <w:p>
            <w:pPr>
              <w:keepNext/>
              <w:spacing w:after="0"/>
              <w:jc w:val="left"/>
            </w:pPr>
            <w:r/>
            <w:r>
              <w:rPr>
                <w:sz w:val="18"/>
              </w:rPr>
              <w:t>Consistente (redondeo)</w:t>
            </w:r>
          </w:p>
        </w:tc>
      </w:tr>
      <w:tr>
        <w:trPr>
          <w:cantSplit w:val="true"/>
        </w:trPr>
        <w:tc>
          <w:tcPr>
            <w:tcW w:type="dxa" w:w="3744"/>
          </w:tcPr>
          <w:p>
            <w:pPr>
              <w:spacing w:after="0"/>
              <w:jc w:val="left"/>
            </w:pPr>
            <w:r/>
            <w:r>
              <w:rPr>
                <w:sz w:val="18"/>
              </w:rPr>
              <w:t>Mes parcial (oct-2026)</w:t>
            </w:r>
          </w:p>
        </w:tc>
        <w:tc>
          <w:tcPr>
            <w:tcW w:type="dxa" w:w="2736"/>
          </w:tcPr>
          <w:p>
            <w:pPr>
              <w:spacing w:after="0"/>
              <w:jc w:val="left"/>
            </w:pPr>
            <w:r/>
            <w:r>
              <w:rPr>
                <w:sz w:val="18"/>
              </w:rPr>
              <w:t>Vol. 23.31 M = 7.6 % de la mediana</w:t>
            </w:r>
          </w:p>
        </w:tc>
        <w:tc>
          <w:tcPr>
            <w:tcW w:type="dxa" w:w="2880"/>
          </w:tcPr>
          <w:p>
            <w:pPr>
              <w:spacing w:after="0"/>
              <w:jc w:val="left"/>
            </w:pPr>
            <w:r/>
            <w:r>
              <w:rPr>
                <w:sz w:val="18"/>
              </w:rPr>
              <w:t>Se conserva; se verifica sensibilidad</w:t>
            </w:r>
          </w:p>
        </w:tc>
      </w:tr>
    </w:tbl>
    <w:p>
      <w:pPr>
        <w:spacing w:after="40"/>
      </w:pPr>
    </w:p>
    <w:p>
      <w:pPr>
        <w:pStyle w:val="Heading3"/>
      </w:pPr>
      <w:r>
        <w:t>Respuestas a las preguntas de la sección</w:t>
      </w:r>
    </w:p>
    <w:p>
      <w:pPr>
        <w:keepNext/>
        <w:spacing w:after="20"/>
      </w:pPr>
      <w:r>
        <w:rPr>
          <w:b/>
        </w:rPr>
        <w:t>¿Existen faltantes o duplicados?</w:t>
      </w:r>
    </w:p>
    <w:p>
      <w:pPr>
        <w:ind w:left="288"/>
      </w:pPr>
      <w:r>
        <w:t>No. Hay 0 valores faltantes en las 7 columnas, 0 filas duplicadas y 0 meses repetidos. Además, el «% var.» que reporta la fuente coincide con el cambio porcentual calculado a partir del cierre (discrepancia máxima de 0.0049 puntos porcentuales, solo por redondeo) y el cierre está siempre entre el mínimo y el máximo del mes.</w:t>
      </w:r>
    </w:p>
    <w:p>
      <w:pPr>
        <w:keepNext/>
        <w:spacing w:after="20"/>
      </w:pPr>
      <w:r>
        <w:rPr>
          <w:b/>
        </w:rPr>
        <w:t>¿Qué decisión tomaron y por qué?</w:t>
      </w:r>
    </w:p>
    <w:p>
      <w:pPr>
        <w:ind w:left="288"/>
      </w:pPr>
      <w:r>
        <w:t xml:space="preserve">(1) Convertir «Fecha» (formato dd.mm.aaaa) a </w:t>
      </w:r>
      <w:r>
        <w:rPr>
          <w:i/>
        </w:rPr>
        <w:t>datetime</w:t>
      </w:r>
      <w:r>
        <w:t xml:space="preserve"> y </w:t>
      </w:r>
      <w:r>
        <w:rPr>
          <w:b/>
        </w:rPr>
        <w:t>ordenar de forma ascendente</w:t>
      </w:r>
      <w:r>
        <w:t xml:space="preserve">, porque el archivo venía del más reciente al más antiguo y los rezagos y diferencias requieren orden cronológico. (2) Convertir «Vol.» (por ejemplo «23.31M») y «% var.» a números. (3) </w:t>
      </w:r>
      <w:r>
        <w:rPr>
          <w:b/>
        </w:rPr>
        <w:t>No imputar ni eliminar nada</w:t>
      </w:r>
      <w:r>
        <w:t xml:space="preserve">, porque no hay faltantes ni duplicados. (4) </w:t>
      </w:r>
      <w:r>
        <w:rPr>
          <w:b/>
        </w:rPr>
        <w:t>Conservar oct-2026</w:t>
      </w:r>
      <w:r>
        <w:t xml:space="preserve"> aunque sea un mes parcial (su volumen es de 23.31 M de acciones, solo 7.6 % de la mediana mensual de 308.4 M), por ser el dato más reciente; se verificó que no cambia el diagnóstico: la autocorrelación de rezago 1 del cambio logarítmico es 0.035 sin ese mes y 0.034 con él.</w:t>
      </w:r>
    </w:p>
    <w:p>
      <w:pPr>
        <w:keepNext/>
        <w:spacing w:after="20"/>
      </w:pPr>
      <w:r>
        <w:rPr>
          <w:b/>
        </w:rPr>
        <w:t>¿Hay observaciones repetidas por fines de semana o días no hábiles?</w:t>
      </w:r>
    </w:p>
    <w:p>
      <w:pPr>
        <w:ind w:left="288"/>
      </w:pPr>
      <w:r>
        <w:t>No. Los 49 meses del calendario entre oct-2022 y oct-2026 tienen exactamente un dato (0 meses faltantes y 0 repetidos). Como la serie es mensual, la fecha es solo la etiqueta del mes (día 1): 15 de las 49 etiquetas caen en sábado o domingo (por ejemplo, 01-oct-2022 fue sábado), pero eso no genera repeticiones ni huecos, porque el dato es el precio de cierre del mes y no el de ese día.</w:t>
      </w:r>
    </w:p>
    <w:p>
      <w:pPr>
        <w:pStyle w:val="Heading1"/>
      </w:pPr>
      <w:r>
        <w:t>3. Serie en nivel</w:t>
      </w:r>
    </w:p>
    <w:p>
      <w:pPr>
        <w:keepNext/>
        <w:spacing w:after="60"/>
      </w:pPr>
      <w:r>
        <w:rPr>
          <w:b/>
          <w:sz w:val="19"/>
        </w:rPr>
        <w:t>Tabla 4. Estadísticos descriptivos del precio de cierre (USD por acción)</w:t>
      </w:r>
    </w:p>
    <w:tbl>
      <w:tblPr>
        <w:tblStyle w:val="TableGrid"/>
        <w:tblW w:type="auto" w:w="0"/>
        <w:jc w:val="center"/>
        <w:tblLook w:firstColumn="1" w:firstRow="1" w:lastColumn="0" w:lastRow="0" w:noHBand="0" w:noVBand="1" w:val="04A0"/>
      </w:tblPr>
      <w:tblGrid>
        <w:gridCol w:w="4680"/>
        <w:gridCol w:w="4680"/>
      </w:tblGrid>
      <w:tr>
        <w:trPr>
          <w:cantSplit w:val="true"/>
          <w:tblHeader w:val="true"/>
        </w:trPr>
        <w:tc>
          <w:tcPr>
            <w:tcW w:type="dxa" w:w="3744"/>
            <w:shd w:val="clear" w:color="auto" w:fill="1F4E79"/>
          </w:tcPr>
          <w:p>
            <w:pPr>
              <w:keepNext/>
              <w:jc w:val="center"/>
            </w:pPr>
            <w:r/>
            <w:r>
              <w:rPr>
                <w:b/>
                <w:color w:val="FFFFFF"/>
                <w:sz w:val="18"/>
              </w:rPr>
              <w:t>Estadístico</w:t>
            </w:r>
          </w:p>
        </w:tc>
        <w:tc>
          <w:tcPr>
            <w:tcW w:type="dxa" w:w="2160"/>
            <w:shd w:val="clear" w:color="auto" w:fill="1F4E79"/>
          </w:tcPr>
          <w:p>
            <w:pPr>
              <w:keepNext/>
              <w:jc w:val="center"/>
            </w:pPr>
            <w:r/>
            <w:r>
              <w:rPr>
                <w:b/>
                <w:color w:val="FFFFFF"/>
                <w:sz w:val="18"/>
              </w:rPr>
              <w:t>Valor</w:t>
            </w:r>
          </w:p>
        </w:tc>
      </w:tr>
      <w:tr>
        <w:trPr>
          <w:cantSplit w:val="true"/>
        </w:trPr>
        <w:tc>
          <w:tcPr>
            <w:tcW w:type="dxa" w:w="3744"/>
          </w:tcPr>
          <w:p>
            <w:pPr>
              <w:keepNext/>
              <w:spacing w:after="0"/>
              <w:jc w:val="left"/>
            </w:pPr>
            <w:r/>
            <w:r>
              <w:rPr>
                <w:sz w:val="18"/>
              </w:rPr>
              <w:t>Observaciones (n)</w:t>
            </w:r>
          </w:p>
        </w:tc>
        <w:tc>
          <w:tcPr>
            <w:tcW w:type="dxa" w:w="2160"/>
          </w:tcPr>
          <w:p>
            <w:pPr>
              <w:keepNext/>
              <w:spacing w:after="0"/>
              <w:jc w:val="right"/>
            </w:pPr>
            <w:r/>
            <w:r>
              <w:rPr>
                <w:sz w:val="18"/>
              </w:rPr>
              <w:t>49</w:t>
            </w:r>
          </w:p>
        </w:tc>
      </w:tr>
      <w:tr>
        <w:trPr>
          <w:cantSplit w:val="true"/>
        </w:trPr>
        <w:tc>
          <w:tcPr>
            <w:tcW w:type="dxa" w:w="3744"/>
            <w:shd w:val="clear" w:color="auto" w:fill="EAF1F8"/>
          </w:tcPr>
          <w:p>
            <w:pPr>
              <w:keepNext/>
              <w:spacing w:after="0"/>
              <w:jc w:val="left"/>
            </w:pPr>
            <w:r/>
            <w:r>
              <w:rPr>
                <w:sz w:val="18"/>
              </w:rPr>
              <w:t>Media</w:t>
            </w:r>
          </w:p>
        </w:tc>
        <w:tc>
          <w:tcPr>
            <w:tcW w:type="dxa" w:w="2160"/>
            <w:shd w:val="clear" w:color="auto" w:fill="EAF1F8"/>
          </w:tcPr>
          <w:p>
            <w:pPr>
              <w:keepNext/>
              <w:spacing w:after="0"/>
              <w:jc w:val="right"/>
            </w:pPr>
            <w:r/>
            <w:r>
              <w:rPr>
                <w:sz w:val="18"/>
              </w:rPr>
              <w:t>29.87</w:t>
            </w:r>
          </w:p>
        </w:tc>
      </w:tr>
      <w:tr>
        <w:trPr>
          <w:cantSplit w:val="true"/>
        </w:trPr>
        <w:tc>
          <w:tcPr>
            <w:tcW w:type="dxa" w:w="3744"/>
          </w:tcPr>
          <w:p>
            <w:pPr>
              <w:keepNext/>
              <w:spacing w:after="0"/>
              <w:jc w:val="left"/>
            </w:pPr>
            <w:r/>
            <w:r>
              <w:rPr>
                <w:sz w:val="18"/>
              </w:rPr>
              <w:t>Desviación estándar</w:t>
            </w:r>
          </w:p>
        </w:tc>
        <w:tc>
          <w:tcPr>
            <w:tcW w:type="dxa" w:w="2160"/>
          </w:tcPr>
          <w:p>
            <w:pPr>
              <w:keepNext/>
              <w:spacing w:after="0"/>
              <w:jc w:val="right"/>
            </w:pPr>
            <w:r/>
            <w:r>
              <w:rPr>
                <w:sz w:val="18"/>
              </w:rPr>
              <w:t>32.61</w:t>
            </w:r>
          </w:p>
        </w:tc>
      </w:tr>
      <w:tr>
        <w:trPr>
          <w:cantSplit w:val="true"/>
        </w:trPr>
        <w:tc>
          <w:tcPr>
            <w:tcW w:type="dxa" w:w="3744"/>
            <w:shd w:val="clear" w:color="auto" w:fill="EAF1F8"/>
          </w:tcPr>
          <w:p>
            <w:pPr>
              <w:keepNext/>
              <w:spacing w:after="0"/>
              <w:jc w:val="left"/>
            </w:pPr>
            <w:r/>
            <w:r>
              <w:rPr>
                <w:sz w:val="18"/>
              </w:rPr>
              <w:t>Mínimo</w:t>
            </w:r>
          </w:p>
        </w:tc>
        <w:tc>
          <w:tcPr>
            <w:tcW w:type="dxa" w:w="2160"/>
            <w:shd w:val="clear" w:color="auto" w:fill="EAF1F8"/>
          </w:tcPr>
          <w:p>
            <w:pPr>
              <w:keepNext/>
              <w:spacing w:after="0"/>
              <w:jc w:val="right"/>
            </w:pPr>
            <w:r/>
            <w:r>
              <w:rPr>
                <w:sz w:val="18"/>
              </w:rPr>
              <w:t>3.76</w:t>
            </w:r>
          </w:p>
        </w:tc>
      </w:tr>
      <w:tr>
        <w:trPr>
          <w:cantSplit w:val="true"/>
        </w:trPr>
        <w:tc>
          <w:tcPr>
            <w:tcW w:type="dxa" w:w="3744"/>
          </w:tcPr>
          <w:p>
            <w:pPr>
              <w:keepNext/>
              <w:spacing w:after="0"/>
              <w:jc w:val="left"/>
            </w:pPr>
            <w:r/>
            <w:r>
              <w:rPr>
                <w:sz w:val="18"/>
              </w:rPr>
              <w:t>Primer cuartil (Q1)</w:t>
            </w:r>
          </w:p>
        </w:tc>
        <w:tc>
          <w:tcPr>
            <w:tcW w:type="dxa" w:w="2160"/>
          </w:tcPr>
          <w:p>
            <w:pPr>
              <w:keepNext/>
              <w:spacing w:after="0"/>
              <w:jc w:val="right"/>
            </w:pPr>
            <w:r/>
            <w:r>
              <w:rPr>
                <w:sz w:val="18"/>
              </w:rPr>
              <w:t>4.58</w:t>
            </w:r>
          </w:p>
        </w:tc>
      </w:tr>
      <w:tr>
        <w:trPr>
          <w:cantSplit w:val="true"/>
        </w:trPr>
        <w:tc>
          <w:tcPr>
            <w:tcW w:type="dxa" w:w="3744"/>
            <w:shd w:val="clear" w:color="auto" w:fill="EAF1F8"/>
          </w:tcPr>
          <w:p>
            <w:pPr>
              <w:keepNext/>
              <w:spacing w:after="0"/>
              <w:jc w:val="left"/>
            </w:pPr>
            <w:r/>
            <w:r>
              <w:rPr>
                <w:sz w:val="18"/>
              </w:rPr>
              <w:t>Mediana</w:t>
            </w:r>
          </w:p>
        </w:tc>
        <w:tc>
          <w:tcPr>
            <w:tcW w:type="dxa" w:w="2160"/>
            <w:shd w:val="clear" w:color="auto" w:fill="EAF1F8"/>
          </w:tcPr>
          <w:p>
            <w:pPr>
              <w:keepNext/>
              <w:spacing w:after="0"/>
              <w:jc w:val="right"/>
            </w:pPr>
            <w:r/>
            <w:r>
              <w:rPr>
                <w:sz w:val="18"/>
              </w:rPr>
              <w:t>10.70</w:t>
            </w:r>
          </w:p>
        </w:tc>
      </w:tr>
      <w:tr>
        <w:trPr>
          <w:cantSplit w:val="true"/>
        </w:trPr>
        <w:tc>
          <w:tcPr>
            <w:tcW w:type="dxa" w:w="3744"/>
          </w:tcPr>
          <w:p>
            <w:pPr>
              <w:keepNext/>
              <w:spacing w:after="0"/>
              <w:jc w:val="left"/>
            </w:pPr>
            <w:r/>
            <w:r>
              <w:rPr>
                <w:sz w:val="18"/>
              </w:rPr>
              <w:t>Tercer cuartil (Q3)</w:t>
            </w:r>
          </w:p>
        </w:tc>
        <w:tc>
          <w:tcPr>
            <w:tcW w:type="dxa" w:w="2160"/>
          </w:tcPr>
          <w:p>
            <w:pPr>
              <w:keepNext/>
              <w:spacing w:after="0"/>
              <w:jc w:val="right"/>
            </w:pPr>
            <w:r/>
            <w:r>
              <w:rPr>
                <w:sz w:val="18"/>
              </w:rPr>
              <w:t>48.60</w:t>
            </w:r>
          </w:p>
        </w:tc>
      </w:tr>
      <w:tr>
        <w:trPr>
          <w:cantSplit w:val="true"/>
        </w:trPr>
        <w:tc>
          <w:tcPr>
            <w:tcW w:type="dxa" w:w="3744"/>
            <w:shd w:val="clear" w:color="auto" w:fill="EAF1F8"/>
          </w:tcPr>
          <w:p>
            <w:pPr>
              <w:keepNext/>
              <w:spacing w:after="0"/>
              <w:jc w:val="left"/>
            </w:pPr>
            <w:r/>
            <w:r>
              <w:rPr>
                <w:sz w:val="18"/>
              </w:rPr>
              <w:t>Máximo</w:t>
            </w:r>
          </w:p>
        </w:tc>
        <w:tc>
          <w:tcPr>
            <w:tcW w:type="dxa" w:w="2160"/>
            <w:shd w:val="clear" w:color="auto" w:fill="EAF1F8"/>
          </w:tcPr>
          <w:p>
            <w:pPr>
              <w:keepNext/>
              <w:spacing w:after="0"/>
              <w:jc w:val="right"/>
            </w:pPr>
            <w:r/>
            <w:r>
              <w:rPr>
                <w:sz w:val="18"/>
              </w:rPr>
              <w:t>143.48</w:t>
            </w:r>
          </w:p>
        </w:tc>
      </w:tr>
      <w:tr>
        <w:trPr>
          <w:cantSplit w:val="true"/>
        </w:trPr>
        <w:tc>
          <w:tcPr>
            <w:tcW w:type="dxa" w:w="3744"/>
          </w:tcPr>
          <w:p>
            <w:pPr>
              <w:keepNext/>
              <w:spacing w:after="0"/>
              <w:jc w:val="left"/>
            </w:pPr>
            <w:r/>
            <w:r>
              <w:rPr>
                <w:sz w:val="18"/>
              </w:rPr>
              <w:t>Rango</w:t>
            </w:r>
          </w:p>
        </w:tc>
        <w:tc>
          <w:tcPr>
            <w:tcW w:type="dxa" w:w="2160"/>
          </w:tcPr>
          <w:p>
            <w:pPr>
              <w:keepNext/>
              <w:spacing w:after="0"/>
              <w:jc w:val="right"/>
            </w:pPr>
            <w:r/>
            <w:r>
              <w:rPr>
                <w:sz w:val="18"/>
              </w:rPr>
              <w:t>139.72</w:t>
            </w:r>
          </w:p>
        </w:tc>
      </w:tr>
      <w:tr>
        <w:trPr>
          <w:cantSplit w:val="true"/>
        </w:trPr>
        <w:tc>
          <w:tcPr>
            <w:tcW w:type="dxa" w:w="3744"/>
            <w:shd w:val="clear" w:color="auto" w:fill="EAF1F8"/>
          </w:tcPr>
          <w:p>
            <w:pPr>
              <w:keepNext/>
              <w:spacing w:after="0"/>
              <w:jc w:val="left"/>
            </w:pPr>
            <w:r/>
            <w:r>
              <w:rPr>
                <w:sz w:val="18"/>
              </w:rPr>
              <w:t>Varianza</w:t>
            </w:r>
          </w:p>
        </w:tc>
        <w:tc>
          <w:tcPr>
            <w:tcW w:type="dxa" w:w="2160"/>
            <w:shd w:val="clear" w:color="auto" w:fill="EAF1F8"/>
          </w:tcPr>
          <w:p>
            <w:pPr>
              <w:keepNext/>
              <w:spacing w:after="0"/>
              <w:jc w:val="right"/>
            </w:pPr>
            <w:r/>
            <w:r>
              <w:rPr>
                <w:sz w:val="18"/>
              </w:rPr>
              <w:t>1,063.27</w:t>
            </w:r>
          </w:p>
        </w:tc>
      </w:tr>
      <w:tr>
        <w:trPr>
          <w:cantSplit w:val="true"/>
        </w:trPr>
        <w:tc>
          <w:tcPr>
            <w:tcW w:type="dxa" w:w="3744"/>
          </w:tcPr>
          <w:p>
            <w:pPr>
              <w:keepNext/>
              <w:spacing w:after="0"/>
              <w:jc w:val="left"/>
            </w:pPr>
            <w:r/>
            <w:r>
              <w:rPr>
                <w:sz w:val="18"/>
              </w:rPr>
              <w:t>Coeficiente de variación (%)</w:t>
            </w:r>
          </w:p>
        </w:tc>
        <w:tc>
          <w:tcPr>
            <w:tcW w:type="dxa" w:w="2160"/>
          </w:tcPr>
          <w:p>
            <w:pPr>
              <w:keepNext/>
              <w:spacing w:after="0"/>
              <w:jc w:val="right"/>
            </w:pPr>
            <w:r/>
            <w:r>
              <w:rPr>
                <w:sz w:val="18"/>
              </w:rPr>
              <w:t>109.17</w:t>
            </w:r>
          </w:p>
        </w:tc>
      </w:tr>
      <w:tr>
        <w:trPr>
          <w:cantSplit w:val="true"/>
        </w:trPr>
        <w:tc>
          <w:tcPr>
            <w:tcW w:type="dxa" w:w="3744"/>
            <w:shd w:val="clear" w:color="auto" w:fill="EAF1F8"/>
          </w:tcPr>
          <w:p>
            <w:pPr>
              <w:keepNext/>
              <w:spacing w:after="0"/>
              <w:jc w:val="left"/>
            </w:pPr>
            <w:r/>
            <w:r>
              <w:rPr>
                <w:sz w:val="18"/>
              </w:rPr>
              <w:t>Asimetría</w:t>
            </w:r>
          </w:p>
        </w:tc>
        <w:tc>
          <w:tcPr>
            <w:tcW w:type="dxa" w:w="2160"/>
            <w:shd w:val="clear" w:color="auto" w:fill="EAF1F8"/>
          </w:tcPr>
          <w:p>
            <w:pPr>
              <w:keepNext/>
              <w:spacing w:after="0"/>
              <w:jc w:val="right"/>
            </w:pPr>
            <w:r/>
            <w:r>
              <w:rPr>
                <w:sz w:val="18"/>
              </w:rPr>
              <w:t>1.35</w:t>
            </w:r>
          </w:p>
        </w:tc>
      </w:tr>
      <w:tr>
        <w:trPr>
          <w:cantSplit w:val="true"/>
        </w:trPr>
        <w:tc>
          <w:tcPr>
            <w:tcW w:type="dxa" w:w="3744"/>
          </w:tcPr>
          <w:p>
            <w:pPr>
              <w:spacing w:after="0"/>
              <w:jc w:val="left"/>
            </w:pPr>
            <w:r/>
            <w:r>
              <w:rPr>
                <w:sz w:val="18"/>
              </w:rPr>
              <w:t>Curtosis (exceso)</w:t>
            </w:r>
          </w:p>
        </w:tc>
        <w:tc>
          <w:tcPr>
            <w:tcW w:type="dxa" w:w="2160"/>
          </w:tcPr>
          <w:p>
            <w:pPr>
              <w:spacing w:after="0"/>
              <w:jc w:val="right"/>
            </w:pPr>
            <w:r/>
            <w:r>
              <w:rPr>
                <w:sz w:val="18"/>
              </w:rPr>
              <w:t>1.66</w:t>
            </w:r>
          </w:p>
        </w:tc>
      </w:tr>
    </w:tbl>
    <w:p>
      <w:pPr>
        <w:spacing w:after="160"/>
      </w:pPr>
      <w:r>
        <w:rPr>
          <w:i/>
          <w:sz w:val="17"/>
        </w:rPr>
        <w:t>Fuente: cálculos propios con la base RKLB (n = 49 meses). La media (29.87) casi triplica la mediana (10.70) y el coeficiente de variación es de 109 %: distribución muy asimétrica (1.35) por el auge reciente.</w:t>
      </w:r>
    </w:p>
    <w:p>
      <w:pPr>
        <w:keepNext/>
        <w:spacing w:after="40"/>
        <w:jc w:val="center"/>
      </w:pPr>
      <w:r>
        <w:drawing>
          <wp:inline xmlns:a="http://schemas.openxmlformats.org/drawingml/2006/main" xmlns:pic="http://schemas.openxmlformats.org/drawingml/2006/picture">
            <wp:extent cx="5943600" cy="2114936"/>
            <wp:docPr id="1" name="Picture 1"/>
            <wp:cNvGraphicFramePr>
              <a:graphicFrameLocks noChangeAspect="1"/>
            </wp:cNvGraphicFramePr>
            <a:graphic>
              <a:graphicData uri="http://schemas.openxmlformats.org/drawingml/2006/picture">
                <pic:pic>
                  <pic:nvPicPr>
                    <pic:cNvPr id="0" name="fig_03_nivel.png"/>
                    <pic:cNvPicPr/>
                  </pic:nvPicPr>
                  <pic:blipFill>
                    <a:blip r:embed="rId10"/>
                    <a:stretch>
                      <a:fillRect/>
                    </a:stretch>
                  </pic:blipFill>
                  <pic:spPr>
                    <a:xfrm>
                      <a:off x="0" y="0"/>
                      <a:ext cx="5943600" cy="2114936"/>
                    </a:xfrm>
                    <a:prstGeom prst="rect"/>
                  </pic:spPr>
                </pic:pic>
              </a:graphicData>
            </a:graphic>
          </wp:inline>
        </w:drawing>
      </w:r>
    </w:p>
    <w:p>
      <w:pPr>
        <w:spacing w:after="60"/>
        <w:jc w:val="center"/>
      </w:pPr>
      <w:r>
        <w:rPr>
          <w:i/>
          <w:sz w:val="18"/>
        </w:rPr>
        <w:t>Figura 1. Precio de cierre mensual de RKLB en nivel (izquierda: escala lineal; derecha: escala logarítmica).</w:t>
      </w:r>
    </w:p>
    <w:p>
      <w:r>
        <w:rPr>
          <w:b/>
          <w:sz w:val="20"/>
        </w:rPr>
        <w:t>Interpretación.</w:t>
      </w:r>
      <w:r>
        <w:rPr>
          <w:sz w:val="20"/>
        </w:rPr>
        <w:t xml:space="preserve"> El precio permanece entre 3.76 y 7.37 USD hasta mediados de 2024 y luego sube con saltos hasta 143.48 USD en may-2026; después cae a ≈ 65–70 USD. La recta de tendencia (+1.93 USD/mes, R² = 0.715) ajusta peor que una tendencia exponencial (R² = 0.861 en logaritmos). En escala logarítmica las oscilaciones se ven más parejas, lo que confirma que la variabilidad crece con el nivel.</w:t>
      </w:r>
    </w:p>
    <w:p>
      <w:pPr>
        <w:keepNext/>
        <w:spacing w:after="60"/>
      </w:pPr>
      <w:r>
        <w:rPr>
          <w:b/>
          <w:sz w:val="19"/>
        </w:rPr>
        <w:t>Tabla 5. Precio de cierre por año calendario</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val="true"/>
          <w:tblHeader w:val="true"/>
        </w:trPr>
        <w:tc>
          <w:tcPr>
            <w:tcW w:type="dxa" w:w="1337"/>
            <w:shd w:val="clear" w:color="auto" w:fill="1F4E79"/>
          </w:tcPr>
          <w:p>
            <w:pPr>
              <w:keepNext/>
              <w:jc w:val="center"/>
            </w:pPr>
            <w:r/>
            <w:r>
              <w:rPr>
                <w:b/>
                <w:color w:val="FFFFFF"/>
                <w:sz w:val="18"/>
              </w:rPr>
              <w:t>Año</w:t>
            </w:r>
          </w:p>
        </w:tc>
        <w:tc>
          <w:tcPr>
            <w:tcW w:type="dxa" w:w="1337"/>
            <w:shd w:val="clear" w:color="auto" w:fill="1F4E79"/>
          </w:tcPr>
          <w:p>
            <w:pPr>
              <w:keepNext/>
              <w:jc w:val="center"/>
            </w:pPr>
            <w:r/>
            <w:r>
              <w:rPr>
                <w:b/>
                <w:color w:val="FFFFFF"/>
                <w:sz w:val="18"/>
              </w:rPr>
              <w:t>n</w:t>
            </w:r>
          </w:p>
        </w:tc>
        <w:tc>
          <w:tcPr>
            <w:tcW w:type="dxa" w:w="1337"/>
            <w:shd w:val="clear" w:color="auto" w:fill="1F4E79"/>
          </w:tcPr>
          <w:p>
            <w:pPr>
              <w:keepNext/>
              <w:jc w:val="center"/>
            </w:pPr>
            <w:r/>
            <w:r>
              <w:rPr>
                <w:b/>
                <w:color w:val="FFFFFF"/>
                <w:sz w:val="18"/>
              </w:rPr>
              <w:t>Media (USD)</w:t>
            </w:r>
          </w:p>
        </w:tc>
        <w:tc>
          <w:tcPr>
            <w:tcW w:type="dxa" w:w="1337"/>
            <w:shd w:val="clear" w:color="auto" w:fill="1F4E79"/>
          </w:tcPr>
          <w:p>
            <w:pPr>
              <w:keepNext/>
              <w:jc w:val="center"/>
            </w:pPr>
            <w:r/>
            <w:r>
              <w:rPr>
                <w:b/>
                <w:color w:val="FFFFFF"/>
                <w:sz w:val="18"/>
              </w:rPr>
              <w:t>Desv. est. (USD)</w:t>
            </w:r>
          </w:p>
        </w:tc>
        <w:tc>
          <w:tcPr>
            <w:tcW w:type="dxa" w:w="1337"/>
            <w:shd w:val="clear" w:color="auto" w:fill="1F4E79"/>
          </w:tcPr>
          <w:p>
            <w:pPr>
              <w:keepNext/>
              <w:jc w:val="center"/>
            </w:pPr>
            <w:r/>
            <w:r>
              <w:rPr>
                <w:b/>
                <w:color w:val="FFFFFF"/>
                <w:sz w:val="18"/>
              </w:rPr>
              <w:t>Mín. (USD)</w:t>
            </w:r>
          </w:p>
        </w:tc>
        <w:tc>
          <w:tcPr>
            <w:tcW w:type="dxa" w:w="1337"/>
            <w:shd w:val="clear" w:color="auto" w:fill="1F4E79"/>
          </w:tcPr>
          <w:p>
            <w:pPr>
              <w:keepNext/>
              <w:jc w:val="center"/>
            </w:pPr>
            <w:r/>
            <w:r>
              <w:rPr>
                <w:b/>
                <w:color w:val="FFFFFF"/>
                <w:sz w:val="18"/>
              </w:rPr>
              <w:t>Máx. (USD)</w:t>
            </w:r>
          </w:p>
        </w:tc>
        <w:tc>
          <w:tcPr>
            <w:tcW w:type="dxa" w:w="1337"/>
            <w:shd w:val="clear" w:color="auto" w:fill="1F4E79"/>
          </w:tcPr>
          <w:p>
            <w:pPr>
              <w:keepNext/>
              <w:jc w:val="center"/>
            </w:pPr>
            <w:r/>
            <w:r>
              <w:rPr>
                <w:b/>
                <w:color w:val="FFFFFF"/>
                <w:sz w:val="18"/>
              </w:rPr>
              <w:t>Coef. var. (%)</w:t>
            </w:r>
          </w:p>
        </w:tc>
      </w:tr>
      <w:tr>
        <w:trPr>
          <w:cantSplit w:val="true"/>
        </w:trPr>
        <w:tc>
          <w:tcPr>
            <w:tcW w:type="dxa" w:w="1337"/>
          </w:tcPr>
          <w:p>
            <w:pPr>
              <w:keepNext/>
              <w:spacing w:after="0"/>
              <w:jc w:val="left"/>
            </w:pPr>
            <w:r/>
            <w:r>
              <w:rPr>
                <w:sz w:val="18"/>
              </w:rPr>
              <w:t>2022</w:t>
            </w:r>
          </w:p>
        </w:tc>
        <w:tc>
          <w:tcPr>
            <w:tcW w:type="dxa" w:w="1337"/>
          </w:tcPr>
          <w:p>
            <w:pPr>
              <w:keepNext/>
              <w:spacing w:after="0"/>
              <w:jc w:val="right"/>
            </w:pPr>
            <w:r/>
            <w:r>
              <w:rPr>
                <w:sz w:val="18"/>
              </w:rPr>
              <w:t>3</w:t>
            </w:r>
          </w:p>
        </w:tc>
        <w:tc>
          <w:tcPr>
            <w:tcW w:type="dxa" w:w="1337"/>
          </w:tcPr>
          <w:p>
            <w:pPr>
              <w:keepNext/>
              <w:spacing w:after="0"/>
              <w:jc w:val="right"/>
            </w:pPr>
            <w:r/>
            <w:r>
              <w:rPr>
                <w:sz w:val="18"/>
              </w:rPr>
              <w:t>4.35</w:t>
            </w:r>
          </w:p>
        </w:tc>
        <w:tc>
          <w:tcPr>
            <w:tcW w:type="dxa" w:w="1337"/>
          </w:tcPr>
          <w:p>
            <w:pPr>
              <w:keepNext/>
              <w:spacing w:after="0"/>
              <w:jc w:val="right"/>
            </w:pPr>
            <w:r/>
            <w:r>
              <w:rPr>
                <w:sz w:val="18"/>
              </w:rPr>
              <w:t>0.67</w:t>
            </w:r>
          </w:p>
        </w:tc>
        <w:tc>
          <w:tcPr>
            <w:tcW w:type="dxa" w:w="1337"/>
          </w:tcPr>
          <w:p>
            <w:pPr>
              <w:keepNext/>
              <w:spacing w:after="0"/>
              <w:jc w:val="right"/>
            </w:pPr>
            <w:r/>
            <w:r>
              <w:rPr>
                <w:sz w:val="18"/>
              </w:rPr>
              <w:t>3.77</w:t>
            </w:r>
          </w:p>
        </w:tc>
        <w:tc>
          <w:tcPr>
            <w:tcW w:type="dxa" w:w="1337"/>
          </w:tcPr>
          <w:p>
            <w:pPr>
              <w:keepNext/>
              <w:spacing w:after="0"/>
              <w:jc w:val="right"/>
            </w:pPr>
            <w:r/>
            <w:r>
              <w:rPr>
                <w:sz w:val="18"/>
              </w:rPr>
              <w:t>5.09</w:t>
            </w:r>
          </w:p>
        </w:tc>
        <w:tc>
          <w:tcPr>
            <w:tcW w:type="dxa" w:w="1337"/>
          </w:tcPr>
          <w:p>
            <w:pPr>
              <w:keepNext/>
              <w:spacing w:after="0"/>
              <w:jc w:val="right"/>
            </w:pPr>
            <w:r/>
            <w:r>
              <w:rPr>
                <w:sz w:val="18"/>
              </w:rPr>
              <w:t>15.50</w:t>
            </w:r>
          </w:p>
        </w:tc>
      </w:tr>
      <w:tr>
        <w:trPr>
          <w:cantSplit w:val="true"/>
        </w:trPr>
        <w:tc>
          <w:tcPr>
            <w:tcW w:type="dxa" w:w="1337"/>
            <w:shd w:val="clear" w:color="auto" w:fill="EAF1F8"/>
          </w:tcPr>
          <w:p>
            <w:pPr>
              <w:keepNext/>
              <w:spacing w:after="0"/>
              <w:jc w:val="left"/>
            </w:pPr>
            <w:r/>
            <w:r>
              <w:rPr>
                <w:sz w:val="18"/>
              </w:rPr>
              <w:t>2023</w:t>
            </w:r>
          </w:p>
        </w:tc>
        <w:tc>
          <w:tcPr>
            <w:tcW w:type="dxa" w:w="1337"/>
            <w:shd w:val="clear" w:color="auto" w:fill="EAF1F8"/>
          </w:tcPr>
          <w:p>
            <w:pPr>
              <w:keepNext/>
              <w:spacing w:after="0"/>
              <w:jc w:val="right"/>
            </w:pPr>
            <w:r/>
            <w:r>
              <w:rPr>
                <w:sz w:val="18"/>
              </w:rPr>
              <w:t>12</w:t>
            </w:r>
          </w:p>
        </w:tc>
        <w:tc>
          <w:tcPr>
            <w:tcW w:type="dxa" w:w="1337"/>
            <w:shd w:val="clear" w:color="auto" w:fill="EAF1F8"/>
          </w:tcPr>
          <w:p>
            <w:pPr>
              <w:keepNext/>
              <w:spacing w:after="0"/>
              <w:jc w:val="right"/>
            </w:pPr>
            <w:r/>
            <w:r>
              <w:rPr>
                <w:sz w:val="18"/>
              </w:rPr>
              <w:t>5.02</w:t>
            </w:r>
          </w:p>
        </w:tc>
        <w:tc>
          <w:tcPr>
            <w:tcW w:type="dxa" w:w="1337"/>
            <w:shd w:val="clear" w:color="auto" w:fill="EAF1F8"/>
          </w:tcPr>
          <w:p>
            <w:pPr>
              <w:keepNext/>
              <w:spacing w:after="0"/>
              <w:jc w:val="right"/>
            </w:pPr>
            <w:r/>
            <w:r>
              <w:rPr>
                <w:sz w:val="18"/>
              </w:rPr>
              <w:t>1.07</w:t>
            </w:r>
          </w:p>
        </w:tc>
        <w:tc>
          <w:tcPr>
            <w:tcW w:type="dxa" w:w="1337"/>
            <w:shd w:val="clear" w:color="auto" w:fill="EAF1F8"/>
          </w:tcPr>
          <w:p>
            <w:pPr>
              <w:keepNext/>
              <w:spacing w:after="0"/>
              <w:jc w:val="right"/>
            </w:pPr>
            <w:r/>
            <w:r>
              <w:rPr>
                <w:sz w:val="18"/>
              </w:rPr>
              <w:t>3.92</w:t>
            </w:r>
          </w:p>
        </w:tc>
        <w:tc>
          <w:tcPr>
            <w:tcW w:type="dxa" w:w="1337"/>
            <w:shd w:val="clear" w:color="auto" w:fill="EAF1F8"/>
          </w:tcPr>
          <w:p>
            <w:pPr>
              <w:keepNext/>
              <w:spacing w:after="0"/>
              <w:jc w:val="right"/>
            </w:pPr>
            <w:r/>
            <w:r>
              <w:rPr>
                <w:sz w:val="18"/>
              </w:rPr>
              <w:t>7.37</w:t>
            </w:r>
          </w:p>
        </w:tc>
        <w:tc>
          <w:tcPr>
            <w:tcW w:type="dxa" w:w="1337"/>
            <w:shd w:val="clear" w:color="auto" w:fill="EAF1F8"/>
          </w:tcPr>
          <w:p>
            <w:pPr>
              <w:keepNext/>
              <w:spacing w:after="0"/>
              <w:jc w:val="right"/>
            </w:pPr>
            <w:r/>
            <w:r>
              <w:rPr>
                <w:sz w:val="18"/>
              </w:rPr>
              <w:t>21.23</w:t>
            </w:r>
          </w:p>
        </w:tc>
      </w:tr>
      <w:tr>
        <w:trPr>
          <w:cantSplit w:val="true"/>
        </w:trPr>
        <w:tc>
          <w:tcPr>
            <w:tcW w:type="dxa" w:w="1337"/>
          </w:tcPr>
          <w:p>
            <w:pPr>
              <w:keepNext/>
              <w:spacing w:after="0"/>
              <w:jc w:val="left"/>
            </w:pPr>
            <w:r/>
            <w:r>
              <w:rPr>
                <w:sz w:val="18"/>
              </w:rPr>
              <w:t>2024</w:t>
            </w:r>
          </w:p>
        </w:tc>
        <w:tc>
          <w:tcPr>
            <w:tcW w:type="dxa" w:w="1337"/>
          </w:tcPr>
          <w:p>
            <w:pPr>
              <w:keepNext/>
              <w:spacing w:after="0"/>
              <w:jc w:val="right"/>
            </w:pPr>
            <w:r/>
            <w:r>
              <w:rPr>
                <w:sz w:val="18"/>
              </w:rPr>
              <w:t>12</w:t>
            </w:r>
          </w:p>
        </w:tc>
        <w:tc>
          <w:tcPr>
            <w:tcW w:type="dxa" w:w="1337"/>
          </w:tcPr>
          <w:p>
            <w:pPr>
              <w:keepNext/>
              <w:spacing w:after="0"/>
              <w:jc w:val="right"/>
            </w:pPr>
            <w:r/>
            <w:r>
              <w:rPr>
                <w:sz w:val="18"/>
              </w:rPr>
              <w:t>9.26</w:t>
            </w:r>
          </w:p>
        </w:tc>
        <w:tc>
          <w:tcPr>
            <w:tcW w:type="dxa" w:w="1337"/>
          </w:tcPr>
          <w:p>
            <w:pPr>
              <w:keepNext/>
              <w:spacing w:after="0"/>
              <w:jc w:val="right"/>
            </w:pPr>
            <w:r/>
            <w:r>
              <w:rPr>
                <w:sz w:val="18"/>
              </w:rPr>
              <w:t>8.29</w:t>
            </w:r>
          </w:p>
        </w:tc>
        <w:tc>
          <w:tcPr>
            <w:tcW w:type="dxa" w:w="1337"/>
          </w:tcPr>
          <w:p>
            <w:pPr>
              <w:keepNext/>
              <w:spacing w:after="0"/>
              <w:jc w:val="right"/>
            </w:pPr>
            <w:r/>
            <w:r>
              <w:rPr>
                <w:sz w:val="18"/>
              </w:rPr>
              <w:t>3.76</w:t>
            </w:r>
          </w:p>
        </w:tc>
        <w:tc>
          <w:tcPr>
            <w:tcW w:type="dxa" w:w="1337"/>
          </w:tcPr>
          <w:p>
            <w:pPr>
              <w:keepNext/>
              <w:spacing w:after="0"/>
              <w:jc w:val="right"/>
            </w:pPr>
            <w:r/>
            <w:r>
              <w:rPr>
                <w:sz w:val="18"/>
              </w:rPr>
              <w:t>27.28</w:t>
            </w:r>
          </w:p>
        </w:tc>
        <w:tc>
          <w:tcPr>
            <w:tcW w:type="dxa" w:w="1337"/>
          </w:tcPr>
          <w:p>
            <w:pPr>
              <w:keepNext/>
              <w:spacing w:after="0"/>
              <w:jc w:val="right"/>
            </w:pPr>
            <w:r/>
            <w:r>
              <w:rPr>
                <w:sz w:val="18"/>
              </w:rPr>
              <w:t>89.54</w:t>
            </w:r>
          </w:p>
        </w:tc>
      </w:tr>
      <w:tr>
        <w:trPr>
          <w:cantSplit w:val="true"/>
        </w:trPr>
        <w:tc>
          <w:tcPr>
            <w:tcW w:type="dxa" w:w="1337"/>
            <w:shd w:val="clear" w:color="auto" w:fill="EAF1F8"/>
          </w:tcPr>
          <w:p>
            <w:pPr>
              <w:keepNext/>
              <w:spacing w:after="0"/>
              <w:jc w:val="left"/>
            </w:pPr>
            <w:r/>
            <w:r>
              <w:rPr>
                <w:sz w:val="18"/>
              </w:rPr>
              <w:t>2025</w:t>
            </w:r>
          </w:p>
        </w:tc>
        <w:tc>
          <w:tcPr>
            <w:tcW w:type="dxa" w:w="1337"/>
            <w:shd w:val="clear" w:color="auto" w:fill="EAF1F8"/>
          </w:tcPr>
          <w:p>
            <w:pPr>
              <w:keepNext/>
              <w:spacing w:after="0"/>
              <w:jc w:val="right"/>
            </w:pPr>
            <w:r/>
            <w:r>
              <w:rPr>
                <w:sz w:val="18"/>
              </w:rPr>
              <w:t>12</w:t>
            </w:r>
          </w:p>
        </w:tc>
        <w:tc>
          <w:tcPr>
            <w:tcW w:type="dxa" w:w="1337"/>
            <w:shd w:val="clear" w:color="auto" w:fill="EAF1F8"/>
          </w:tcPr>
          <w:p>
            <w:pPr>
              <w:keepNext/>
              <w:spacing w:after="0"/>
              <w:jc w:val="right"/>
            </w:pPr>
            <w:r/>
            <w:r>
              <w:rPr>
                <w:sz w:val="18"/>
              </w:rPr>
              <w:t>39.09</w:t>
            </w:r>
          </w:p>
        </w:tc>
        <w:tc>
          <w:tcPr>
            <w:tcW w:type="dxa" w:w="1337"/>
            <w:shd w:val="clear" w:color="auto" w:fill="EAF1F8"/>
          </w:tcPr>
          <w:p>
            <w:pPr>
              <w:keepNext/>
              <w:spacing w:after="0"/>
              <w:jc w:val="right"/>
            </w:pPr>
            <w:r/>
            <w:r>
              <w:rPr>
                <w:sz w:val="18"/>
              </w:rPr>
              <w:t>16.77</w:t>
            </w:r>
          </w:p>
        </w:tc>
        <w:tc>
          <w:tcPr>
            <w:tcW w:type="dxa" w:w="1337"/>
            <w:shd w:val="clear" w:color="auto" w:fill="EAF1F8"/>
          </w:tcPr>
          <w:p>
            <w:pPr>
              <w:keepNext/>
              <w:spacing w:after="0"/>
              <w:jc w:val="right"/>
            </w:pPr>
            <w:r/>
            <w:r>
              <w:rPr>
                <w:sz w:val="18"/>
              </w:rPr>
              <w:t>17.88</w:t>
            </w:r>
          </w:p>
        </w:tc>
        <w:tc>
          <w:tcPr>
            <w:tcW w:type="dxa" w:w="1337"/>
            <w:shd w:val="clear" w:color="auto" w:fill="EAF1F8"/>
          </w:tcPr>
          <w:p>
            <w:pPr>
              <w:keepNext/>
              <w:spacing w:after="0"/>
              <w:jc w:val="right"/>
            </w:pPr>
            <w:r/>
            <w:r>
              <w:rPr>
                <w:sz w:val="18"/>
              </w:rPr>
              <w:t>69.76</w:t>
            </w:r>
          </w:p>
        </w:tc>
        <w:tc>
          <w:tcPr>
            <w:tcW w:type="dxa" w:w="1337"/>
            <w:shd w:val="clear" w:color="auto" w:fill="EAF1F8"/>
          </w:tcPr>
          <w:p>
            <w:pPr>
              <w:keepNext/>
              <w:spacing w:after="0"/>
              <w:jc w:val="right"/>
            </w:pPr>
            <w:r/>
            <w:r>
              <w:rPr>
                <w:sz w:val="18"/>
              </w:rPr>
              <w:t>42.90</w:t>
            </w:r>
          </w:p>
        </w:tc>
      </w:tr>
      <w:tr>
        <w:trPr>
          <w:cantSplit w:val="true"/>
        </w:trPr>
        <w:tc>
          <w:tcPr>
            <w:tcW w:type="dxa" w:w="1337"/>
          </w:tcPr>
          <w:p>
            <w:pPr>
              <w:spacing w:after="0"/>
              <w:jc w:val="left"/>
            </w:pPr>
            <w:r/>
            <w:r>
              <w:rPr>
                <w:sz w:val="18"/>
              </w:rPr>
              <w:t>2026</w:t>
            </w:r>
          </w:p>
        </w:tc>
        <w:tc>
          <w:tcPr>
            <w:tcW w:type="dxa" w:w="1337"/>
          </w:tcPr>
          <w:p>
            <w:pPr>
              <w:spacing w:after="0"/>
              <w:jc w:val="right"/>
            </w:pPr>
            <w:r/>
            <w:r>
              <w:rPr>
                <w:sz w:val="18"/>
              </w:rPr>
              <w:t>10</w:t>
            </w:r>
          </w:p>
        </w:tc>
        <w:tc>
          <w:tcPr>
            <w:tcW w:type="dxa" w:w="1337"/>
          </w:tcPr>
          <w:p>
            <w:pPr>
              <w:spacing w:after="0"/>
              <w:jc w:val="right"/>
            </w:pPr>
            <w:r/>
            <w:r>
              <w:rPr>
                <w:sz w:val="18"/>
              </w:rPr>
              <w:t>81.00</w:t>
            </w:r>
          </w:p>
        </w:tc>
        <w:tc>
          <w:tcPr>
            <w:tcW w:type="dxa" w:w="1337"/>
          </w:tcPr>
          <w:p>
            <w:pPr>
              <w:spacing w:after="0"/>
              <w:jc w:val="right"/>
            </w:pPr>
            <w:r/>
            <w:r>
              <w:rPr>
                <w:sz w:val="18"/>
              </w:rPr>
              <w:t>24.82</w:t>
            </w:r>
          </w:p>
        </w:tc>
        <w:tc>
          <w:tcPr>
            <w:tcW w:type="dxa" w:w="1337"/>
          </w:tcPr>
          <w:p>
            <w:pPr>
              <w:spacing w:after="0"/>
              <w:jc w:val="right"/>
            </w:pPr>
            <w:r/>
            <w:r>
              <w:rPr>
                <w:sz w:val="18"/>
              </w:rPr>
              <w:t>63.92</w:t>
            </w:r>
          </w:p>
        </w:tc>
        <w:tc>
          <w:tcPr>
            <w:tcW w:type="dxa" w:w="1337"/>
          </w:tcPr>
          <w:p>
            <w:pPr>
              <w:spacing w:after="0"/>
              <w:jc w:val="right"/>
            </w:pPr>
            <w:r/>
            <w:r>
              <w:rPr>
                <w:sz w:val="18"/>
              </w:rPr>
              <w:t>143.48</w:t>
            </w:r>
          </w:p>
        </w:tc>
        <w:tc>
          <w:tcPr>
            <w:tcW w:type="dxa" w:w="1337"/>
          </w:tcPr>
          <w:p>
            <w:pPr>
              <w:spacing w:after="0"/>
              <w:jc w:val="right"/>
            </w:pPr>
            <w:r/>
            <w:r>
              <w:rPr>
                <w:sz w:val="18"/>
              </w:rPr>
              <w:t>30.64</w:t>
            </w:r>
          </w:p>
        </w:tc>
      </w:tr>
    </w:tbl>
    <w:p>
      <w:pPr>
        <w:spacing w:after="160"/>
      </w:pPr>
      <w:r>
        <w:rPr>
          <w:i/>
          <w:sz w:val="17"/>
        </w:rPr>
        <w:t>2022 incluye solo oct–dic; 2026 incluye ene–oct (oct parcial). Interpretación: la desviación estándar pasa de 0.67 a 24.82 USD, evidencia de variabilidad no constante.</w:t>
      </w:r>
    </w:p>
    <w:p>
      <w:pPr>
        <w:pStyle w:val="Heading3"/>
      </w:pPr>
      <w:r>
        <w:t>Respuestas a las preguntas de la sección</w:t>
      </w:r>
    </w:p>
    <w:p>
      <w:pPr>
        <w:keepNext/>
        <w:spacing w:after="20"/>
      </w:pPr>
      <w:r>
        <w:rPr>
          <w:b/>
        </w:rPr>
        <w:t>¿Se observa tendencia?</w:t>
      </w:r>
    </w:p>
    <w:p>
      <w:pPr>
        <w:ind w:left="288"/>
      </w:pPr>
      <w:r>
        <w:t xml:space="preserve">Sí, una </w:t>
      </w:r>
      <w:r>
        <w:rPr>
          <w:b/>
        </w:rPr>
        <w:t>tendencia creciente muy marcada pero no monótona</w:t>
      </w:r>
      <w:r>
        <w:t xml:space="preserve">. El precio pasó de 5.09 USD (oct-2022) a 70.46 USD (oct-2026), un aumento de 1,284 %. La recta de tendencia suma 1.93 USD por mes (p &lt; 0.001; R² = 0.715), y en logaritmos el crecimiento equivale a 8.2 % mensual compuesto (R² = 0.861), es decir, la trayectoria es más exponencial que lineal. De oct-2022 a mediados de 2024 el precio estuvo plano entre 3.76 y 7.37 USD; desde nov-2024 despegó, alcanzó el máximo de </w:t>
      </w:r>
      <w:r>
        <w:rPr>
          <w:b/>
        </w:rPr>
        <w:t>143.48 USD en may-2026</w:t>
      </w:r>
      <w:r>
        <w:t xml:space="preserve"> y después cayó 50.9 % hasta el último dato.</w:t>
      </w:r>
    </w:p>
    <w:p>
      <w:pPr>
        <w:keepNext/>
        <w:spacing w:after="20"/>
      </w:pPr>
      <w:r>
        <w:rPr>
          <w:b/>
        </w:rPr>
        <w:t>¿Hay algún patrón repetitivo?</w:t>
      </w:r>
    </w:p>
    <w:p>
      <w:pPr>
        <w:ind w:left="288"/>
      </w:pPr>
      <w:r>
        <w:t xml:space="preserve">No hay una estacionalidad clara. Lo que se repite son </w:t>
      </w:r>
      <w:r>
        <w:rPr>
          <w:b/>
        </w:rPr>
        <w:t>ciclos de auge y corrección</w:t>
      </w:r>
      <w:r>
        <w:t>: una racha de 7 alzas mensuales consecutivas entre may-2024 y nov-2024 (cambio logarítmico acumulado de 198.2 %), otra de 5 alzas entre abr-2025 y ago-2025 (100.0 %), seguidas de caídas. Por mes calendario, 10 de 12 meses tienen cambio promedio positivo (reflejo de la tendencia); solo febrero (−16.3 %) y marzo (−10.7 %) tienen media y mediana negativas, pero hay apenas 4 observaciones por mes y la desviación mensual es de 26.0 %, así que no se puede afirmar un patrón estacional.</w:t>
      </w:r>
    </w:p>
    <w:p>
      <w:pPr>
        <w:keepNext/>
        <w:spacing w:after="20"/>
      </w:pPr>
      <w:r>
        <w:rPr>
          <w:b/>
        </w:rPr>
        <w:t>¿La variabilidad parece constante?</w:t>
      </w:r>
    </w:p>
    <w:p>
      <w:pPr>
        <w:ind w:left="288"/>
      </w:pPr>
      <w:r>
        <w:t>No. La desviación estándar del precio crece año con año: 0.67 USD (2022), 1.07 (2023), 8.29 (2024), 16.77 (2025) y 24.82 (2026). La primera mitad de la muestra tiene desviación de 1.35 USD y la segunda de 30.28 USD (</w:t>
      </w:r>
      <w:r>
        <w:rPr>
          <w:b/>
        </w:rPr>
        <w:t>22.5 veces mayor</w:t>
      </w:r>
      <w:r>
        <w:t>). La variabilidad aumenta junto con el nivel (heterocedasticidad), por lo que en el panel de escala logarítmica las oscilaciones se ven más parejas que en la escala lineal.</w:t>
      </w:r>
    </w:p>
    <w:p>
      <w:pPr>
        <w:keepNext/>
        <w:spacing w:after="20"/>
      </w:pPr>
      <w:r>
        <w:rPr>
          <w:b/>
        </w:rPr>
        <w:t>¿Qué periodos llaman particularmente la atención?</w:t>
      </w:r>
    </w:p>
    <w:p>
      <w:pPr>
        <w:ind w:left="288"/>
      </w:pPr>
      <w:r>
        <w:t xml:space="preserve">(1) </w:t>
      </w:r>
      <w:r>
        <w:rPr>
          <w:b/>
        </w:rPr>
        <w:t>nov-2024</w:t>
      </w:r>
      <w:r>
        <w:t xml:space="preserve">: el precio pasó de 10.70 a 27.28 USD en un solo mes (+154.95 %), el mayor salto de la muestra y el inicio de un nuevo rango de precios (desde entonces nunca volvió por debajo de 17.88 USD). (2) </w:t>
      </w:r>
      <w:r>
        <w:rPr>
          <w:b/>
        </w:rPr>
        <w:t>dic-2025 y may-2026</w:t>
      </w:r>
      <w:r>
        <w:t xml:space="preserve">: alzas de +65.5 % y +73.9 %, esta última hasta el máximo de 143.48 USD. (3) </w:t>
      </w:r>
      <w:r>
        <w:rPr>
          <w:b/>
        </w:rPr>
        <w:t>jun-2026 y jul-2026</w:t>
      </w:r>
      <w:r>
        <w:t xml:space="preserve">: caídas de −29.2 % y −36.1 % (de 143.48 a 64.95 USD en dos meses). (4) </w:t>
      </w:r>
      <w:r>
        <w:rPr>
          <w:b/>
        </w:rPr>
        <w:t>sep-2023</w:t>
      </w:r>
      <w:r>
        <w:t>: caída de −30.6 % cuando el precio era de solo 4–6 USD. (5) El mínimo de 3.76 USD en abr-2024.</w:t>
      </w:r>
    </w:p>
    <w:p>
      <w:pPr>
        <w:pStyle w:val="Heading1"/>
      </w:pPr>
      <w:r>
        <w:t>4. Primera diferencia (ΔYₜ = Yₜ − Yₜ₋₁)</w:t>
      </w:r>
    </w:p>
    <w:p>
      <w:pPr>
        <w:keepNext/>
        <w:spacing w:after="60"/>
      </w:pPr>
      <w:r>
        <w:rPr>
          <w:b/>
          <w:sz w:val="19"/>
        </w:rPr>
        <w:t>Tabla 6. Primera diferencia (primeras 8 observaciones; la tabla completa está en el notebook)</w:t>
      </w:r>
    </w:p>
    <w:tbl>
      <w:tblPr>
        <w:tblStyle w:val="TableGrid"/>
        <w:tblW w:type="auto" w:w="0"/>
        <w:jc w:val="center"/>
        <w:tblLook w:firstColumn="1" w:firstRow="1" w:lastColumn="0" w:lastRow="0" w:noHBand="0" w:noVBand="1" w:val="04A0"/>
      </w:tblPr>
      <w:tblGrid>
        <w:gridCol w:w="3120"/>
        <w:gridCol w:w="3120"/>
        <w:gridCol w:w="3120"/>
      </w:tblGrid>
      <w:tr>
        <w:trPr>
          <w:cantSplit w:val="true"/>
          <w:tblHeader w:val="true"/>
        </w:trPr>
        <w:tc>
          <w:tcPr>
            <w:tcW w:type="dxa" w:w="1872"/>
            <w:shd w:val="clear" w:color="auto" w:fill="1F4E79"/>
          </w:tcPr>
          <w:p>
            <w:pPr>
              <w:keepNext/>
              <w:jc w:val="center"/>
            </w:pPr>
            <w:r/>
            <w:r>
              <w:rPr>
                <w:b/>
                <w:color w:val="FFFFFF"/>
                <w:sz w:val="18"/>
              </w:rPr>
              <w:t>Mes</w:t>
            </w:r>
          </w:p>
        </w:tc>
        <w:tc>
          <w:tcPr>
            <w:tcW w:type="dxa" w:w="2160"/>
            <w:shd w:val="clear" w:color="auto" w:fill="1F4E79"/>
          </w:tcPr>
          <w:p>
            <w:pPr>
              <w:keepNext/>
              <w:jc w:val="center"/>
            </w:pPr>
            <w:r/>
            <w:r>
              <w:rPr>
                <w:b/>
                <w:color w:val="FFFFFF"/>
                <w:sz w:val="18"/>
              </w:rPr>
              <w:t>Cierre (USD)</w:t>
            </w:r>
          </w:p>
        </w:tc>
        <w:tc>
          <w:tcPr>
            <w:tcW w:type="dxa" w:w="2160"/>
            <w:shd w:val="clear" w:color="auto" w:fill="1F4E79"/>
          </w:tcPr>
          <w:p>
            <w:pPr>
              <w:keepNext/>
              <w:jc w:val="center"/>
            </w:pPr>
            <w:r/>
            <w:r>
              <w:rPr>
                <w:b/>
                <w:color w:val="FFFFFF"/>
                <w:sz w:val="18"/>
              </w:rPr>
              <w:t>ΔY (USD)</w:t>
            </w:r>
          </w:p>
        </w:tc>
      </w:tr>
      <w:tr>
        <w:trPr>
          <w:cantSplit w:val="true"/>
        </w:trPr>
        <w:tc>
          <w:tcPr>
            <w:tcW w:type="dxa" w:w="1872"/>
          </w:tcPr>
          <w:p>
            <w:pPr>
              <w:keepNext/>
              <w:spacing w:after="0"/>
              <w:jc w:val="left"/>
            </w:pPr>
            <w:r/>
            <w:r>
              <w:rPr>
                <w:sz w:val="18"/>
              </w:rPr>
              <w:t>2022-10</w:t>
            </w:r>
          </w:p>
        </w:tc>
        <w:tc>
          <w:tcPr>
            <w:tcW w:type="dxa" w:w="2160"/>
          </w:tcPr>
          <w:p>
            <w:pPr>
              <w:keepNext/>
              <w:spacing w:after="0"/>
              <w:jc w:val="right"/>
            </w:pPr>
            <w:r/>
            <w:r>
              <w:rPr>
                <w:sz w:val="18"/>
              </w:rPr>
              <w:t>5.09</w:t>
            </w:r>
          </w:p>
        </w:tc>
        <w:tc>
          <w:tcPr>
            <w:tcW w:type="dxa" w:w="2160"/>
          </w:tcPr>
          <w:p>
            <w:pPr>
              <w:keepNext/>
              <w:spacing w:after="0"/>
              <w:jc w:val="right"/>
            </w:pPr>
            <w:r/>
            <w:r>
              <w:rPr>
                <w:sz w:val="18"/>
              </w:rPr>
              <w:t>NaN</w:t>
            </w:r>
          </w:p>
        </w:tc>
      </w:tr>
      <w:tr>
        <w:trPr>
          <w:cantSplit w:val="true"/>
        </w:trPr>
        <w:tc>
          <w:tcPr>
            <w:tcW w:type="dxa" w:w="1872"/>
            <w:shd w:val="clear" w:color="auto" w:fill="EAF1F8"/>
          </w:tcPr>
          <w:p>
            <w:pPr>
              <w:keepNext/>
              <w:spacing w:after="0"/>
              <w:jc w:val="left"/>
            </w:pPr>
            <w:r/>
            <w:r>
              <w:rPr>
                <w:sz w:val="18"/>
              </w:rPr>
              <w:t>2022-11</w:t>
            </w:r>
          </w:p>
        </w:tc>
        <w:tc>
          <w:tcPr>
            <w:tcW w:type="dxa" w:w="2160"/>
            <w:shd w:val="clear" w:color="auto" w:fill="EAF1F8"/>
          </w:tcPr>
          <w:p>
            <w:pPr>
              <w:keepNext/>
              <w:spacing w:after="0"/>
              <w:jc w:val="right"/>
            </w:pPr>
            <w:r/>
            <w:r>
              <w:rPr>
                <w:sz w:val="18"/>
              </w:rPr>
              <w:t>4.19</w:t>
            </w:r>
          </w:p>
        </w:tc>
        <w:tc>
          <w:tcPr>
            <w:tcW w:type="dxa" w:w="2160"/>
            <w:shd w:val="clear" w:color="auto" w:fill="EAF1F8"/>
          </w:tcPr>
          <w:p>
            <w:pPr>
              <w:keepNext/>
              <w:spacing w:after="0"/>
              <w:jc w:val="right"/>
            </w:pPr>
            <w:r/>
            <w:r>
              <w:rPr>
                <w:sz w:val="18"/>
              </w:rPr>
              <w:t>-0.90</w:t>
            </w:r>
          </w:p>
        </w:tc>
      </w:tr>
      <w:tr>
        <w:trPr>
          <w:cantSplit w:val="true"/>
        </w:trPr>
        <w:tc>
          <w:tcPr>
            <w:tcW w:type="dxa" w:w="1872"/>
          </w:tcPr>
          <w:p>
            <w:pPr>
              <w:keepNext/>
              <w:spacing w:after="0"/>
              <w:jc w:val="left"/>
            </w:pPr>
            <w:r/>
            <w:r>
              <w:rPr>
                <w:sz w:val="18"/>
              </w:rPr>
              <w:t>2022-12</w:t>
            </w:r>
          </w:p>
        </w:tc>
        <w:tc>
          <w:tcPr>
            <w:tcW w:type="dxa" w:w="2160"/>
          </w:tcPr>
          <w:p>
            <w:pPr>
              <w:keepNext/>
              <w:spacing w:after="0"/>
              <w:jc w:val="right"/>
            </w:pPr>
            <w:r/>
            <w:r>
              <w:rPr>
                <w:sz w:val="18"/>
              </w:rPr>
              <w:t>3.77</w:t>
            </w:r>
          </w:p>
        </w:tc>
        <w:tc>
          <w:tcPr>
            <w:tcW w:type="dxa" w:w="2160"/>
          </w:tcPr>
          <w:p>
            <w:pPr>
              <w:keepNext/>
              <w:spacing w:after="0"/>
              <w:jc w:val="right"/>
            </w:pPr>
            <w:r/>
            <w:r>
              <w:rPr>
                <w:sz w:val="18"/>
              </w:rPr>
              <w:t>-0.42</w:t>
            </w:r>
          </w:p>
        </w:tc>
      </w:tr>
      <w:tr>
        <w:trPr>
          <w:cantSplit w:val="true"/>
        </w:trPr>
        <w:tc>
          <w:tcPr>
            <w:tcW w:type="dxa" w:w="1872"/>
            <w:shd w:val="clear" w:color="auto" w:fill="EAF1F8"/>
          </w:tcPr>
          <w:p>
            <w:pPr>
              <w:keepNext/>
              <w:spacing w:after="0"/>
              <w:jc w:val="left"/>
            </w:pPr>
            <w:r/>
            <w:r>
              <w:rPr>
                <w:sz w:val="18"/>
              </w:rPr>
              <w:t>2023-01</w:t>
            </w:r>
          </w:p>
        </w:tc>
        <w:tc>
          <w:tcPr>
            <w:tcW w:type="dxa" w:w="2160"/>
            <w:shd w:val="clear" w:color="auto" w:fill="EAF1F8"/>
          </w:tcPr>
          <w:p>
            <w:pPr>
              <w:keepNext/>
              <w:spacing w:after="0"/>
              <w:jc w:val="right"/>
            </w:pPr>
            <w:r/>
            <w:r>
              <w:rPr>
                <w:sz w:val="18"/>
              </w:rPr>
              <w:t>4.97</w:t>
            </w:r>
          </w:p>
        </w:tc>
        <w:tc>
          <w:tcPr>
            <w:tcW w:type="dxa" w:w="2160"/>
            <w:shd w:val="clear" w:color="auto" w:fill="EAF1F8"/>
          </w:tcPr>
          <w:p>
            <w:pPr>
              <w:keepNext/>
              <w:spacing w:after="0"/>
              <w:jc w:val="right"/>
            </w:pPr>
            <w:r/>
            <w:r>
              <w:rPr>
                <w:sz w:val="18"/>
              </w:rPr>
              <w:t>+1.20</w:t>
            </w:r>
          </w:p>
        </w:tc>
      </w:tr>
      <w:tr>
        <w:trPr>
          <w:cantSplit w:val="true"/>
        </w:trPr>
        <w:tc>
          <w:tcPr>
            <w:tcW w:type="dxa" w:w="1872"/>
          </w:tcPr>
          <w:p>
            <w:pPr>
              <w:keepNext/>
              <w:spacing w:after="0"/>
              <w:jc w:val="left"/>
            </w:pPr>
            <w:r/>
            <w:r>
              <w:rPr>
                <w:sz w:val="18"/>
              </w:rPr>
              <w:t>2023-02</w:t>
            </w:r>
          </w:p>
        </w:tc>
        <w:tc>
          <w:tcPr>
            <w:tcW w:type="dxa" w:w="2160"/>
          </w:tcPr>
          <w:p>
            <w:pPr>
              <w:keepNext/>
              <w:spacing w:after="0"/>
              <w:jc w:val="right"/>
            </w:pPr>
            <w:r/>
            <w:r>
              <w:rPr>
                <w:sz w:val="18"/>
              </w:rPr>
              <w:t>4.50</w:t>
            </w:r>
          </w:p>
        </w:tc>
        <w:tc>
          <w:tcPr>
            <w:tcW w:type="dxa" w:w="2160"/>
          </w:tcPr>
          <w:p>
            <w:pPr>
              <w:keepNext/>
              <w:spacing w:after="0"/>
              <w:jc w:val="right"/>
            </w:pPr>
            <w:r/>
            <w:r>
              <w:rPr>
                <w:sz w:val="18"/>
              </w:rPr>
              <w:t>-0.47</w:t>
            </w:r>
          </w:p>
        </w:tc>
      </w:tr>
      <w:tr>
        <w:trPr>
          <w:cantSplit w:val="true"/>
        </w:trPr>
        <w:tc>
          <w:tcPr>
            <w:tcW w:type="dxa" w:w="1872"/>
            <w:shd w:val="clear" w:color="auto" w:fill="EAF1F8"/>
          </w:tcPr>
          <w:p>
            <w:pPr>
              <w:keepNext/>
              <w:spacing w:after="0"/>
              <w:jc w:val="left"/>
            </w:pPr>
            <w:r/>
            <w:r>
              <w:rPr>
                <w:sz w:val="18"/>
              </w:rPr>
              <w:t>2023-03</w:t>
            </w:r>
          </w:p>
        </w:tc>
        <w:tc>
          <w:tcPr>
            <w:tcW w:type="dxa" w:w="2160"/>
            <w:shd w:val="clear" w:color="auto" w:fill="EAF1F8"/>
          </w:tcPr>
          <w:p>
            <w:pPr>
              <w:keepNext/>
              <w:spacing w:after="0"/>
              <w:jc w:val="right"/>
            </w:pPr>
            <w:r/>
            <w:r>
              <w:rPr>
                <w:sz w:val="18"/>
              </w:rPr>
              <w:t>4.04</w:t>
            </w:r>
          </w:p>
        </w:tc>
        <w:tc>
          <w:tcPr>
            <w:tcW w:type="dxa" w:w="2160"/>
            <w:shd w:val="clear" w:color="auto" w:fill="EAF1F8"/>
          </w:tcPr>
          <w:p>
            <w:pPr>
              <w:keepNext/>
              <w:spacing w:after="0"/>
              <w:jc w:val="right"/>
            </w:pPr>
            <w:r/>
            <w:r>
              <w:rPr>
                <w:sz w:val="18"/>
              </w:rPr>
              <w:t>-0.46</w:t>
            </w:r>
          </w:p>
        </w:tc>
      </w:tr>
      <w:tr>
        <w:trPr>
          <w:cantSplit w:val="true"/>
        </w:trPr>
        <w:tc>
          <w:tcPr>
            <w:tcW w:type="dxa" w:w="1872"/>
          </w:tcPr>
          <w:p>
            <w:pPr>
              <w:keepNext/>
              <w:spacing w:after="0"/>
              <w:jc w:val="left"/>
            </w:pPr>
            <w:r/>
            <w:r>
              <w:rPr>
                <w:sz w:val="18"/>
              </w:rPr>
              <w:t>2023-04</w:t>
            </w:r>
          </w:p>
        </w:tc>
        <w:tc>
          <w:tcPr>
            <w:tcW w:type="dxa" w:w="2160"/>
          </w:tcPr>
          <w:p>
            <w:pPr>
              <w:keepNext/>
              <w:spacing w:after="0"/>
              <w:jc w:val="right"/>
            </w:pPr>
            <w:r/>
            <w:r>
              <w:rPr>
                <w:sz w:val="18"/>
              </w:rPr>
              <w:t>3.92</w:t>
            </w:r>
          </w:p>
        </w:tc>
        <w:tc>
          <w:tcPr>
            <w:tcW w:type="dxa" w:w="2160"/>
          </w:tcPr>
          <w:p>
            <w:pPr>
              <w:keepNext/>
              <w:spacing w:after="0"/>
              <w:jc w:val="right"/>
            </w:pPr>
            <w:r/>
            <w:r>
              <w:rPr>
                <w:sz w:val="18"/>
              </w:rPr>
              <w:t>-0.12</w:t>
            </w:r>
          </w:p>
        </w:tc>
      </w:tr>
      <w:tr>
        <w:trPr>
          <w:cantSplit w:val="true"/>
        </w:trPr>
        <w:tc>
          <w:tcPr>
            <w:tcW w:type="dxa" w:w="1872"/>
            <w:shd w:val="clear" w:color="auto" w:fill="EAF1F8"/>
          </w:tcPr>
          <w:p>
            <w:pPr>
              <w:spacing w:after="0"/>
              <w:jc w:val="left"/>
            </w:pPr>
            <w:r/>
            <w:r>
              <w:rPr>
                <w:sz w:val="18"/>
              </w:rPr>
              <w:t>2023-05</w:t>
            </w:r>
          </w:p>
        </w:tc>
        <w:tc>
          <w:tcPr>
            <w:tcW w:type="dxa" w:w="2160"/>
            <w:shd w:val="clear" w:color="auto" w:fill="EAF1F8"/>
          </w:tcPr>
          <w:p>
            <w:pPr>
              <w:spacing w:after="0"/>
              <w:jc w:val="right"/>
            </w:pPr>
            <w:r/>
            <w:r>
              <w:rPr>
                <w:sz w:val="18"/>
              </w:rPr>
              <w:t>4.58</w:t>
            </w:r>
          </w:p>
        </w:tc>
        <w:tc>
          <w:tcPr>
            <w:tcW w:type="dxa" w:w="2160"/>
            <w:shd w:val="clear" w:color="auto" w:fill="EAF1F8"/>
          </w:tcPr>
          <w:p>
            <w:pPr>
              <w:spacing w:after="0"/>
              <w:jc w:val="right"/>
            </w:pPr>
            <w:r/>
            <w:r>
              <w:rPr>
                <w:sz w:val="18"/>
              </w:rPr>
              <w:t>+0.66</w:t>
            </w:r>
          </w:p>
        </w:tc>
      </w:tr>
    </w:tbl>
    <w:p>
      <w:pPr>
        <w:spacing w:after="40"/>
      </w:pPr>
    </w:p>
    <w:p>
      <w:pPr>
        <w:keepNext/>
        <w:spacing w:after="40"/>
        <w:jc w:val="center"/>
      </w:pPr>
      <w:r>
        <w:drawing>
          <wp:inline xmlns:a="http://schemas.openxmlformats.org/drawingml/2006/main" xmlns:pic="http://schemas.openxmlformats.org/drawingml/2006/picture">
            <wp:extent cx="5760720" cy="2260125"/>
            <wp:docPr id="2" name="Picture 2"/>
            <wp:cNvGraphicFramePr>
              <a:graphicFrameLocks noChangeAspect="1"/>
            </wp:cNvGraphicFramePr>
            <a:graphic>
              <a:graphicData uri="http://schemas.openxmlformats.org/drawingml/2006/picture">
                <pic:pic>
                  <pic:nvPicPr>
                    <pic:cNvPr id="0" name="fig_04_primera_diferencia.png"/>
                    <pic:cNvPicPr/>
                  </pic:nvPicPr>
                  <pic:blipFill>
                    <a:blip r:embed="rId11"/>
                    <a:stretch>
                      <a:fillRect/>
                    </a:stretch>
                  </pic:blipFill>
                  <pic:spPr>
                    <a:xfrm>
                      <a:off x="0" y="0"/>
                      <a:ext cx="5760720" cy="2260125"/>
                    </a:xfrm>
                    <a:prstGeom prst="rect"/>
                  </pic:spPr>
                </pic:pic>
              </a:graphicData>
            </a:graphic>
          </wp:inline>
        </w:drawing>
      </w:r>
    </w:p>
    <w:p>
      <w:pPr>
        <w:spacing w:after="60"/>
        <w:jc w:val="center"/>
      </w:pPr>
      <w:r>
        <w:rPr>
          <w:i/>
          <w:sz w:val="18"/>
        </w:rPr>
        <w:t>Figura 2. Primera diferencia del precio de cierre mensual de RKLB (USD por acción).</w:t>
      </w:r>
    </w:p>
    <w:p>
      <w:r>
        <w:rPr>
          <w:b/>
          <w:sz w:val="20"/>
        </w:rPr>
        <w:t>Interpretación.</w:t>
      </w:r>
      <w:r>
        <w:rPr>
          <w:sz w:val="20"/>
        </w:rPr>
        <w:t xml:space="preserve"> La serie oscila alrededor de +1.36 USD (sin tendencia), pero las barras son diminutas hasta 2024 y gigantes desde 2025: el mayor aumento es +60.97 USD en may-2026 y la mayor caída -41.83 USD en jun-2026. La variabilidad creciente sigue presente.</w:t>
      </w:r>
    </w:p>
    <w:p>
      <w:pPr>
        <w:pStyle w:val="Heading3"/>
      </w:pPr>
      <w:r>
        <w:t>Respuestas a las preguntas de la sección</w:t>
      </w:r>
    </w:p>
    <w:p>
      <w:pPr>
        <w:keepNext/>
        <w:spacing w:after="20"/>
      </w:pPr>
      <w:r>
        <w:rPr>
          <w:b/>
        </w:rPr>
        <w:t>¿Qué significa una diferencia positiva y una negativa?</w:t>
      </w:r>
    </w:p>
    <w:p>
      <w:pPr>
        <w:ind w:left="288"/>
      </w:pPr>
      <w:r>
        <w:t xml:space="preserve">ΔY &gt; 0 significa que la acción </w:t>
      </w:r>
      <w:r>
        <w:rPr>
          <w:b/>
        </w:rPr>
        <w:t>cerró el mes más alta que el mes anterior</w:t>
      </w:r>
      <w:r>
        <w:t xml:space="preserve"> (26 de 48 meses; el mayor aumento fue +60.97 USD en may-2026). ΔY &lt; 0 significa que cerró </w:t>
      </w:r>
      <w:r>
        <w:rPr>
          <w:b/>
        </w:rPr>
        <w:t>más baja</w:t>
      </w:r>
      <w:r>
        <w:t xml:space="preserve"> (22 meses; la mayor caída fue -41.83 USD en jun-2026).</w:t>
      </w:r>
    </w:p>
    <w:p>
      <w:pPr>
        <w:keepNext/>
        <w:spacing w:after="20"/>
      </w:pPr>
      <w:r>
        <w:rPr>
          <w:b/>
        </w:rPr>
        <w:t>¿En qué unidades se interpreta?</w:t>
      </w:r>
    </w:p>
    <w:p>
      <w:pPr>
        <w:ind w:left="288"/>
      </w:pPr>
      <w:r>
        <w:t xml:space="preserve">En </w:t>
      </w:r>
      <w:r>
        <w:rPr>
          <w:b/>
        </w:rPr>
        <w:t>USD por acción por mes</w:t>
      </w:r>
      <w:r>
        <w:t>, las mismas unidades que el nivel: ΔY = +60.97 significa que el precio subió 60.97 dólares respecto al mes previo.</w:t>
      </w:r>
    </w:p>
    <w:p>
      <w:pPr>
        <w:keepNext/>
        <w:spacing w:after="20"/>
      </w:pPr>
      <w:r>
        <w:rPr>
          <w:b/>
        </w:rPr>
        <w:t>¿Qué cambia respecto del nivel?</w:t>
      </w:r>
    </w:p>
    <w:p>
      <w:pPr>
        <w:ind w:left="288"/>
      </w:pPr>
      <w:r>
        <w:t xml:space="preserve">La serie deja de describir «cuánto vale» y pasa a describir «cuánto cambió». </w:t>
      </w:r>
      <w:r>
        <w:rPr>
          <w:b/>
        </w:rPr>
        <w:t>Desaparece la tendencia</w:t>
      </w:r>
      <w:r>
        <w:t xml:space="preserve">: el nivel tiene media de 29.87 USD y autocorrelación de rezago 1 de 0.906, mientras que ΔY oscila alrededor de +1.36 USD con autocorrelación de rezago 1 de −0.060. Pero </w:t>
      </w:r>
      <w:r>
        <w:rPr>
          <w:b/>
        </w:rPr>
        <w:t>no se corrige la variabilidad</w:t>
      </w:r>
      <w:r>
        <w:t>: la desviación de ΔY es de 1.10 USD en la primera mitad y de 20.12 USD en la segunda, porque los saltos en dólares crecen con el precio.</w:t>
      </w:r>
    </w:p>
    <w:p>
      <w:pPr>
        <w:pStyle w:val="Heading1"/>
      </w:pPr>
      <w:r>
        <w:t>5. Logaritmo natural</w:t>
      </w:r>
    </w:p>
    <w:p>
      <w:pPr>
        <w:keepNext/>
        <w:spacing w:after="60"/>
      </w:pPr>
      <w:r>
        <w:rPr>
          <w:b/>
          <w:sz w:val="19"/>
        </w:rPr>
        <w:t>Tabla 7. Logaritmo natural del cierre (primeras 6 observaciones)</w:t>
      </w:r>
    </w:p>
    <w:tbl>
      <w:tblPr>
        <w:tblStyle w:val="TableGrid"/>
        <w:tblW w:type="auto" w:w="0"/>
        <w:jc w:val="center"/>
        <w:tblLook w:firstColumn="1" w:firstRow="1" w:lastColumn="0" w:lastRow="0" w:noHBand="0" w:noVBand="1" w:val="04A0"/>
      </w:tblPr>
      <w:tblGrid>
        <w:gridCol w:w="3120"/>
        <w:gridCol w:w="3120"/>
        <w:gridCol w:w="3120"/>
      </w:tblGrid>
      <w:tr>
        <w:trPr>
          <w:cantSplit w:val="true"/>
          <w:tblHeader w:val="true"/>
        </w:trPr>
        <w:tc>
          <w:tcPr>
            <w:tcW w:type="dxa" w:w="1872"/>
            <w:shd w:val="clear" w:color="auto" w:fill="1F4E79"/>
          </w:tcPr>
          <w:p>
            <w:pPr>
              <w:keepNext/>
              <w:jc w:val="center"/>
            </w:pPr>
            <w:r/>
            <w:r>
              <w:rPr>
                <w:b/>
                <w:color w:val="FFFFFF"/>
                <w:sz w:val="18"/>
              </w:rPr>
              <w:t>Mes</w:t>
            </w:r>
          </w:p>
        </w:tc>
        <w:tc>
          <w:tcPr>
            <w:tcW w:type="dxa" w:w="2160"/>
            <w:shd w:val="clear" w:color="auto" w:fill="1F4E79"/>
          </w:tcPr>
          <w:p>
            <w:pPr>
              <w:keepNext/>
              <w:jc w:val="center"/>
            </w:pPr>
            <w:r/>
            <w:r>
              <w:rPr>
                <w:b/>
                <w:color w:val="FFFFFF"/>
                <w:sz w:val="18"/>
              </w:rPr>
              <w:t>Cierre (USD)</w:t>
            </w:r>
          </w:p>
        </w:tc>
        <w:tc>
          <w:tcPr>
            <w:tcW w:type="dxa" w:w="2160"/>
            <w:shd w:val="clear" w:color="auto" w:fill="1F4E79"/>
          </w:tcPr>
          <w:p>
            <w:pPr>
              <w:keepNext/>
              <w:jc w:val="center"/>
            </w:pPr>
            <w:r/>
            <w:r>
              <w:rPr>
                <w:b/>
                <w:color w:val="FFFFFF"/>
                <w:sz w:val="18"/>
              </w:rPr>
              <w:t>ln(Cierre)</w:t>
            </w:r>
          </w:p>
        </w:tc>
      </w:tr>
      <w:tr>
        <w:trPr>
          <w:cantSplit w:val="true"/>
        </w:trPr>
        <w:tc>
          <w:tcPr>
            <w:tcW w:type="dxa" w:w="1872"/>
          </w:tcPr>
          <w:p>
            <w:pPr>
              <w:keepNext/>
              <w:spacing w:after="0"/>
              <w:jc w:val="left"/>
            </w:pPr>
            <w:r/>
            <w:r>
              <w:rPr>
                <w:sz w:val="18"/>
              </w:rPr>
              <w:t>2022-10</w:t>
            </w:r>
          </w:p>
        </w:tc>
        <w:tc>
          <w:tcPr>
            <w:tcW w:type="dxa" w:w="2160"/>
          </w:tcPr>
          <w:p>
            <w:pPr>
              <w:keepNext/>
              <w:spacing w:after="0"/>
              <w:jc w:val="right"/>
            </w:pPr>
            <w:r/>
            <w:r>
              <w:rPr>
                <w:sz w:val="18"/>
              </w:rPr>
              <w:t>5.09</w:t>
            </w:r>
          </w:p>
        </w:tc>
        <w:tc>
          <w:tcPr>
            <w:tcW w:type="dxa" w:w="2160"/>
          </w:tcPr>
          <w:p>
            <w:pPr>
              <w:keepNext/>
              <w:spacing w:after="0"/>
              <w:jc w:val="right"/>
            </w:pPr>
            <w:r/>
            <w:r>
              <w:rPr>
                <w:sz w:val="18"/>
              </w:rPr>
              <w:t>1.6273</w:t>
            </w:r>
          </w:p>
        </w:tc>
      </w:tr>
      <w:tr>
        <w:trPr>
          <w:cantSplit w:val="true"/>
        </w:trPr>
        <w:tc>
          <w:tcPr>
            <w:tcW w:type="dxa" w:w="1872"/>
            <w:shd w:val="clear" w:color="auto" w:fill="EAF1F8"/>
          </w:tcPr>
          <w:p>
            <w:pPr>
              <w:keepNext/>
              <w:spacing w:after="0"/>
              <w:jc w:val="left"/>
            </w:pPr>
            <w:r/>
            <w:r>
              <w:rPr>
                <w:sz w:val="18"/>
              </w:rPr>
              <w:t>2022-11</w:t>
            </w:r>
          </w:p>
        </w:tc>
        <w:tc>
          <w:tcPr>
            <w:tcW w:type="dxa" w:w="2160"/>
            <w:shd w:val="clear" w:color="auto" w:fill="EAF1F8"/>
          </w:tcPr>
          <w:p>
            <w:pPr>
              <w:keepNext/>
              <w:spacing w:after="0"/>
              <w:jc w:val="right"/>
            </w:pPr>
            <w:r/>
            <w:r>
              <w:rPr>
                <w:sz w:val="18"/>
              </w:rPr>
              <w:t>4.19</w:t>
            </w:r>
          </w:p>
        </w:tc>
        <w:tc>
          <w:tcPr>
            <w:tcW w:type="dxa" w:w="2160"/>
            <w:shd w:val="clear" w:color="auto" w:fill="EAF1F8"/>
          </w:tcPr>
          <w:p>
            <w:pPr>
              <w:keepNext/>
              <w:spacing w:after="0"/>
              <w:jc w:val="right"/>
            </w:pPr>
            <w:r/>
            <w:r>
              <w:rPr>
                <w:sz w:val="18"/>
              </w:rPr>
              <w:t>1.4327</w:t>
            </w:r>
          </w:p>
        </w:tc>
      </w:tr>
      <w:tr>
        <w:trPr>
          <w:cantSplit w:val="true"/>
        </w:trPr>
        <w:tc>
          <w:tcPr>
            <w:tcW w:type="dxa" w:w="1872"/>
          </w:tcPr>
          <w:p>
            <w:pPr>
              <w:keepNext/>
              <w:spacing w:after="0"/>
              <w:jc w:val="left"/>
            </w:pPr>
            <w:r/>
            <w:r>
              <w:rPr>
                <w:sz w:val="18"/>
              </w:rPr>
              <w:t>2022-12</w:t>
            </w:r>
          </w:p>
        </w:tc>
        <w:tc>
          <w:tcPr>
            <w:tcW w:type="dxa" w:w="2160"/>
          </w:tcPr>
          <w:p>
            <w:pPr>
              <w:keepNext/>
              <w:spacing w:after="0"/>
              <w:jc w:val="right"/>
            </w:pPr>
            <w:r/>
            <w:r>
              <w:rPr>
                <w:sz w:val="18"/>
              </w:rPr>
              <w:t>3.77</w:t>
            </w:r>
          </w:p>
        </w:tc>
        <w:tc>
          <w:tcPr>
            <w:tcW w:type="dxa" w:w="2160"/>
          </w:tcPr>
          <w:p>
            <w:pPr>
              <w:keepNext/>
              <w:spacing w:after="0"/>
              <w:jc w:val="right"/>
            </w:pPr>
            <w:r/>
            <w:r>
              <w:rPr>
                <w:sz w:val="18"/>
              </w:rPr>
              <w:t>1.3271</w:t>
            </w:r>
          </w:p>
        </w:tc>
      </w:tr>
      <w:tr>
        <w:trPr>
          <w:cantSplit w:val="true"/>
        </w:trPr>
        <w:tc>
          <w:tcPr>
            <w:tcW w:type="dxa" w:w="1872"/>
            <w:shd w:val="clear" w:color="auto" w:fill="EAF1F8"/>
          </w:tcPr>
          <w:p>
            <w:pPr>
              <w:keepNext/>
              <w:spacing w:after="0"/>
              <w:jc w:val="left"/>
            </w:pPr>
            <w:r/>
            <w:r>
              <w:rPr>
                <w:sz w:val="18"/>
              </w:rPr>
              <w:t>2023-01</w:t>
            </w:r>
          </w:p>
        </w:tc>
        <w:tc>
          <w:tcPr>
            <w:tcW w:type="dxa" w:w="2160"/>
            <w:shd w:val="clear" w:color="auto" w:fill="EAF1F8"/>
          </w:tcPr>
          <w:p>
            <w:pPr>
              <w:keepNext/>
              <w:spacing w:after="0"/>
              <w:jc w:val="right"/>
            </w:pPr>
            <w:r/>
            <w:r>
              <w:rPr>
                <w:sz w:val="18"/>
              </w:rPr>
              <w:t>4.97</w:t>
            </w:r>
          </w:p>
        </w:tc>
        <w:tc>
          <w:tcPr>
            <w:tcW w:type="dxa" w:w="2160"/>
            <w:shd w:val="clear" w:color="auto" w:fill="EAF1F8"/>
          </w:tcPr>
          <w:p>
            <w:pPr>
              <w:keepNext/>
              <w:spacing w:after="0"/>
              <w:jc w:val="right"/>
            </w:pPr>
            <w:r/>
            <w:r>
              <w:rPr>
                <w:sz w:val="18"/>
              </w:rPr>
              <w:t>1.6034</w:t>
            </w:r>
          </w:p>
        </w:tc>
      </w:tr>
      <w:tr>
        <w:trPr>
          <w:cantSplit w:val="true"/>
        </w:trPr>
        <w:tc>
          <w:tcPr>
            <w:tcW w:type="dxa" w:w="1872"/>
          </w:tcPr>
          <w:p>
            <w:pPr>
              <w:keepNext/>
              <w:spacing w:after="0"/>
              <w:jc w:val="left"/>
            </w:pPr>
            <w:r/>
            <w:r>
              <w:rPr>
                <w:sz w:val="18"/>
              </w:rPr>
              <w:t>2023-02</w:t>
            </w:r>
          </w:p>
        </w:tc>
        <w:tc>
          <w:tcPr>
            <w:tcW w:type="dxa" w:w="2160"/>
          </w:tcPr>
          <w:p>
            <w:pPr>
              <w:keepNext/>
              <w:spacing w:after="0"/>
              <w:jc w:val="right"/>
            </w:pPr>
            <w:r/>
            <w:r>
              <w:rPr>
                <w:sz w:val="18"/>
              </w:rPr>
              <w:t>4.50</w:t>
            </w:r>
          </w:p>
        </w:tc>
        <w:tc>
          <w:tcPr>
            <w:tcW w:type="dxa" w:w="2160"/>
          </w:tcPr>
          <w:p>
            <w:pPr>
              <w:keepNext/>
              <w:spacing w:after="0"/>
              <w:jc w:val="right"/>
            </w:pPr>
            <w:r/>
            <w:r>
              <w:rPr>
                <w:sz w:val="18"/>
              </w:rPr>
              <w:t>1.5041</w:t>
            </w:r>
          </w:p>
        </w:tc>
      </w:tr>
      <w:tr>
        <w:trPr>
          <w:cantSplit w:val="true"/>
        </w:trPr>
        <w:tc>
          <w:tcPr>
            <w:tcW w:type="dxa" w:w="1872"/>
            <w:shd w:val="clear" w:color="auto" w:fill="EAF1F8"/>
          </w:tcPr>
          <w:p>
            <w:pPr>
              <w:spacing w:after="0"/>
              <w:jc w:val="left"/>
            </w:pPr>
            <w:r/>
            <w:r>
              <w:rPr>
                <w:sz w:val="18"/>
              </w:rPr>
              <w:t>2023-03</w:t>
            </w:r>
          </w:p>
        </w:tc>
        <w:tc>
          <w:tcPr>
            <w:tcW w:type="dxa" w:w="2160"/>
            <w:shd w:val="clear" w:color="auto" w:fill="EAF1F8"/>
          </w:tcPr>
          <w:p>
            <w:pPr>
              <w:spacing w:after="0"/>
              <w:jc w:val="right"/>
            </w:pPr>
            <w:r/>
            <w:r>
              <w:rPr>
                <w:sz w:val="18"/>
              </w:rPr>
              <w:t>4.04</w:t>
            </w:r>
          </w:p>
        </w:tc>
        <w:tc>
          <w:tcPr>
            <w:tcW w:type="dxa" w:w="2160"/>
            <w:shd w:val="clear" w:color="auto" w:fill="EAF1F8"/>
          </w:tcPr>
          <w:p>
            <w:pPr>
              <w:spacing w:after="0"/>
              <w:jc w:val="right"/>
            </w:pPr>
            <w:r/>
            <w:r>
              <w:rPr>
                <w:sz w:val="18"/>
              </w:rPr>
              <w:t>1.3962</w:t>
            </w:r>
          </w:p>
        </w:tc>
      </w:tr>
    </w:tbl>
    <w:p>
      <w:pPr>
        <w:spacing w:after="40"/>
      </w:pPr>
    </w:p>
    <w:p>
      <w:pPr>
        <w:keepNext/>
        <w:spacing w:after="40"/>
        <w:jc w:val="center"/>
      </w:pPr>
      <w:r>
        <w:drawing>
          <wp:inline xmlns:a="http://schemas.openxmlformats.org/drawingml/2006/main" xmlns:pic="http://schemas.openxmlformats.org/drawingml/2006/picture">
            <wp:extent cx="5943600" cy="2027985"/>
            <wp:docPr id="3" name="Picture 3"/>
            <wp:cNvGraphicFramePr>
              <a:graphicFrameLocks noChangeAspect="1"/>
            </wp:cNvGraphicFramePr>
            <a:graphic>
              <a:graphicData uri="http://schemas.openxmlformats.org/drawingml/2006/picture">
                <pic:pic>
                  <pic:nvPicPr>
                    <pic:cNvPr id="0" name="fig_05_log_nivel.png"/>
                    <pic:cNvPicPr/>
                  </pic:nvPicPr>
                  <pic:blipFill>
                    <a:blip r:embed="rId12"/>
                    <a:stretch>
                      <a:fillRect/>
                    </a:stretch>
                  </pic:blipFill>
                  <pic:spPr>
                    <a:xfrm>
                      <a:off x="0" y="0"/>
                      <a:ext cx="5943600" cy="2027985"/>
                    </a:xfrm>
                    <a:prstGeom prst="rect"/>
                  </pic:spPr>
                </pic:pic>
              </a:graphicData>
            </a:graphic>
          </wp:inline>
        </w:drawing>
      </w:r>
    </w:p>
    <w:p>
      <w:pPr>
        <w:spacing w:after="60"/>
        <w:jc w:val="center"/>
      </w:pPr>
      <w:r>
        <w:rPr>
          <w:i/>
          <w:sz w:val="18"/>
        </w:rPr>
        <w:t>Figura 3. Nivel (izquierda) y logaritmo natural (derecha) del precio de cierre mensual de RKLB.</w:t>
      </w:r>
    </w:p>
    <w:p>
      <w:r>
        <w:rPr>
          <w:b/>
          <w:sz w:val="20"/>
        </w:rPr>
        <w:t>Interpretación.</w:t>
      </w:r>
      <w:r>
        <w:rPr>
          <w:sz w:val="20"/>
        </w:rPr>
        <w:t xml:space="preserve"> El logaritmo conserva la trayectoria creciente (no la elimina) pero comprime el rango: de un máximo 38.2 veces el mínimo a una amplitud de 3.64 unidades. Las oscilaciones se ven más parejas que en nivel, aunque la serie sigue subiendo.</w:t>
      </w:r>
    </w:p>
    <w:p>
      <w:pPr>
        <w:pStyle w:val="Heading3"/>
      </w:pPr>
      <w:r>
        <w:t>Respuestas a las preguntas de la sección</w:t>
      </w:r>
    </w:p>
    <w:p>
      <w:pPr>
        <w:keepNext/>
        <w:spacing w:after="20"/>
      </w:pPr>
      <w:r>
        <w:rPr>
          <w:b/>
        </w:rPr>
        <w:t>¿Es válido aplicar logaritmo a su serie?</w:t>
      </w:r>
    </w:p>
    <w:p>
      <w:pPr>
        <w:ind w:left="288"/>
      </w:pPr>
      <w:r>
        <w:t>Sí. El logaritmo exige valores estrictamente positivos y el cierre mínimo de RKLB es de 3.76 USD (los 49 cierres son &gt; 0). Un precio accionario además no puede ser cero o negativo.</w:t>
      </w:r>
    </w:p>
    <w:p>
      <w:pPr>
        <w:keepNext/>
        <w:spacing w:after="20"/>
      </w:pPr>
      <w:r>
        <w:rPr>
          <w:b/>
        </w:rPr>
        <w:t>¿Qué efecto tiene sobre la escala?</w:t>
      </w:r>
    </w:p>
    <w:p>
      <w:pPr>
        <w:ind w:left="288"/>
      </w:pPr>
      <w:r>
        <w:t>Comprime los valores altos y expande los bajos: el máximo es 38.2 veces el mínimo en nivel, pero en ln la amplitud es de 3.64 unidades (de 1.32 a 4.97). El crecimiento casi exponencial se vuelve más lineal (R² de la tendencia: 0.715 en nivel vs 0.861 en ln) y la desproporción de variabilidad entre mitades baja de 22.5 veces en nivel a 2.7 veces en ln. Además, las diferencias en ln son variaciones relativas.</w:t>
      </w:r>
    </w:p>
    <w:p>
      <w:pPr>
        <w:keepNext/>
        <w:spacing w:after="20"/>
      </w:pPr>
      <w:r>
        <w:rPr>
          <w:b/>
        </w:rPr>
        <w:t>¿El logaritmo garantiza estacionariedad? Expliquen.</w:t>
      </w:r>
    </w:p>
    <w:p>
      <w:pPr>
        <w:ind w:left="288"/>
      </w:pPr>
      <w:r>
        <w:rPr>
          <w:b/>
        </w:rPr>
        <w:t>No.</w:t>
      </w:r>
      <w:r>
        <w:t xml:space="preserve"> El logaritmo solo es una transformación de escala monótona: no elimina la tendencia ni el nivel cambiante. ln(Y) sube de 1.32 a 4.97 y mantiene una autocorrelación de rezago 1 de 0.977 (incluso mayor que la del nivel, 0.906); la prueba ADF, usada solo como apoyo orientativo, da p = 0.898, sin evidencia contra una raíz unitaria. Además, la variabilidad de ln(Y) sigue siendo 2.7 veces mayor en la segunda mitad. Para quitar la tendencia hay que diferenciar (por ejemplo, tomar el cambio logarítmico).</w:t>
      </w:r>
    </w:p>
    <w:p>
      <w:pPr>
        <w:pStyle w:val="Heading1"/>
      </w:pPr>
      <w:r>
        <w:t>6. Cambio porcentual simple</w:t>
      </w:r>
    </w:p>
    <w:p>
      <w:pPr>
        <w:keepNext/>
        <w:spacing w:after="60"/>
      </w:pPr>
      <w:r>
        <w:rPr>
          <w:b/>
          <w:sz w:val="19"/>
        </w:rPr>
        <w:t>Tabla 8. Cambio porcentual simple (primeras 8 observaciones; la primera es NaN)</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tblHeader w:val="true"/>
        </w:trPr>
        <w:tc>
          <w:tcPr>
            <w:tcW w:type="dxa" w:w="1584"/>
            <w:shd w:val="clear" w:color="auto" w:fill="1F4E79"/>
          </w:tcPr>
          <w:p>
            <w:pPr>
              <w:keepNext/>
              <w:jc w:val="center"/>
            </w:pPr>
            <w:r/>
            <w:r>
              <w:rPr>
                <w:b/>
                <w:color w:val="FFFFFF"/>
                <w:sz w:val="18"/>
              </w:rPr>
              <w:t>Mes</w:t>
            </w:r>
          </w:p>
        </w:tc>
        <w:tc>
          <w:tcPr>
            <w:tcW w:type="dxa" w:w="1872"/>
            <w:shd w:val="clear" w:color="auto" w:fill="1F4E79"/>
          </w:tcPr>
          <w:p>
            <w:pPr>
              <w:keepNext/>
              <w:jc w:val="center"/>
            </w:pPr>
            <w:r/>
            <w:r>
              <w:rPr>
                <w:b/>
                <w:color w:val="FFFFFF"/>
                <w:sz w:val="18"/>
              </w:rPr>
              <w:t>Cierre (USD)</w:t>
            </w:r>
          </w:p>
        </w:tc>
        <w:tc>
          <w:tcPr>
            <w:tcW w:type="dxa" w:w="1872"/>
            <w:shd w:val="clear" w:color="auto" w:fill="1F4E79"/>
          </w:tcPr>
          <w:p>
            <w:pPr>
              <w:keepNext/>
              <w:jc w:val="center"/>
            </w:pPr>
            <w:r/>
            <w:r>
              <w:rPr>
                <w:b/>
                <w:color w:val="FFFFFF"/>
                <w:sz w:val="18"/>
              </w:rPr>
              <w:t>ΔY (USD)</w:t>
            </w:r>
          </w:p>
        </w:tc>
        <w:tc>
          <w:tcPr>
            <w:tcW w:type="dxa" w:w="2160"/>
            <w:shd w:val="clear" w:color="auto" w:fill="1F4E79"/>
          </w:tcPr>
          <w:p>
            <w:pPr>
              <w:keepNext/>
              <w:jc w:val="center"/>
            </w:pPr>
            <w:r/>
            <w:r>
              <w:rPr>
                <w:b/>
                <w:color w:val="FFFFFF"/>
                <w:sz w:val="18"/>
              </w:rPr>
              <w:t>Cambio simple (%)</w:t>
            </w:r>
          </w:p>
        </w:tc>
      </w:tr>
      <w:tr>
        <w:trPr>
          <w:cantSplit w:val="true"/>
        </w:trPr>
        <w:tc>
          <w:tcPr>
            <w:tcW w:type="dxa" w:w="1584"/>
          </w:tcPr>
          <w:p>
            <w:pPr>
              <w:keepNext/>
              <w:spacing w:after="0"/>
              <w:jc w:val="left"/>
            </w:pPr>
            <w:r/>
            <w:r>
              <w:rPr>
                <w:sz w:val="18"/>
              </w:rPr>
              <w:t>2022-10</w:t>
            </w:r>
          </w:p>
        </w:tc>
        <w:tc>
          <w:tcPr>
            <w:tcW w:type="dxa" w:w="1872"/>
          </w:tcPr>
          <w:p>
            <w:pPr>
              <w:keepNext/>
              <w:spacing w:after="0"/>
              <w:jc w:val="right"/>
            </w:pPr>
            <w:r/>
            <w:r>
              <w:rPr>
                <w:sz w:val="18"/>
              </w:rPr>
              <w:t>5.09</w:t>
            </w:r>
          </w:p>
        </w:tc>
        <w:tc>
          <w:tcPr>
            <w:tcW w:type="dxa" w:w="1872"/>
          </w:tcPr>
          <w:p>
            <w:pPr>
              <w:keepNext/>
              <w:spacing w:after="0"/>
              <w:jc w:val="right"/>
            </w:pPr>
            <w:r/>
            <w:r>
              <w:rPr>
                <w:sz w:val="18"/>
              </w:rPr>
              <w:t>NaN</w:t>
            </w:r>
          </w:p>
        </w:tc>
        <w:tc>
          <w:tcPr>
            <w:tcW w:type="dxa" w:w="2160"/>
          </w:tcPr>
          <w:p>
            <w:pPr>
              <w:keepNext/>
              <w:spacing w:after="0"/>
              <w:jc w:val="right"/>
            </w:pPr>
            <w:r/>
            <w:r>
              <w:rPr>
                <w:sz w:val="18"/>
              </w:rPr>
              <w:t>NaN</w:t>
            </w:r>
          </w:p>
        </w:tc>
      </w:tr>
      <w:tr>
        <w:trPr>
          <w:cantSplit w:val="true"/>
        </w:trPr>
        <w:tc>
          <w:tcPr>
            <w:tcW w:type="dxa" w:w="1584"/>
            <w:shd w:val="clear" w:color="auto" w:fill="EAF1F8"/>
          </w:tcPr>
          <w:p>
            <w:pPr>
              <w:keepNext/>
              <w:spacing w:after="0"/>
              <w:jc w:val="left"/>
            </w:pPr>
            <w:r/>
            <w:r>
              <w:rPr>
                <w:sz w:val="18"/>
              </w:rPr>
              <w:t>2022-11</w:t>
            </w:r>
          </w:p>
        </w:tc>
        <w:tc>
          <w:tcPr>
            <w:tcW w:type="dxa" w:w="1872"/>
            <w:shd w:val="clear" w:color="auto" w:fill="EAF1F8"/>
          </w:tcPr>
          <w:p>
            <w:pPr>
              <w:keepNext/>
              <w:spacing w:after="0"/>
              <w:jc w:val="right"/>
            </w:pPr>
            <w:r/>
            <w:r>
              <w:rPr>
                <w:sz w:val="18"/>
              </w:rPr>
              <w:t>4.19</w:t>
            </w:r>
          </w:p>
        </w:tc>
        <w:tc>
          <w:tcPr>
            <w:tcW w:type="dxa" w:w="1872"/>
            <w:shd w:val="clear" w:color="auto" w:fill="EAF1F8"/>
          </w:tcPr>
          <w:p>
            <w:pPr>
              <w:keepNext/>
              <w:spacing w:after="0"/>
              <w:jc w:val="right"/>
            </w:pPr>
            <w:r/>
            <w:r>
              <w:rPr>
                <w:sz w:val="18"/>
              </w:rPr>
              <w:t>-0.90</w:t>
            </w:r>
          </w:p>
        </w:tc>
        <w:tc>
          <w:tcPr>
            <w:tcW w:type="dxa" w:w="2160"/>
            <w:shd w:val="clear" w:color="auto" w:fill="EAF1F8"/>
          </w:tcPr>
          <w:p>
            <w:pPr>
              <w:keepNext/>
              <w:spacing w:after="0"/>
              <w:jc w:val="right"/>
            </w:pPr>
            <w:r/>
            <w:r>
              <w:rPr>
                <w:sz w:val="18"/>
              </w:rPr>
              <w:t>-17.68</w:t>
            </w:r>
          </w:p>
        </w:tc>
      </w:tr>
      <w:tr>
        <w:trPr>
          <w:cantSplit w:val="true"/>
        </w:trPr>
        <w:tc>
          <w:tcPr>
            <w:tcW w:type="dxa" w:w="1584"/>
          </w:tcPr>
          <w:p>
            <w:pPr>
              <w:keepNext/>
              <w:spacing w:after="0"/>
              <w:jc w:val="left"/>
            </w:pPr>
            <w:r/>
            <w:r>
              <w:rPr>
                <w:sz w:val="18"/>
              </w:rPr>
              <w:t>2022-12</w:t>
            </w:r>
          </w:p>
        </w:tc>
        <w:tc>
          <w:tcPr>
            <w:tcW w:type="dxa" w:w="1872"/>
          </w:tcPr>
          <w:p>
            <w:pPr>
              <w:keepNext/>
              <w:spacing w:after="0"/>
              <w:jc w:val="right"/>
            </w:pPr>
            <w:r/>
            <w:r>
              <w:rPr>
                <w:sz w:val="18"/>
              </w:rPr>
              <w:t>3.77</w:t>
            </w:r>
          </w:p>
        </w:tc>
        <w:tc>
          <w:tcPr>
            <w:tcW w:type="dxa" w:w="1872"/>
          </w:tcPr>
          <w:p>
            <w:pPr>
              <w:keepNext/>
              <w:spacing w:after="0"/>
              <w:jc w:val="right"/>
            </w:pPr>
            <w:r/>
            <w:r>
              <w:rPr>
                <w:sz w:val="18"/>
              </w:rPr>
              <w:t>-0.42</w:t>
            </w:r>
          </w:p>
        </w:tc>
        <w:tc>
          <w:tcPr>
            <w:tcW w:type="dxa" w:w="2160"/>
          </w:tcPr>
          <w:p>
            <w:pPr>
              <w:keepNext/>
              <w:spacing w:after="0"/>
              <w:jc w:val="right"/>
            </w:pPr>
            <w:r/>
            <w:r>
              <w:rPr>
                <w:sz w:val="18"/>
              </w:rPr>
              <w:t>-10.02</w:t>
            </w:r>
          </w:p>
        </w:tc>
      </w:tr>
      <w:tr>
        <w:trPr>
          <w:cantSplit w:val="true"/>
        </w:trPr>
        <w:tc>
          <w:tcPr>
            <w:tcW w:type="dxa" w:w="1584"/>
            <w:shd w:val="clear" w:color="auto" w:fill="EAF1F8"/>
          </w:tcPr>
          <w:p>
            <w:pPr>
              <w:keepNext/>
              <w:spacing w:after="0"/>
              <w:jc w:val="left"/>
            </w:pPr>
            <w:r/>
            <w:r>
              <w:rPr>
                <w:sz w:val="18"/>
              </w:rPr>
              <w:t>2023-01</w:t>
            </w:r>
          </w:p>
        </w:tc>
        <w:tc>
          <w:tcPr>
            <w:tcW w:type="dxa" w:w="1872"/>
            <w:shd w:val="clear" w:color="auto" w:fill="EAF1F8"/>
          </w:tcPr>
          <w:p>
            <w:pPr>
              <w:keepNext/>
              <w:spacing w:after="0"/>
              <w:jc w:val="right"/>
            </w:pPr>
            <w:r/>
            <w:r>
              <w:rPr>
                <w:sz w:val="18"/>
              </w:rPr>
              <w:t>4.97</w:t>
            </w:r>
          </w:p>
        </w:tc>
        <w:tc>
          <w:tcPr>
            <w:tcW w:type="dxa" w:w="1872"/>
            <w:shd w:val="clear" w:color="auto" w:fill="EAF1F8"/>
          </w:tcPr>
          <w:p>
            <w:pPr>
              <w:keepNext/>
              <w:spacing w:after="0"/>
              <w:jc w:val="right"/>
            </w:pPr>
            <w:r/>
            <w:r>
              <w:rPr>
                <w:sz w:val="18"/>
              </w:rPr>
              <w:t>+1.20</w:t>
            </w:r>
          </w:p>
        </w:tc>
        <w:tc>
          <w:tcPr>
            <w:tcW w:type="dxa" w:w="2160"/>
            <w:shd w:val="clear" w:color="auto" w:fill="EAF1F8"/>
          </w:tcPr>
          <w:p>
            <w:pPr>
              <w:keepNext/>
              <w:spacing w:after="0"/>
              <w:jc w:val="right"/>
            </w:pPr>
            <w:r/>
            <w:r>
              <w:rPr>
                <w:sz w:val="18"/>
              </w:rPr>
              <w:t>+31.83</w:t>
            </w:r>
          </w:p>
        </w:tc>
      </w:tr>
      <w:tr>
        <w:trPr>
          <w:cantSplit w:val="true"/>
        </w:trPr>
        <w:tc>
          <w:tcPr>
            <w:tcW w:type="dxa" w:w="1584"/>
          </w:tcPr>
          <w:p>
            <w:pPr>
              <w:keepNext/>
              <w:spacing w:after="0"/>
              <w:jc w:val="left"/>
            </w:pPr>
            <w:r/>
            <w:r>
              <w:rPr>
                <w:sz w:val="18"/>
              </w:rPr>
              <w:t>2023-02</w:t>
            </w:r>
          </w:p>
        </w:tc>
        <w:tc>
          <w:tcPr>
            <w:tcW w:type="dxa" w:w="1872"/>
          </w:tcPr>
          <w:p>
            <w:pPr>
              <w:keepNext/>
              <w:spacing w:after="0"/>
              <w:jc w:val="right"/>
            </w:pPr>
            <w:r/>
            <w:r>
              <w:rPr>
                <w:sz w:val="18"/>
              </w:rPr>
              <w:t>4.50</w:t>
            </w:r>
          </w:p>
        </w:tc>
        <w:tc>
          <w:tcPr>
            <w:tcW w:type="dxa" w:w="1872"/>
          </w:tcPr>
          <w:p>
            <w:pPr>
              <w:keepNext/>
              <w:spacing w:after="0"/>
              <w:jc w:val="right"/>
            </w:pPr>
            <w:r/>
            <w:r>
              <w:rPr>
                <w:sz w:val="18"/>
              </w:rPr>
              <w:t>-0.47</w:t>
            </w:r>
          </w:p>
        </w:tc>
        <w:tc>
          <w:tcPr>
            <w:tcW w:type="dxa" w:w="2160"/>
          </w:tcPr>
          <w:p>
            <w:pPr>
              <w:keepNext/>
              <w:spacing w:after="0"/>
              <w:jc w:val="right"/>
            </w:pPr>
            <w:r/>
            <w:r>
              <w:rPr>
                <w:sz w:val="18"/>
              </w:rPr>
              <w:t>-9.46</w:t>
            </w:r>
          </w:p>
        </w:tc>
      </w:tr>
      <w:tr>
        <w:trPr>
          <w:cantSplit w:val="true"/>
        </w:trPr>
        <w:tc>
          <w:tcPr>
            <w:tcW w:type="dxa" w:w="1584"/>
            <w:shd w:val="clear" w:color="auto" w:fill="EAF1F8"/>
          </w:tcPr>
          <w:p>
            <w:pPr>
              <w:keepNext/>
              <w:spacing w:after="0"/>
              <w:jc w:val="left"/>
            </w:pPr>
            <w:r/>
            <w:r>
              <w:rPr>
                <w:sz w:val="18"/>
              </w:rPr>
              <w:t>2023-03</w:t>
            </w:r>
          </w:p>
        </w:tc>
        <w:tc>
          <w:tcPr>
            <w:tcW w:type="dxa" w:w="1872"/>
            <w:shd w:val="clear" w:color="auto" w:fill="EAF1F8"/>
          </w:tcPr>
          <w:p>
            <w:pPr>
              <w:keepNext/>
              <w:spacing w:after="0"/>
              <w:jc w:val="right"/>
            </w:pPr>
            <w:r/>
            <w:r>
              <w:rPr>
                <w:sz w:val="18"/>
              </w:rPr>
              <w:t>4.04</w:t>
            </w:r>
          </w:p>
        </w:tc>
        <w:tc>
          <w:tcPr>
            <w:tcW w:type="dxa" w:w="1872"/>
            <w:shd w:val="clear" w:color="auto" w:fill="EAF1F8"/>
          </w:tcPr>
          <w:p>
            <w:pPr>
              <w:keepNext/>
              <w:spacing w:after="0"/>
              <w:jc w:val="right"/>
            </w:pPr>
            <w:r/>
            <w:r>
              <w:rPr>
                <w:sz w:val="18"/>
              </w:rPr>
              <w:t>-0.46</w:t>
            </w:r>
          </w:p>
        </w:tc>
        <w:tc>
          <w:tcPr>
            <w:tcW w:type="dxa" w:w="2160"/>
            <w:shd w:val="clear" w:color="auto" w:fill="EAF1F8"/>
          </w:tcPr>
          <w:p>
            <w:pPr>
              <w:keepNext/>
              <w:spacing w:after="0"/>
              <w:jc w:val="right"/>
            </w:pPr>
            <w:r/>
            <w:r>
              <w:rPr>
                <w:sz w:val="18"/>
              </w:rPr>
              <w:t>-10.22</w:t>
            </w:r>
          </w:p>
        </w:tc>
      </w:tr>
      <w:tr>
        <w:trPr>
          <w:cantSplit w:val="true"/>
        </w:trPr>
        <w:tc>
          <w:tcPr>
            <w:tcW w:type="dxa" w:w="1584"/>
          </w:tcPr>
          <w:p>
            <w:pPr>
              <w:keepNext/>
              <w:spacing w:after="0"/>
              <w:jc w:val="left"/>
            </w:pPr>
            <w:r/>
            <w:r>
              <w:rPr>
                <w:sz w:val="18"/>
              </w:rPr>
              <w:t>2023-04</w:t>
            </w:r>
          </w:p>
        </w:tc>
        <w:tc>
          <w:tcPr>
            <w:tcW w:type="dxa" w:w="1872"/>
          </w:tcPr>
          <w:p>
            <w:pPr>
              <w:keepNext/>
              <w:spacing w:after="0"/>
              <w:jc w:val="right"/>
            </w:pPr>
            <w:r/>
            <w:r>
              <w:rPr>
                <w:sz w:val="18"/>
              </w:rPr>
              <w:t>3.92</w:t>
            </w:r>
          </w:p>
        </w:tc>
        <w:tc>
          <w:tcPr>
            <w:tcW w:type="dxa" w:w="1872"/>
          </w:tcPr>
          <w:p>
            <w:pPr>
              <w:keepNext/>
              <w:spacing w:after="0"/>
              <w:jc w:val="right"/>
            </w:pPr>
            <w:r/>
            <w:r>
              <w:rPr>
                <w:sz w:val="18"/>
              </w:rPr>
              <w:t>-0.12</w:t>
            </w:r>
          </w:p>
        </w:tc>
        <w:tc>
          <w:tcPr>
            <w:tcW w:type="dxa" w:w="2160"/>
          </w:tcPr>
          <w:p>
            <w:pPr>
              <w:keepNext/>
              <w:spacing w:after="0"/>
              <w:jc w:val="right"/>
            </w:pPr>
            <w:r/>
            <w:r>
              <w:rPr>
                <w:sz w:val="18"/>
              </w:rPr>
              <w:t>-2.97</w:t>
            </w:r>
          </w:p>
        </w:tc>
      </w:tr>
      <w:tr>
        <w:trPr>
          <w:cantSplit w:val="true"/>
        </w:trPr>
        <w:tc>
          <w:tcPr>
            <w:tcW w:type="dxa" w:w="1584"/>
            <w:shd w:val="clear" w:color="auto" w:fill="EAF1F8"/>
          </w:tcPr>
          <w:p>
            <w:pPr>
              <w:spacing w:after="0"/>
              <w:jc w:val="left"/>
            </w:pPr>
            <w:r/>
            <w:r>
              <w:rPr>
                <w:sz w:val="18"/>
              </w:rPr>
              <w:t>2023-05</w:t>
            </w:r>
          </w:p>
        </w:tc>
        <w:tc>
          <w:tcPr>
            <w:tcW w:type="dxa" w:w="1872"/>
            <w:shd w:val="clear" w:color="auto" w:fill="EAF1F8"/>
          </w:tcPr>
          <w:p>
            <w:pPr>
              <w:spacing w:after="0"/>
              <w:jc w:val="right"/>
            </w:pPr>
            <w:r/>
            <w:r>
              <w:rPr>
                <w:sz w:val="18"/>
              </w:rPr>
              <w:t>4.58</w:t>
            </w:r>
          </w:p>
        </w:tc>
        <w:tc>
          <w:tcPr>
            <w:tcW w:type="dxa" w:w="1872"/>
            <w:shd w:val="clear" w:color="auto" w:fill="EAF1F8"/>
          </w:tcPr>
          <w:p>
            <w:pPr>
              <w:spacing w:after="0"/>
              <w:jc w:val="right"/>
            </w:pPr>
            <w:r/>
            <w:r>
              <w:rPr>
                <w:sz w:val="18"/>
              </w:rPr>
              <w:t>+0.66</w:t>
            </w:r>
          </w:p>
        </w:tc>
        <w:tc>
          <w:tcPr>
            <w:tcW w:type="dxa" w:w="2160"/>
            <w:shd w:val="clear" w:color="auto" w:fill="EAF1F8"/>
          </w:tcPr>
          <w:p>
            <w:pPr>
              <w:spacing w:after="0"/>
              <w:jc w:val="right"/>
            </w:pPr>
            <w:r/>
            <w:r>
              <w:rPr>
                <w:sz w:val="18"/>
              </w:rPr>
              <w:t>+16.84</w:t>
            </w:r>
          </w:p>
        </w:tc>
      </w:tr>
    </w:tbl>
    <w:p>
      <w:pPr>
        <w:spacing w:after="40"/>
      </w:pPr>
    </w:p>
    <w:p>
      <w:pPr>
        <w:keepNext/>
        <w:spacing w:after="40"/>
        <w:jc w:val="center"/>
      </w:pPr>
      <w:r>
        <w:drawing>
          <wp:inline xmlns:a="http://schemas.openxmlformats.org/drawingml/2006/main" xmlns:pic="http://schemas.openxmlformats.org/drawingml/2006/picture">
            <wp:extent cx="5760720" cy="2258851"/>
            <wp:docPr id="4" name="Picture 4"/>
            <wp:cNvGraphicFramePr>
              <a:graphicFrameLocks noChangeAspect="1"/>
            </wp:cNvGraphicFramePr>
            <a:graphic>
              <a:graphicData uri="http://schemas.openxmlformats.org/drawingml/2006/picture">
                <pic:pic>
                  <pic:nvPicPr>
                    <pic:cNvPr id="0" name="fig_06_cambio_simple.png"/>
                    <pic:cNvPicPr/>
                  </pic:nvPicPr>
                  <pic:blipFill>
                    <a:blip r:embed="rId13"/>
                    <a:stretch>
                      <a:fillRect/>
                    </a:stretch>
                  </pic:blipFill>
                  <pic:spPr>
                    <a:xfrm>
                      <a:off x="0" y="0"/>
                      <a:ext cx="5760720" cy="2258851"/>
                    </a:xfrm>
                    <a:prstGeom prst="rect"/>
                  </pic:spPr>
                </pic:pic>
              </a:graphicData>
            </a:graphic>
          </wp:inline>
        </w:drawing>
      </w:r>
    </w:p>
    <w:p>
      <w:pPr>
        <w:spacing w:after="60"/>
        <w:jc w:val="center"/>
      </w:pPr>
      <w:r>
        <w:rPr>
          <w:i/>
          <w:sz w:val="18"/>
        </w:rPr>
        <w:t>Figura 4. Cambio porcentual simple mensual del cierre de RKLB (%).</w:t>
      </w:r>
    </w:p>
    <w:p>
      <w:r>
        <w:rPr>
          <w:b/>
          <w:sz w:val="20"/>
        </w:rPr>
        <w:t>Interpretación.</w:t>
      </w:r>
      <w:r>
        <w:rPr>
          <w:sz w:val="20"/>
        </w:rPr>
        <w:t xml:space="preserve"> La serie oscila alrededor de cero sin tendencia y con oscilaciones de amplitud similar entre 2023 y 2026 (a diferencia de ΔY). Hay 26 meses positivos y 22 negativos; el extremo es +154.95 % en nov-2024 y la mayor caída -36.10 % en jul-2026. La asimetría (alzas hasta +155 %, caídas hasta −36 %) es propia del cambio simple.</w:t>
      </w:r>
    </w:p>
    <w:p>
      <w:pPr>
        <w:pStyle w:val="Heading3"/>
      </w:pPr>
      <w:r>
        <w:t>Respuestas a las preguntas de la sección</w:t>
      </w:r>
    </w:p>
    <w:p>
      <w:pPr>
        <w:keepNext/>
        <w:spacing w:after="20"/>
      </w:pPr>
      <w:r>
        <w:rPr>
          <w:b/>
        </w:rPr>
        <w:t>¿Cómo interpretan valores positivos y negativos?</w:t>
      </w:r>
    </w:p>
    <w:p>
      <w:pPr>
        <w:ind w:left="288"/>
      </w:pPr>
      <w:r>
        <w:t xml:space="preserve">Un valor positivo es un </w:t>
      </w:r>
      <w:r>
        <w:rPr>
          <w:b/>
        </w:rPr>
        <w:t>aumento porcentual</w:t>
      </w:r>
      <w:r>
        <w:t xml:space="preserve"> del precio respecto al mes anterior; uno negativo, una </w:t>
      </w:r>
      <w:r>
        <w:rPr>
          <w:b/>
        </w:rPr>
        <w:t>disminución porcentual</w:t>
      </w:r>
      <w:r>
        <w:t>. Hubo 26 meses positivos y 22 negativos; el cambio promedio es de +9.41 % (mediana +4.69 %) con desviación de 32.27 %. Por ejemplo, +154.95 % en nov-2024 significa que el precio de 10.70 USD se multiplicó por 2.55 hasta 27.28 USD, y -36.10 % en jul-2026 significa que bajó de 101.65 a 64.95 USD.</w:t>
      </w:r>
    </w:p>
    <w:p>
      <w:pPr>
        <w:keepNext/>
        <w:spacing w:after="20"/>
      </w:pPr>
      <w:r>
        <w:rPr>
          <w:b/>
        </w:rPr>
        <w:t>¿Por qué aparece NaN en la primera observación?</w:t>
      </w:r>
    </w:p>
    <w:p>
      <w:pPr>
        <w:ind w:left="288"/>
      </w:pPr>
      <w:r>
        <w:t>Porque la fórmula necesita Y(t−1) y para oct-2022, el primer mes de la muestra, no existe un mes previo en la base; el cálculo es indefinido. Se tiene 1 NaN, por lo que quedan 48 cambios porcentuales. No se imputa.</w:t>
      </w:r>
    </w:p>
    <w:p>
      <w:pPr>
        <w:keepNext/>
        <w:spacing w:after="20"/>
      </w:pPr>
      <w:r>
        <w:rPr>
          <w:b/>
        </w:rPr>
        <w:t>¿Qué diferencia existe respecto de la primera diferencia?</w:t>
      </w:r>
    </w:p>
    <w:p>
      <w:pPr>
        <w:ind w:left="288"/>
      </w:pPr>
      <w:r>
        <w:t xml:space="preserve">La primera diferencia es </w:t>
      </w:r>
      <w:r>
        <w:rPr>
          <w:b/>
        </w:rPr>
        <w:t>absoluta</w:t>
      </w:r>
      <w:r>
        <w:t xml:space="preserve"> (USD) y depende del nivel de precio; el cambio simple es </w:t>
      </w:r>
      <w:r>
        <w:rPr>
          <w:b/>
        </w:rPr>
        <w:t>relativo</w:t>
      </w:r>
      <w:r>
        <w:t xml:space="preserve"> (% del precio previo) y no tiene unidades. Ejemplos de RKLB: en sep-2023 el precio cayó solo 1.93 USD, pero eso fue -30.59 %; en may-2026 la mayor variación en dólares (+60.97 USD) fue +73.89 %; en cambio, el mayor cambio relativo (+154.95 %, nov-2024) solo representó +16.58 USD. Con ΔY, los meses de 2026 parecen enormes y los de 2023 insignificantes; con el cambio porcentual son comparables.</w:t>
      </w:r>
    </w:p>
    <w:p>
      <w:pPr>
        <w:pStyle w:val="Heading1"/>
      </w:pPr>
      <w:r>
        <w:t>7. Cambio logarítmico</w:t>
      </w:r>
    </w:p>
    <w:p>
      <w:pPr>
        <w:keepNext/>
        <w:spacing w:after="60"/>
      </w:pPr>
      <w:r>
        <w:rPr>
          <w:b/>
          <w:sz w:val="19"/>
        </w:rPr>
        <w:t>Tabla 9. Cambio logarítmico vs. cambio simple (primeras 8 observaciones)</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tblHeader w:val="true"/>
        </w:trPr>
        <w:tc>
          <w:tcPr>
            <w:tcW w:type="dxa" w:w="1584"/>
            <w:shd w:val="clear" w:color="auto" w:fill="1F4E79"/>
          </w:tcPr>
          <w:p>
            <w:pPr>
              <w:keepNext/>
              <w:jc w:val="center"/>
            </w:pPr>
            <w:r/>
            <w:r>
              <w:rPr>
                <w:b/>
                <w:color w:val="FFFFFF"/>
                <w:sz w:val="18"/>
              </w:rPr>
              <w:t>Mes</w:t>
            </w:r>
          </w:p>
        </w:tc>
        <w:tc>
          <w:tcPr>
            <w:tcW w:type="dxa" w:w="1872"/>
            <w:shd w:val="clear" w:color="auto" w:fill="1F4E79"/>
          </w:tcPr>
          <w:p>
            <w:pPr>
              <w:keepNext/>
              <w:jc w:val="center"/>
            </w:pPr>
            <w:r/>
            <w:r>
              <w:rPr>
                <w:b/>
                <w:color w:val="FFFFFF"/>
                <w:sz w:val="18"/>
              </w:rPr>
              <w:t>Cierre (USD)</w:t>
            </w:r>
          </w:p>
        </w:tc>
        <w:tc>
          <w:tcPr>
            <w:tcW w:type="dxa" w:w="2160"/>
            <w:shd w:val="clear" w:color="auto" w:fill="1F4E79"/>
          </w:tcPr>
          <w:p>
            <w:pPr>
              <w:keepNext/>
              <w:jc w:val="center"/>
            </w:pPr>
            <w:r/>
            <w:r>
              <w:rPr>
                <w:b/>
                <w:color w:val="FFFFFF"/>
                <w:sz w:val="18"/>
              </w:rPr>
              <w:t>Cambio simple (%)</w:t>
            </w:r>
          </w:p>
        </w:tc>
        <w:tc>
          <w:tcPr>
            <w:tcW w:type="dxa" w:w="2160"/>
            <w:shd w:val="clear" w:color="auto" w:fill="1F4E79"/>
          </w:tcPr>
          <w:p>
            <w:pPr>
              <w:keepNext/>
              <w:jc w:val="center"/>
            </w:pPr>
            <w:r/>
            <w:r>
              <w:rPr>
                <w:b/>
                <w:color w:val="FFFFFF"/>
                <w:sz w:val="18"/>
              </w:rPr>
              <w:t>Cambio log (%)</w:t>
            </w:r>
          </w:p>
        </w:tc>
      </w:tr>
      <w:tr>
        <w:trPr>
          <w:cantSplit w:val="true"/>
        </w:trPr>
        <w:tc>
          <w:tcPr>
            <w:tcW w:type="dxa" w:w="1584"/>
          </w:tcPr>
          <w:p>
            <w:pPr>
              <w:keepNext/>
              <w:spacing w:after="0"/>
              <w:jc w:val="left"/>
            </w:pPr>
            <w:r/>
            <w:r>
              <w:rPr>
                <w:sz w:val="18"/>
              </w:rPr>
              <w:t>2022-10</w:t>
            </w:r>
          </w:p>
        </w:tc>
        <w:tc>
          <w:tcPr>
            <w:tcW w:type="dxa" w:w="1872"/>
          </w:tcPr>
          <w:p>
            <w:pPr>
              <w:keepNext/>
              <w:spacing w:after="0"/>
              <w:jc w:val="right"/>
            </w:pPr>
            <w:r/>
            <w:r>
              <w:rPr>
                <w:sz w:val="18"/>
              </w:rPr>
              <w:t>5.09</w:t>
            </w:r>
          </w:p>
        </w:tc>
        <w:tc>
          <w:tcPr>
            <w:tcW w:type="dxa" w:w="2160"/>
          </w:tcPr>
          <w:p>
            <w:pPr>
              <w:keepNext/>
              <w:spacing w:after="0"/>
              <w:jc w:val="right"/>
            </w:pPr>
            <w:r/>
            <w:r>
              <w:rPr>
                <w:sz w:val="18"/>
              </w:rPr>
              <w:t>NaN</w:t>
            </w:r>
          </w:p>
        </w:tc>
        <w:tc>
          <w:tcPr>
            <w:tcW w:type="dxa" w:w="2160"/>
          </w:tcPr>
          <w:p>
            <w:pPr>
              <w:keepNext/>
              <w:spacing w:after="0"/>
              <w:jc w:val="right"/>
            </w:pPr>
            <w:r/>
            <w:r>
              <w:rPr>
                <w:sz w:val="18"/>
              </w:rPr>
              <w:t>NaN</w:t>
            </w:r>
          </w:p>
        </w:tc>
      </w:tr>
      <w:tr>
        <w:trPr>
          <w:cantSplit w:val="true"/>
        </w:trPr>
        <w:tc>
          <w:tcPr>
            <w:tcW w:type="dxa" w:w="1584"/>
            <w:shd w:val="clear" w:color="auto" w:fill="EAF1F8"/>
          </w:tcPr>
          <w:p>
            <w:pPr>
              <w:keepNext/>
              <w:spacing w:after="0"/>
              <w:jc w:val="left"/>
            </w:pPr>
            <w:r/>
            <w:r>
              <w:rPr>
                <w:sz w:val="18"/>
              </w:rPr>
              <w:t>2022-11</w:t>
            </w:r>
          </w:p>
        </w:tc>
        <w:tc>
          <w:tcPr>
            <w:tcW w:type="dxa" w:w="1872"/>
            <w:shd w:val="clear" w:color="auto" w:fill="EAF1F8"/>
          </w:tcPr>
          <w:p>
            <w:pPr>
              <w:keepNext/>
              <w:spacing w:after="0"/>
              <w:jc w:val="right"/>
            </w:pPr>
            <w:r/>
            <w:r>
              <w:rPr>
                <w:sz w:val="18"/>
              </w:rPr>
              <w:t>4.19</w:t>
            </w:r>
          </w:p>
        </w:tc>
        <w:tc>
          <w:tcPr>
            <w:tcW w:type="dxa" w:w="2160"/>
            <w:shd w:val="clear" w:color="auto" w:fill="EAF1F8"/>
          </w:tcPr>
          <w:p>
            <w:pPr>
              <w:keepNext/>
              <w:spacing w:after="0"/>
              <w:jc w:val="right"/>
            </w:pPr>
            <w:r/>
            <w:r>
              <w:rPr>
                <w:sz w:val="18"/>
              </w:rPr>
              <w:t>-17.68</w:t>
            </w:r>
          </w:p>
        </w:tc>
        <w:tc>
          <w:tcPr>
            <w:tcW w:type="dxa" w:w="2160"/>
            <w:shd w:val="clear" w:color="auto" w:fill="EAF1F8"/>
          </w:tcPr>
          <w:p>
            <w:pPr>
              <w:keepNext/>
              <w:spacing w:after="0"/>
              <w:jc w:val="right"/>
            </w:pPr>
            <w:r/>
            <w:r>
              <w:rPr>
                <w:sz w:val="18"/>
              </w:rPr>
              <w:t>-19.46</w:t>
            </w:r>
          </w:p>
        </w:tc>
      </w:tr>
      <w:tr>
        <w:trPr>
          <w:cantSplit w:val="true"/>
        </w:trPr>
        <w:tc>
          <w:tcPr>
            <w:tcW w:type="dxa" w:w="1584"/>
          </w:tcPr>
          <w:p>
            <w:pPr>
              <w:keepNext/>
              <w:spacing w:after="0"/>
              <w:jc w:val="left"/>
            </w:pPr>
            <w:r/>
            <w:r>
              <w:rPr>
                <w:sz w:val="18"/>
              </w:rPr>
              <w:t>2022-12</w:t>
            </w:r>
          </w:p>
        </w:tc>
        <w:tc>
          <w:tcPr>
            <w:tcW w:type="dxa" w:w="1872"/>
          </w:tcPr>
          <w:p>
            <w:pPr>
              <w:keepNext/>
              <w:spacing w:after="0"/>
              <w:jc w:val="right"/>
            </w:pPr>
            <w:r/>
            <w:r>
              <w:rPr>
                <w:sz w:val="18"/>
              </w:rPr>
              <w:t>3.77</w:t>
            </w:r>
          </w:p>
        </w:tc>
        <w:tc>
          <w:tcPr>
            <w:tcW w:type="dxa" w:w="2160"/>
          </w:tcPr>
          <w:p>
            <w:pPr>
              <w:keepNext/>
              <w:spacing w:after="0"/>
              <w:jc w:val="right"/>
            </w:pPr>
            <w:r/>
            <w:r>
              <w:rPr>
                <w:sz w:val="18"/>
              </w:rPr>
              <w:t>-10.02</w:t>
            </w:r>
          </w:p>
        </w:tc>
        <w:tc>
          <w:tcPr>
            <w:tcW w:type="dxa" w:w="2160"/>
          </w:tcPr>
          <w:p>
            <w:pPr>
              <w:keepNext/>
              <w:spacing w:after="0"/>
              <w:jc w:val="right"/>
            </w:pPr>
            <w:r/>
            <w:r>
              <w:rPr>
                <w:sz w:val="18"/>
              </w:rPr>
              <w:t>-10.56</w:t>
            </w:r>
          </w:p>
        </w:tc>
      </w:tr>
      <w:tr>
        <w:trPr>
          <w:cantSplit w:val="true"/>
        </w:trPr>
        <w:tc>
          <w:tcPr>
            <w:tcW w:type="dxa" w:w="1584"/>
            <w:shd w:val="clear" w:color="auto" w:fill="EAF1F8"/>
          </w:tcPr>
          <w:p>
            <w:pPr>
              <w:keepNext/>
              <w:spacing w:after="0"/>
              <w:jc w:val="left"/>
            </w:pPr>
            <w:r/>
            <w:r>
              <w:rPr>
                <w:sz w:val="18"/>
              </w:rPr>
              <w:t>2023-01</w:t>
            </w:r>
          </w:p>
        </w:tc>
        <w:tc>
          <w:tcPr>
            <w:tcW w:type="dxa" w:w="1872"/>
            <w:shd w:val="clear" w:color="auto" w:fill="EAF1F8"/>
          </w:tcPr>
          <w:p>
            <w:pPr>
              <w:keepNext/>
              <w:spacing w:after="0"/>
              <w:jc w:val="right"/>
            </w:pPr>
            <w:r/>
            <w:r>
              <w:rPr>
                <w:sz w:val="18"/>
              </w:rPr>
              <w:t>4.97</w:t>
            </w:r>
          </w:p>
        </w:tc>
        <w:tc>
          <w:tcPr>
            <w:tcW w:type="dxa" w:w="2160"/>
            <w:shd w:val="clear" w:color="auto" w:fill="EAF1F8"/>
          </w:tcPr>
          <w:p>
            <w:pPr>
              <w:keepNext/>
              <w:spacing w:after="0"/>
              <w:jc w:val="right"/>
            </w:pPr>
            <w:r/>
            <w:r>
              <w:rPr>
                <w:sz w:val="18"/>
              </w:rPr>
              <w:t>+31.83</w:t>
            </w:r>
          </w:p>
        </w:tc>
        <w:tc>
          <w:tcPr>
            <w:tcW w:type="dxa" w:w="2160"/>
            <w:shd w:val="clear" w:color="auto" w:fill="EAF1F8"/>
          </w:tcPr>
          <w:p>
            <w:pPr>
              <w:keepNext/>
              <w:spacing w:after="0"/>
              <w:jc w:val="right"/>
            </w:pPr>
            <w:r/>
            <w:r>
              <w:rPr>
                <w:sz w:val="18"/>
              </w:rPr>
              <w:t>+27.63</w:t>
            </w:r>
          </w:p>
        </w:tc>
      </w:tr>
      <w:tr>
        <w:trPr>
          <w:cantSplit w:val="true"/>
        </w:trPr>
        <w:tc>
          <w:tcPr>
            <w:tcW w:type="dxa" w:w="1584"/>
          </w:tcPr>
          <w:p>
            <w:pPr>
              <w:keepNext/>
              <w:spacing w:after="0"/>
              <w:jc w:val="left"/>
            </w:pPr>
            <w:r/>
            <w:r>
              <w:rPr>
                <w:sz w:val="18"/>
              </w:rPr>
              <w:t>2023-02</w:t>
            </w:r>
          </w:p>
        </w:tc>
        <w:tc>
          <w:tcPr>
            <w:tcW w:type="dxa" w:w="1872"/>
          </w:tcPr>
          <w:p>
            <w:pPr>
              <w:keepNext/>
              <w:spacing w:after="0"/>
              <w:jc w:val="right"/>
            </w:pPr>
            <w:r/>
            <w:r>
              <w:rPr>
                <w:sz w:val="18"/>
              </w:rPr>
              <w:t>4.50</w:t>
            </w:r>
          </w:p>
        </w:tc>
        <w:tc>
          <w:tcPr>
            <w:tcW w:type="dxa" w:w="2160"/>
          </w:tcPr>
          <w:p>
            <w:pPr>
              <w:keepNext/>
              <w:spacing w:after="0"/>
              <w:jc w:val="right"/>
            </w:pPr>
            <w:r/>
            <w:r>
              <w:rPr>
                <w:sz w:val="18"/>
              </w:rPr>
              <w:t>-9.46</w:t>
            </w:r>
          </w:p>
        </w:tc>
        <w:tc>
          <w:tcPr>
            <w:tcW w:type="dxa" w:w="2160"/>
          </w:tcPr>
          <w:p>
            <w:pPr>
              <w:keepNext/>
              <w:spacing w:after="0"/>
              <w:jc w:val="right"/>
            </w:pPr>
            <w:r/>
            <w:r>
              <w:rPr>
                <w:sz w:val="18"/>
              </w:rPr>
              <w:t>-9.93</w:t>
            </w:r>
          </w:p>
        </w:tc>
      </w:tr>
      <w:tr>
        <w:trPr>
          <w:cantSplit w:val="true"/>
        </w:trPr>
        <w:tc>
          <w:tcPr>
            <w:tcW w:type="dxa" w:w="1584"/>
            <w:shd w:val="clear" w:color="auto" w:fill="EAF1F8"/>
          </w:tcPr>
          <w:p>
            <w:pPr>
              <w:keepNext/>
              <w:spacing w:after="0"/>
              <w:jc w:val="left"/>
            </w:pPr>
            <w:r/>
            <w:r>
              <w:rPr>
                <w:sz w:val="18"/>
              </w:rPr>
              <w:t>2023-03</w:t>
            </w:r>
          </w:p>
        </w:tc>
        <w:tc>
          <w:tcPr>
            <w:tcW w:type="dxa" w:w="1872"/>
            <w:shd w:val="clear" w:color="auto" w:fill="EAF1F8"/>
          </w:tcPr>
          <w:p>
            <w:pPr>
              <w:keepNext/>
              <w:spacing w:after="0"/>
              <w:jc w:val="right"/>
            </w:pPr>
            <w:r/>
            <w:r>
              <w:rPr>
                <w:sz w:val="18"/>
              </w:rPr>
              <w:t>4.04</w:t>
            </w:r>
          </w:p>
        </w:tc>
        <w:tc>
          <w:tcPr>
            <w:tcW w:type="dxa" w:w="2160"/>
            <w:shd w:val="clear" w:color="auto" w:fill="EAF1F8"/>
          </w:tcPr>
          <w:p>
            <w:pPr>
              <w:keepNext/>
              <w:spacing w:after="0"/>
              <w:jc w:val="right"/>
            </w:pPr>
            <w:r/>
            <w:r>
              <w:rPr>
                <w:sz w:val="18"/>
              </w:rPr>
              <w:t>-10.22</w:t>
            </w:r>
          </w:p>
        </w:tc>
        <w:tc>
          <w:tcPr>
            <w:tcW w:type="dxa" w:w="2160"/>
            <w:shd w:val="clear" w:color="auto" w:fill="EAF1F8"/>
          </w:tcPr>
          <w:p>
            <w:pPr>
              <w:keepNext/>
              <w:spacing w:after="0"/>
              <w:jc w:val="right"/>
            </w:pPr>
            <w:r/>
            <w:r>
              <w:rPr>
                <w:sz w:val="18"/>
              </w:rPr>
              <w:t>-10.78</w:t>
            </w:r>
          </w:p>
        </w:tc>
      </w:tr>
      <w:tr>
        <w:trPr>
          <w:cantSplit w:val="true"/>
        </w:trPr>
        <w:tc>
          <w:tcPr>
            <w:tcW w:type="dxa" w:w="1584"/>
          </w:tcPr>
          <w:p>
            <w:pPr>
              <w:keepNext/>
              <w:spacing w:after="0"/>
              <w:jc w:val="left"/>
            </w:pPr>
            <w:r/>
            <w:r>
              <w:rPr>
                <w:sz w:val="18"/>
              </w:rPr>
              <w:t>2023-04</w:t>
            </w:r>
          </w:p>
        </w:tc>
        <w:tc>
          <w:tcPr>
            <w:tcW w:type="dxa" w:w="1872"/>
          </w:tcPr>
          <w:p>
            <w:pPr>
              <w:keepNext/>
              <w:spacing w:after="0"/>
              <w:jc w:val="right"/>
            </w:pPr>
            <w:r/>
            <w:r>
              <w:rPr>
                <w:sz w:val="18"/>
              </w:rPr>
              <w:t>3.92</w:t>
            </w:r>
          </w:p>
        </w:tc>
        <w:tc>
          <w:tcPr>
            <w:tcW w:type="dxa" w:w="2160"/>
          </w:tcPr>
          <w:p>
            <w:pPr>
              <w:keepNext/>
              <w:spacing w:after="0"/>
              <w:jc w:val="right"/>
            </w:pPr>
            <w:r/>
            <w:r>
              <w:rPr>
                <w:sz w:val="18"/>
              </w:rPr>
              <w:t>-2.97</w:t>
            </w:r>
          </w:p>
        </w:tc>
        <w:tc>
          <w:tcPr>
            <w:tcW w:type="dxa" w:w="2160"/>
          </w:tcPr>
          <w:p>
            <w:pPr>
              <w:keepNext/>
              <w:spacing w:after="0"/>
              <w:jc w:val="right"/>
            </w:pPr>
            <w:r/>
            <w:r>
              <w:rPr>
                <w:sz w:val="18"/>
              </w:rPr>
              <w:t>-3.02</w:t>
            </w:r>
          </w:p>
        </w:tc>
      </w:tr>
      <w:tr>
        <w:trPr>
          <w:cantSplit w:val="true"/>
        </w:trPr>
        <w:tc>
          <w:tcPr>
            <w:tcW w:type="dxa" w:w="1584"/>
            <w:shd w:val="clear" w:color="auto" w:fill="EAF1F8"/>
          </w:tcPr>
          <w:p>
            <w:pPr>
              <w:spacing w:after="0"/>
              <w:jc w:val="left"/>
            </w:pPr>
            <w:r/>
            <w:r>
              <w:rPr>
                <w:sz w:val="18"/>
              </w:rPr>
              <w:t>2023-05</w:t>
            </w:r>
          </w:p>
        </w:tc>
        <w:tc>
          <w:tcPr>
            <w:tcW w:type="dxa" w:w="1872"/>
            <w:shd w:val="clear" w:color="auto" w:fill="EAF1F8"/>
          </w:tcPr>
          <w:p>
            <w:pPr>
              <w:spacing w:after="0"/>
              <w:jc w:val="right"/>
            </w:pPr>
            <w:r/>
            <w:r>
              <w:rPr>
                <w:sz w:val="18"/>
              </w:rPr>
              <w:t>4.58</w:t>
            </w:r>
          </w:p>
        </w:tc>
        <w:tc>
          <w:tcPr>
            <w:tcW w:type="dxa" w:w="2160"/>
            <w:shd w:val="clear" w:color="auto" w:fill="EAF1F8"/>
          </w:tcPr>
          <w:p>
            <w:pPr>
              <w:spacing w:after="0"/>
              <w:jc w:val="right"/>
            </w:pPr>
            <w:r/>
            <w:r>
              <w:rPr>
                <w:sz w:val="18"/>
              </w:rPr>
              <w:t>+16.84</w:t>
            </w:r>
          </w:p>
        </w:tc>
        <w:tc>
          <w:tcPr>
            <w:tcW w:type="dxa" w:w="2160"/>
            <w:shd w:val="clear" w:color="auto" w:fill="EAF1F8"/>
          </w:tcPr>
          <w:p>
            <w:pPr>
              <w:spacing w:after="0"/>
              <w:jc w:val="right"/>
            </w:pPr>
            <w:r/>
            <w:r>
              <w:rPr>
                <w:sz w:val="18"/>
              </w:rPr>
              <w:t>+15.56</w:t>
            </w:r>
          </w:p>
        </w:tc>
      </w:tr>
    </w:tbl>
    <w:p>
      <w:pPr>
        <w:spacing w:after="40"/>
      </w:pPr>
    </w:p>
    <w:p>
      <w:pPr>
        <w:keepNext/>
        <w:spacing w:after="40"/>
        <w:jc w:val="center"/>
      </w:pPr>
      <w:r>
        <w:drawing>
          <wp:inline xmlns:a="http://schemas.openxmlformats.org/drawingml/2006/main" xmlns:pic="http://schemas.openxmlformats.org/drawingml/2006/picture">
            <wp:extent cx="5669280" cy="3761411"/>
            <wp:docPr id="5" name="Picture 5"/>
            <wp:cNvGraphicFramePr>
              <a:graphicFrameLocks noChangeAspect="1"/>
            </wp:cNvGraphicFramePr>
            <a:graphic>
              <a:graphicData uri="http://schemas.openxmlformats.org/drawingml/2006/picture">
                <pic:pic>
                  <pic:nvPicPr>
                    <pic:cNvPr id="0" name="fig_07_cambio_log.png"/>
                    <pic:cNvPicPr/>
                  </pic:nvPicPr>
                  <pic:blipFill>
                    <a:blip r:embed="rId14"/>
                    <a:stretch>
                      <a:fillRect/>
                    </a:stretch>
                  </pic:blipFill>
                  <pic:spPr>
                    <a:xfrm>
                      <a:off x="0" y="0"/>
                      <a:ext cx="5669280" cy="3761411"/>
                    </a:xfrm>
                    <a:prstGeom prst="rect"/>
                  </pic:spPr>
                </pic:pic>
              </a:graphicData>
            </a:graphic>
          </wp:inline>
        </w:drawing>
      </w:r>
    </w:p>
    <w:p>
      <w:pPr>
        <w:spacing w:after="60"/>
        <w:jc w:val="center"/>
      </w:pPr>
      <w:r>
        <w:rPr>
          <w:i/>
          <w:sz w:val="18"/>
        </w:rPr>
        <w:t>Figura 5. Arriba: cambio logarítmico mensual del cierre de RKLB. Abajo: comparación con el cambio simple (%).</w:t>
      </w:r>
    </w:p>
    <w:p>
      <w:r>
        <w:rPr>
          <w:b/>
          <w:sz w:val="20"/>
        </w:rPr>
        <w:t>Interpretación.</w:t>
      </w:r>
      <w:r>
        <w:rPr>
          <w:sz w:val="20"/>
        </w:rPr>
        <w:t xml:space="preserve"> El cambio logarítmico oscila alrededor de 5.47 % sin tendencia. En el panel inferior, las dos curvas casi coinciden en los meses tranquilos y se separan en los extremos (nov-2024: +154.95 % simple vs +93.59 % logarítmico), porque el logaritmo comprime las variaciones grandes.</w:t>
      </w:r>
    </w:p>
    <w:p>
      <w:pPr>
        <w:pStyle w:val="Heading3"/>
      </w:pPr>
      <w:r>
        <w:t>Respuestas a las preguntas de la sección</w:t>
      </w:r>
    </w:p>
    <w:p>
      <w:pPr>
        <w:keepNext/>
        <w:spacing w:after="20"/>
      </w:pPr>
      <w:r>
        <w:rPr>
          <w:b/>
        </w:rPr>
        <w:t>¿Cómo se interpreta el signo?</w:t>
      </w:r>
    </w:p>
    <w:p>
      <w:pPr>
        <w:ind w:left="288"/>
      </w:pPr>
      <w:r>
        <w:t xml:space="preserve">Positivo: el logaritmo del precio subió, o sea, el precio </w:t>
      </w:r>
      <w:r>
        <w:rPr>
          <w:b/>
        </w:rPr>
        <w:t>aumentó</w:t>
      </w:r>
      <w:r>
        <w:t xml:space="preserve"> respecto al mes anterior (26 meses); negativo: el precio </w:t>
      </w:r>
      <w:r>
        <w:rPr>
          <w:b/>
        </w:rPr>
        <w:t>disminuyó</w:t>
      </w:r>
      <w:r>
        <w:t xml:space="preserve"> (22 meses). La magnitud, multiplicada por 100, es una variación porcentual continua: +93.59 % en nov-2024 equivale a multiplicar el precio por e^0.936 = 2.55, y -44.79 % en jul-2026 a multiplicarlo por e^−0.448 = 0.64.</w:t>
      </w:r>
    </w:p>
    <w:p>
      <w:pPr>
        <w:keepNext/>
        <w:spacing w:after="20"/>
      </w:pPr>
      <w:r>
        <w:rPr>
          <w:b/>
        </w:rPr>
        <w:t>¿Qué tan parecido es al cambio porcentual simple?</w:t>
      </w:r>
    </w:p>
    <w:p>
      <w:pPr>
        <w:ind w:left="288"/>
      </w:pPr>
      <w:r>
        <w:t>Muy parecido cuando el cambio es pequeño y distinto cuando es grande. En toda la muestra la correlación entre ambos es de 0.9718. En los 16 meses con |cambio| &lt; 10 %, la diferencia máxima es de apenas 0.48 puntos porcentuales; en los 32 meses con |cambio| ≥ 10 % llega a 61.36 puntos (en nov-2024: +154.95 % simple vs +93.59 % logarítmico). Como RKLB se mueve en promedio 32.3 % por mes, la diferencia es relevante: el cambio promedio es de 9.41 % en simple y de 5.47 % en logarítmico.</w:t>
      </w:r>
    </w:p>
    <w:p>
      <w:pPr>
        <w:keepNext/>
        <w:spacing w:after="20"/>
      </w:pPr>
      <w:r>
        <w:rPr>
          <w:b/>
        </w:rPr>
        <w:t>¿Qué ventaja presenta para estudiar cambios a través del tiempo?</w:t>
      </w:r>
    </w:p>
    <w:p>
      <w:pPr>
        <w:ind w:left="288"/>
      </w:pPr>
      <w:r>
        <w:t xml:space="preserve">(1) </w:t>
      </w:r>
      <w:r>
        <w:rPr>
          <w:b/>
        </w:rPr>
        <w:t>Es aditivo en el tiempo</w:t>
      </w:r>
      <w:r>
        <w:t xml:space="preserve">: la suma de los 48 cambios logarítmicos (262.78 %) es exactamente ln(Y final / Y inicial)·100; con cambios simples no funciona (su suma es 451.8 % y el cambio acumulado real es 1,284.3 %). (2) Es </w:t>
      </w:r>
      <w:r>
        <w:rPr>
          <w:b/>
        </w:rPr>
        <w:t>simétrico</w:t>
      </w:r>
      <w:r>
        <w:t>: +100 % y −50 % simples dejan el precio igual, mientras que en logaritmos son +69.3 % y −69.3 %. (3) No está acotado por −100 % y su distribución es menos asimétrica (media 5.47 % y mediana 4.58 %, frente a 9.41 % y 4.69 % en simple).</w:t>
      </w:r>
    </w:p>
    <w:p>
      <w:pPr>
        <w:pStyle w:val="Heading1"/>
      </w:pPr>
      <w:r>
        <w:t>8. Comparación de transformaciones</w:t>
      </w:r>
    </w:p>
    <w:p>
      <w:pPr>
        <w:keepNext/>
        <w:spacing w:after="60"/>
      </w:pPr>
      <w:r>
        <w:rPr>
          <w:b/>
          <w:sz w:val="19"/>
        </w:rPr>
        <w:t>Tabla 10. Las cinco representaciones de la serie (primeros 10 meses)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val="true"/>
          <w:tblHeader w:val="true"/>
        </w:trPr>
        <w:tc>
          <w:tcPr>
            <w:tcW w:type="dxa" w:w="1560"/>
            <w:shd w:val="clear" w:color="auto" w:fill="1F4E79"/>
          </w:tcPr>
          <w:p>
            <w:pPr>
              <w:keepNext/>
              <w:jc w:val="center"/>
            </w:pPr>
            <w:r/>
            <w:r>
              <w:rPr>
                <w:b/>
                <w:color w:val="FFFFFF"/>
                <w:sz w:val="17"/>
              </w:rPr>
              <w:t>Mes</w:t>
            </w:r>
          </w:p>
        </w:tc>
        <w:tc>
          <w:tcPr>
            <w:tcW w:type="dxa" w:w="1560"/>
            <w:shd w:val="clear" w:color="auto" w:fill="1F4E79"/>
          </w:tcPr>
          <w:p>
            <w:pPr>
              <w:keepNext/>
              <w:jc w:val="center"/>
            </w:pPr>
            <w:r/>
            <w:r>
              <w:rPr>
                <w:b/>
                <w:color w:val="FFFFFF"/>
                <w:sz w:val="17"/>
              </w:rPr>
              <w:t>Nivel (USD)</w:t>
            </w:r>
          </w:p>
        </w:tc>
        <w:tc>
          <w:tcPr>
            <w:tcW w:type="dxa" w:w="1560"/>
            <w:shd w:val="clear" w:color="auto" w:fill="1F4E79"/>
          </w:tcPr>
          <w:p>
            <w:pPr>
              <w:keepNext/>
              <w:jc w:val="center"/>
            </w:pPr>
            <w:r/>
            <w:r>
              <w:rPr>
                <w:b/>
                <w:color w:val="FFFFFF"/>
                <w:sz w:val="17"/>
              </w:rPr>
              <w:t>1ª diferencia (USD)</w:t>
            </w:r>
          </w:p>
        </w:tc>
        <w:tc>
          <w:tcPr>
            <w:tcW w:type="dxa" w:w="1560"/>
            <w:shd w:val="clear" w:color="auto" w:fill="1F4E79"/>
          </w:tcPr>
          <w:p>
            <w:pPr>
              <w:keepNext/>
              <w:jc w:val="center"/>
            </w:pPr>
            <w:r/>
            <w:r>
              <w:rPr>
                <w:b/>
                <w:color w:val="FFFFFF"/>
                <w:sz w:val="17"/>
              </w:rPr>
              <w:t>ln(Y)</w:t>
            </w:r>
          </w:p>
        </w:tc>
        <w:tc>
          <w:tcPr>
            <w:tcW w:type="dxa" w:w="1560"/>
            <w:shd w:val="clear" w:color="auto" w:fill="1F4E79"/>
          </w:tcPr>
          <w:p>
            <w:pPr>
              <w:keepNext/>
              <w:jc w:val="center"/>
            </w:pPr>
            <w:r/>
            <w:r>
              <w:rPr>
                <w:b/>
                <w:color w:val="FFFFFF"/>
                <w:sz w:val="17"/>
              </w:rPr>
              <w:t>Cambio simple (%)</w:t>
            </w:r>
          </w:p>
        </w:tc>
        <w:tc>
          <w:tcPr>
            <w:tcW w:type="dxa" w:w="1560"/>
            <w:shd w:val="clear" w:color="auto" w:fill="1F4E79"/>
          </w:tcPr>
          <w:p>
            <w:pPr>
              <w:keepNext/>
              <w:jc w:val="center"/>
            </w:pPr>
            <w:r/>
            <w:r>
              <w:rPr>
                <w:b/>
                <w:color w:val="FFFFFF"/>
                <w:sz w:val="17"/>
              </w:rPr>
              <w:t>Cambio log (%)</w:t>
            </w:r>
          </w:p>
        </w:tc>
      </w:tr>
      <w:tr>
        <w:trPr>
          <w:cantSplit w:val="true"/>
        </w:trPr>
        <w:tc>
          <w:tcPr>
            <w:tcW w:type="dxa" w:w="1560"/>
          </w:tcPr>
          <w:p>
            <w:pPr>
              <w:keepNext/>
              <w:spacing w:after="0"/>
              <w:jc w:val="left"/>
            </w:pPr>
            <w:r/>
            <w:r>
              <w:rPr>
                <w:sz w:val="17"/>
              </w:rPr>
              <w:t>2022-10</w:t>
            </w:r>
          </w:p>
        </w:tc>
        <w:tc>
          <w:tcPr>
            <w:tcW w:type="dxa" w:w="1560"/>
          </w:tcPr>
          <w:p>
            <w:pPr>
              <w:keepNext/>
              <w:spacing w:after="0"/>
              <w:jc w:val="right"/>
            </w:pPr>
            <w:r/>
            <w:r>
              <w:rPr>
                <w:sz w:val="17"/>
              </w:rPr>
              <w:t>5.09</w:t>
            </w:r>
          </w:p>
        </w:tc>
        <w:tc>
          <w:tcPr>
            <w:tcW w:type="dxa" w:w="1560"/>
          </w:tcPr>
          <w:p>
            <w:pPr>
              <w:keepNext/>
              <w:spacing w:after="0"/>
              <w:jc w:val="right"/>
            </w:pPr>
            <w:r/>
            <w:r>
              <w:rPr>
                <w:sz w:val="17"/>
              </w:rPr>
              <w:t>NaN</w:t>
            </w:r>
          </w:p>
        </w:tc>
        <w:tc>
          <w:tcPr>
            <w:tcW w:type="dxa" w:w="1560"/>
          </w:tcPr>
          <w:p>
            <w:pPr>
              <w:keepNext/>
              <w:spacing w:after="0"/>
              <w:jc w:val="right"/>
            </w:pPr>
            <w:r/>
            <w:r>
              <w:rPr>
                <w:sz w:val="17"/>
              </w:rPr>
              <w:t>1.6273</w:t>
            </w:r>
          </w:p>
        </w:tc>
        <w:tc>
          <w:tcPr>
            <w:tcW w:type="dxa" w:w="1560"/>
          </w:tcPr>
          <w:p>
            <w:pPr>
              <w:keepNext/>
              <w:spacing w:after="0"/>
              <w:jc w:val="right"/>
            </w:pPr>
            <w:r/>
            <w:r>
              <w:rPr>
                <w:sz w:val="17"/>
              </w:rPr>
              <w:t>NaN</w:t>
            </w:r>
          </w:p>
        </w:tc>
        <w:tc>
          <w:tcPr>
            <w:tcW w:type="dxa" w:w="1560"/>
          </w:tcPr>
          <w:p>
            <w:pPr>
              <w:keepNext/>
              <w:spacing w:after="0"/>
              <w:jc w:val="right"/>
            </w:pPr>
            <w:r/>
            <w:r>
              <w:rPr>
                <w:sz w:val="17"/>
              </w:rPr>
              <w:t>NaN</w:t>
            </w:r>
          </w:p>
        </w:tc>
      </w:tr>
      <w:tr>
        <w:trPr>
          <w:cantSplit w:val="true"/>
        </w:trPr>
        <w:tc>
          <w:tcPr>
            <w:tcW w:type="dxa" w:w="1560"/>
            <w:shd w:val="clear" w:color="auto" w:fill="EAF1F8"/>
          </w:tcPr>
          <w:p>
            <w:pPr>
              <w:keepNext/>
              <w:spacing w:after="0"/>
              <w:jc w:val="left"/>
            </w:pPr>
            <w:r/>
            <w:r>
              <w:rPr>
                <w:sz w:val="17"/>
              </w:rPr>
              <w:t>2022-11</w:t>
            </w:r>
          </w:p>
        </w:tc>
        <w:tc>
          <w:tcPr>
            <w:tcW w:type="dxa" w:w="1560"/>
            <w:shd w:val="clear" w:color="auto" w:fill="EAF1F8"/>
          </w:tcPr>
          <w:p>
            <w:pPr>
              <w:keepNext/>
              <w:spacing w:after="0"/>
              <w:jc w:val="right"/>
            </w:pPr>
            <w:r/>
            <w:r>
              <w:rPr>
                <w:sz w:val="17"/>
              </w:rPr>
              <w:t>4.19</w:t>
            </w:r>
          </w:p>
        </w:tc>
        <w:tc>
          <w:tcPr>
            <w:tcW w:type="dxa" w:w="1560"/>
            <w:shd w:val="clear" w:color="auto" w:fill="EAF1F8"/>
          </w:tcPr>
          <w:p>
            <w:pPr>
              <w:keepNext/>
              <w:spacing w:after="0"/>
              <w:jc w:val="right"/>
            </w:pPr>
            <w:r/>
            <w:r>
              <w:rPr>
                <w:sz w:val="17"/>
              </w:rPr>
              <w:t>-0.90</w:t>
            </w:r>
          </w:p>
        </w:tc>
        <w:tc>
          <w:tcPr>
            <w:tcW w:type="dxa" w:w="1560"/>
            <w:shd w:val="clear" w:color="auto" w:fill="EAF1F8"/>
          </w:tcPr>
          <w:p>
            <w:pPr>
              <w:keepNext/>
              <w:spacing w:after="0"/>
              <w:jc w:val="right"/>
            </w:pPr>
            <w:r/>
            <w:r>
              <w:rPr>
                <w:sz w:val="17"/>
              </w:rPr>
              <w:t>1.4327</w:t>
            </w:r>
          </w:p>
        </w:tc>
        <w:tc>
          <w:tcPr>
            <w:tcW w:type="dxa" w:w="1560"/>
            <w:shd w:val="clear" w:color="auto" w:fill="EAF1F8"/>
          </w:tcPr>
          <w:p>
            <w:pPr>
              <w:keepNext/>
              <w:spacing w:after="0"/>
              <w:jc w:val="right"/>
            </w:pPr>
            <w:r/>
            <w:r>
              <w:rPr>
                <w:sz w:val="17"/>
              </w:rPr>
              <w:t>-17.68</w:t>
            </w:r>
          </w:p>
        </w:tc>
        <w:tc>
          <w:tcPr>
            <w:tcW w:type="dxa" w:w="1560"/>
            <w:shd w:val="clear" w:color="auto" w:fill="EAF1F8"/>
          </w:tcPr>
          <w:p>
            <w:pPr>
              <w:keepNext/>
              <w:spacing w:after="0"/>
              <w:jc w:val="right"/>
            </w:pPr>
            <w:r/>
            <w:r>
              <w:rPr>
                <w:sz w:val="17"/>
              </w:rPr>
              <w:t>-19.46</w:t>
            </w:r>
          </w:p>
        </w:tc>
      </w:tr>
      <w:tr>
        <w:trPr>
          <w:cantSplit w:val="true"/>
        </w:trPr>
        <w:tc>
          <w:tcPr>
            <w:tcW w:type="dxa" w:w="1560"/>
          </w:tcPr>
          <w:p>
            <w:pPr>
              <w:keepNext/>
              <w:spacing w:after="0"/>
              <w:jc w:val="left"/>
            </w:pPr>
            <w:r/>
            <w:r>
              <w:rPr>
                <w:sz w:val="17"/>
              </w:rPr>
              <w:t>2022-12</w:t>
            </w:r>
          </w:p>
        </w:tc>
        <w:tc>
          <w:tcPr>
            <w:tcW w:type="dxa" w:w="1560"/>
          </w:tcPr>
          <w:p>
            <w:pPr>
              <w:keepNext/>
              <w:spacing w:after="0"/>
              <w:jc w:val="right"/>
            </w:pPr>
            <w:r/>
            <w:r>
              <w:rPr>
                <w:sz w:val="17"/>
              </w:rPr>
              <w:t>3.77</w:t>
            </w:r>
          </w:p>
        </w:tc>
        <w:tc>
          <w:tcPr>
            <w:tcW w:type="dxa" w:w="1560"/>
          </w:tcPr>
          <w:p>
            <w:pPr>
              <w:keepNext/>
              <w:spacing w:after="0"/>
              <w:jc w:val="right"/>
            </w:pPr>
            <w:r/>
            <w:r>
              <w:rPr>
                <w:sz w:val="17"/>
              </w:rPr>
              <w:t>-0.42</w:t>
            </w:r>
          </w:p>
        </w:tc>
        <w:tc>
          <w:tcPr>
            <w:tcW w:type="dxa" w:w="1560"/>
          </w:tcPr>
          <w:p>
            <w:pPr>
              <w:keepNext/>
              <w:spacing w:after="0"/>
              <w:jc w:val="right"/>
            </w:pPr>
            <w:r/>
            <w:r>
              <w:rPr>
                <w:sz w:val="17"/>
              </w:rPr>
              <w:t>1.3271</w:t>
            </w:r>
          </w:p>
        </w:tc>
        <w:tc>
          <w:tcPr>
            <w:tcW w:type="dxa" w:w="1560"/>
          </w:tcPr>
          <w:p>
            <w:pPr>
              <w:keepNext/>
              <w:spacing w:after="0"/>
              <w:jc w:val="right"/>
            </w:pPr>
            <w:r/>
            <w:r>
              <w:rPr>
                <w:sz w:val="17"/>
              </w:rPr>
              <w:t>-10.02</w:t>
            </w:r>
          </w:p>
        </w:tc>
        <w:tc>
          <w:tcPr>
            <w:tcW w:type="dxa" w:w="1560"/>
          </w:tcPr>
          <w:p>
            <w:pPr>
              <w:keepNext/>
              <w:spacing w:after="0"/>
              <w:jc w:val="right"/>
            </w:pPr>
            <w:r/>
            <w:r>
              <w:rPr>
                <w:sz w:val="17"/>
              </w:rPr>
              <w:t>-10.56</w:t>
            </w:r>
          </w:p>
        </w:tc>
      </w:tr>
      <w:tr>
        <w:trPr>
          <w:cantSplit w:val="true"/>
        </w:trPr>
        <w:tc>
          <w:tcPr>
            <w:tcW w:type="dxa" w:w="1560"/>
            <w:shd w:val="clear" w:color="auto" w:fill="EAF1F8"/>
          </w:tcPr>
          <w:p>
            <w:pPr>
              <w:keepNext/>
              <w:spacing w:after="0"/>
              <w:jc w:val="left"/>
            </w:pPr>
            <w:r/>
            <w:r>
              <w:rPr>
                <w:sz w:val="17"/>
              </w:rPr>
              <w:t>2023-01</w:t>
            </w:r>
          </w:p>
        </w:tc>
        <w:tc>
          <w:tcPr>
            <w:tcW w:type="dxa" w:w="1560"/>
            <w:shd w:val="clear" w:color="auto" w:fill="EAF1F8"/>
          </w:tcPr>
          <w:p>
            <w:pPr>
              <w:keepNext/>
              <w:spacing w:after="0"/>
              <w:jc w:val="right"/>
            </w:pPr>
            <w:r/>
            <w:r>
              <w:rPr>
                <w:sz w:val="17"/>
              </w:rPr>
              <w:t>4.97</w:t>
            </w:r>
          </w:p>
        </w:tc>
        <w:tc>
          <w:tcPr>
            <w:tcW w:type="dxa" w:w="1560"/>
            <w:shd w:val="clear" w:color="auto" w:fill="EAF1F8"/>
          </w:tcPr>
          <w:p>
            <w:pPr>
              <w:keepNext/>
              <w:spacing w:after="0"/>
              <w:jc w:val="right"/>
            </w:pPr>
            <w:r/>
            <w:r>
              <w:rPr>
                <w:sz w:val="17"/>
              </w:rPr>
              <w:t>+1.20</w:t>
            </w:r>
          </w:p>
        </w:tc>
        <w:tc>
          <w:tcPr>
            <w:tcW w:type="dxa" w:w="1560"/>
            <w:shd w:val="clear" w:color="auto" w:fill="EAF1F8"/>
          </w:tcPr>
          <w:p>
            <w:pPr>
              <w:keepNext/>
              <w:spacing w:after="0"/>
              <w:jc w:val="right"/>
            </w:pPr>
            <w:r/>
            <w:r>
              <w:rPr>
                <w:sz w:val="17"/>
              </w:rPr>
              <w:t>1.6034</w:t>
            </w:r>
          </w:p>
        </w:tc>
        <w:tc>
          <w:tcPr>
            <w:tcW w:type="dxa" w:w="1560"/>
            <w:shd w:val="clear" w:color="auto" w:fill="EAF1F8"/>
          </w:tcPr>
          <w:p>
            <w:pPr>
              <w:keepNext/>
              <w:spacing w:after="0"/>
              <w:jc w:val="right"/>
            </w:pPr>
            <w:r/>
            <w:r>
              <w:rPr>
                <w:sz w:val="17"/>
              </w:rPr>
              <w:t>+31.83</w:t>
            </w:r>
          </w:p>
        </w:tc>
        <w:tc>
          <w:tcPr>
            <w:tcW w:type="dxa" w:w="1560"/>
            <w:shd w:val="clear" w:color="auto" w:fill="EAF1F8"/>
          </w:tcPr>
          <w:p>
            <w:pPr>
              <w:keepNext/>
              <w:spacing w:after="0"/>
              <w:jc w:val="right"/>
            </w:pPr>
            <w:r/>
            <w:r>
              <w:rPr>
                <w:sz w:val="17"/>
              </w:rPr>
              <w:t>+27.63</w:t>
            </w:r>
          </w:p>
        </w:tc>
      </w:tr>
      <w:tr>
        <w:trPr>
          <w:cantSplit w:val="true"/>
        </w:trPr>
        <w:tc>
          <w:tcPr>
            <w:tcW w:type="dxa" w:w="1560"/>
          </w:tcPr>
          <w:p>
            <w:pPr>
              <w:keepNext/>
              <w:spacing w:after="0"/>
              <w:jc w:val="left"/>
            </w:pPr>
            <w:r/>
            <w:r>
              <w:rPr>
                <w:sz w:val="17"/>
              </w:rPr>
              <w:t>2023-02</w:t>
            </w:r>
          </w:p>
        </w:tc>
        <w:tc>
          <w:tcPr>
            <w:tcW w:type="dxa" w:w="1560"/>
          </w:tcPr>
          <w:p>
            <w:pPr>
              <w:keepNext/>
              <w:spacing w:after="0"/>
              <w:jc w:val="right"/>
            </w:pPr>
            <w:r/>
            <w:r>
              <w:rPr>
                <w:sz w:val="17"/>
              </w:rPr>
              <w:t>4.50</w:t>
            </w:r>
          </w:p>
        </w:tc>
        <w:tc>
          <w:tcPr>
            <w:tcW w:type="dxa" w:w="1560"/>
          </w:tcPr>
          <w:p>
            <w:pPr>
              <w:keepNext/>
              <w:spacing w:after="0"/>
              <w:jc w:val="right"/>
            </w:pPr>
            <w:r/>
            <w:r>
              <w:rPr>
                <w:sz w:val="17"/>
              </w:rPr>
              <w:t>-0.47</w:t>
            </w:r>
          </w:p>
        </w:tc>
        <w:tc>
          <w:tcPr>
            <w:tcW w:type="dxa" w:w="1560"/>
          </w:tcPr>
          <w:p>
            <w:pPr>
              <w:keepNext/>
              <w:spacing w:after="0"/>
              <w:jc w:val="right"/>
            </w:pPr>
            <w:r/>
            <w:r>
              <w:rPr>
                <w:sz w:val="17"/>
              </w:rPr>
              <w:t>1.5041</w:t>
            </w:r>
          </w:p>
        </w:tc>
        <w:tc>
          <w:tcPr>
            <w:tcW w:type="dxa" w:w="1560"/>
          </w:tcPr>
          <w:p>
            <w:pPr>
              <w:keepNext/>
              <w:spacing w:after="0"/>
              <w:jc w:val="right"/>
            </w:pPr>
            <w:r/>
            <w:r>
              <w:rPr>
                <w:sz w:val="17"/>
              </w:rPr>
              <w:t>-9.46</w:t>
            </w:r>
          </w:p>
        </w:tc>
        <w:tc>
          <w:tcPr>
            <w:tcW w:type="dxa" w:w="1560"/>
          </w:tcPr>
          <w:p>
            <w:pPr>
              <w:keepNext/>
              <w:spacing w:after="0"/>
              <w:jc w:val="right"/>
            </w:pPr>
            <w:r/>
            <w:r>
              <w:rPr>
                <w:sz w:val="17"/>
              </w:rPr>
              <w:t>-9.93</w:t>
            </w:r>
          </w:p>
        </w:tc>
      </w:tr>
      <w:tr>
        <w:trPr>
          <w:cantSplit w:val="true"/>
        </w:trPr>
        <w:tc>
          <w:tcPr>
            <w:tcW w:type="dxa" w:w="1560"/>
            <w:shd w:val="clear" w:color="auto" w:fill="EAF1F8"/>
          </w:tcPr>
          <w:p>
            <w:pPr>
              <w:keepNext/>
              <w:spacing w:after="0"/>
              <w:jc w:val="left"/>
            </w:pPr>
            <w:r/>
            <w:r>
              <w:rPr>
                <w:sz w:val="17"/>
              </w:rPr>
              <w:t>2023-03</w:t>
            </w:r>
          </w:p>
        </w:tc>
        <w:tc>
          <w:tcPr>
            <w:tcW w:type="dxa" w:w="1560"/>
            <w:shd w:val="clear" w:color="auto" w:fill="EAF1F8"/>
          </w:tcPr>
          <w:p>
            <w:pPr>
              <w:keepNext/>
              <w:spacing w:after="0"/>
              <w:jc w:val="right"/>
            </w:pPr>
            <w:r/>
            <w:r>
              <w:rPr>
                <w:sz w:val="17"/>
              </w:rPr>
              <w:t>4.04</w:t>
            </w:r>
          </w:p>
        </w:tc>
        <w:tc>
          <w:tcPr>
            <w:tcW w:type="dxa" w:w="1560"/>
            <w:shd w:val="clear" w:color="auto" w:fill="EAF1F8"/>
          </w:tcPr>
          <w:p>
            <w:pPr>
              <w:keepNext/>
              <w:spacing w:after="0"/>
              <w:jc w:val="right"/>
            </w:pPr>
            <w:r/>
            <w:r>
              <w:rPr>
                <w:sz w:val="17"/>
              </w:rPr>
              <w:t>-0.46</w:t>
            </w:r>
          </w:p>
        </w:tc>
        <w:tc>
          <w:tcPr>
            <w:tcW w:type="dxa" w:w="1560"/>
            <w:shd w:val="clear" w:color="auto" w:fill="EAF1F8"/>
          </w:tcPr>
          <w:p>
            <w:pPr>
              <w:keepNext/>
              <w:spacing w:after="0"/>
              <w:jc w:val="right"/>
            </w:pPr>
            <w:r/>
            <w:r>
              <w:rPr>
                <w:sz w:val="17"/>
              </w:rPr>
              <w:t>1.3962</w:t>
            </w:r>
          </w:p>
        </w:tc>
        <w:tc>
          <w:tcPr>
            <w:tcW w:type="dxa" w:w="1560"/>
            <w:shd w:val="clear" w:color="auto" w:fill="EAF1F8"/>
          </w:tcPr>
          <w:p>
            <w:pPr>
              <w:keepNext/>
              <w:spacing w:after="0"/>
              <w:jc w:val="right"/>
            </w:pPr>
            <w:r/>
            <w:r>
              <w:rPr>
                <w:sz w:val="17"/>
              </w:rPr>
              <w:t>-10.22</w:t>
            </w:r>
          </w:p>
        </w:tc>
        <w:tc>
          <w:tcPr>
            <w:tcW w:type="dxa" w:w="1560"/>
            <w:shd w:val="clear" w:color="auto" w:fill="EAF1F8"/>
          </w:tcPr>
          <w:p>
            <w:pPr>
              <w:keepNext/>
              <w:spacing w:after="0"/>
              <w:jc w:val="right"/>
            </w:pPr>
            <w:r/>
            <w:r>
              <w:rPr>
                <w:sz w:val="17"/>
              </w:rPr>
              <w:t>-10.78</w:t>
            </w:r>
          </w:p>
        </w:tc>
      </w:tr>
      <w:tr>
        <w:trPr>
          <w:cantSplit w:val="true"/>
        </w:trPr>
        <w:tc>
          <w:tcPr>
            <w:tcW w:type="dxa" w:w="1560"/>
          </w:tcPr>
          <w:p>
            <w:pPr>
              <w:keepNext/>
              <w:spacing w:after="0"/>
              <w:jc w:val="left"/>
            </w:pPr>
            <w:r/>
            <w:r>
              <w:rPr>
                <w:sz w:val="17"/>
              </w:rPr>
              <w:t>2023-04</w:t>
            </w:r>
          </w:p>
        </w:tc>
        <w:tc>
          <w:tcPr>
            <w:tcW w:type="dxa" w:w="1560"/>
          </w:tcPr>
          <w:p>
            <w:pPr>
              <w:keepNext/>
              <w:spacing w:after="0"/>
              <w:jc w:val="right"/>
            </w:pPr>
            <w:r/>
            <w:r>
              <w:rPr>
                <w:sz w:val="17"/>
              </w:rPr>
              <w:t>3.92</w:t>
            </w:r>
          </w:p>
        </w:tc>
        <w:tc>
          <w:tcPr>
            <w:tcW w:type="dxa" w:w="1560"/>
          </w:tcPr>
          <w:p>
            <w:pPr>
              <w:keepNext/>
              <w:spacing w:after="0"/>
              <w:jc w:val="right"/>
            </w:pPr>
            <w:r/>
            <w:r>
              <w:rPr>
                <w:sz w:val="17"/>
              </w:rPr>
              <w:t>-0.12</w:t>
            </w:r>
          </w:p>
        </w:tc>
        <w:tc>
          <w:tcPr>
            <w:tcW w:type="dxa" w:w="1560"/>
          </w:tcPr>
          <w:p>
            <w:pPr>
              <w:keepNext/>
              <w:spacing w:after="0"/>
              <w:jc w:val="right"/>
            </w:pPr>
            <w:r/>
            <w:r>
              <w:rPr>
                <w:sz w:val="17"/>
              </w:rPr>
              <w:t>1.3661</w:t>
            </w:r>
          </w:p>
        </w:tc>
        <w:tc>
          <w:tcPr>
            <w:tcW w:type="dxa" w:w="1560"/>
          </w:tcPr>
          <w:p>
            <w:pPr>
              <w:keepNext/>
              <w:spacing w:after="0"/>
              <w:jc w:val="right"/>
            </w:pPr>
            <w:r/>
            <w:r>
              <w:rPr>
                <w:sz w:val="17"/>
              </w:rPr>
              <w:t>-2.97</w:t>
            </w:r>
          </w:p>
        </w:tc>
        <w:tc>
          <w:tcPr>
            <w:tcW w:type="dxa" w:w="1560"/>
          </w:tcPr>
          <w:p>
            <w:pPr>
              <w:keepNext/>
              <w:spacing w:after="0"/>
              <w:jc w:val="right"/>
            </w:pPr>
            <w:r/>
            <w:r>
              <w:rPr>
                <w:sz w:val="17"/>
              </w:rPr>
              <w:t>-3.02</w:t>
            </w:r>
          </w:p>
        </w:tc>
      </w:tr>
      <w:tr>
        <w:trPr>
          <w:cantSplit w:val="true"/>
        </w:trPr>
        <w:tc>
          <w:tcPr>
            <w:tcW w:type="dxa" w:w="1560"/>
            <w:shd w:val="clear" w:color="auto" w:fill="EAF1F8"/>
          </w:tcPr>
          <w:p>
            <w:pPr>
              <w:keepNext/>
              <w:spacing w:after="0"/>
              <w:jc w:val="left"/>
            </w:pPr>
            <w:r/>
            <w:r>
              <w:rPr>
                <w:sz w:val="17"/>
              </w:rPr>
              <w:t>2023-05</w:t>
            </w:r>
          </w:p>
        </w:tc>
        <w:tc>
          <w:tcPr>
            <w:tcW w:type="dxa" w:w="1560"/>
            <w:shd w:val="clear" w:color="auto" w:fill="EAF1F8"/>
          </w:tcPr>
          <w:p>
            <w:pPr>
              <w:keepNext/>
              <w:spacing w:after="0"/>
              <w:jc w:val="right"/>
            </w:pPr>
            <w:r/>
            <w:r>
              <w:rPr>
                <w:sz w:val="17"/>
              </w:rPr>
              <w:t>4.58</w:t>
            </w:r>
          </w:p>
        </w:tc>
        <w:tc>
          <w:tcPr>
            <w:tcW w:type="dxa" w:w="1560"/>
            <w:shd w:val="clear" w:color="auto" w:fill="EAF1F8"/>
          </w:tcPr>
          <w:p>
            <w:pPr>
              <w:keepNext/>
              <w:spacing w:after="0"/>
              <w:jc w:val="right"/>
            </w:pPr>
            <w:r/>
            <w:r>
              <w:rPr>
                <w:sz w:val="17"/>
              </w:rPr>
              <w:t>+0.66</w:t>
            </w:r>
          </w:p>
        </w:tc>
        <w:tc>
          <w:tcPr>
            <w:tcW w:type="dxa" w:w="1560"/>
            <w:shd w:val="clear" w:color="auto" w:fill="EAF1F8"/>
          </w:tcPr>
          <w:p>
            <w:pPr>
              <w:keepNext/>
              <w:spacing w:after="0"/>
              <w:jc w:val="right"/>
            </w:pPr>
            <w:r/>
            <w:r>
              <w:rPr>
                <w:sz w:val="17"/>
              </w:rPr>
              <w:t>1.5217</w:t>
            </w:r>
          </w:p>
        </w:tc>
        <w:tc>
          <w:tcPr>
            <w:tcW w:type="dxa" w:w="1560"/>
            <w:shd w:val="clear" w:color="auto" w:fill="EAF1F8"/>
          </w:tcPr>
          <w:p>
            <w:pPr>
              <w:keepNext/>
              <w:spacing w:after="0"/>
              <w:jc w:val="right"/>
            </w:pPr>
            <w:r/>
            <w:r>
              <w:rPr>
                <w:sz w:val="17"/>
              </w:rPr>
              <w:t>+16.84</w:t>
            </w:r>
          </w:p>
        </w:tc>
        <w:tc>
          <w:tcPr>
            <w:tcW w:type="dxa" w:w="1560"/>
            <w:shd w:val="clear" w:color="auto" w:fill="EAF1F8"/>
          </w:tcPr>
          <w:p>
            <w:pPr>
              <w:keepNext/>
              <w:spacing w:after="0"/>
              <w:jc w:val="right"/>
            </w:pPr>
            <w:r/>
            <w:r>
              <w:rPr>
                <w:sz w:val="17"/>
              </w:rPr>
              <w:t>+15.56</w:t>
            </w:r>
          </w:p>
        </w:tc>
      </w:tr>
      <w:tr>
        <w:trPr>
          <w:cantSplit w:val="true"/>
        </w:trPr>
        <w:tc>
          <w:tcPr>
            <w:tcW w:type="dxa" w:w="1560"/>
          </w:tcPr>
          <w:p>
            <w:pPr>
              <w:keepNext/>
              <w:spacing w:after="0"/>
              <w:jc w:val="left"/>
            </w:pPr>
            <w:r/>
            <w:r>
              <w:rPr>
                <w:sz w:val="17"/>
              </w:rPr>
              <w:t>2023-06</w:t>
            </w:r>
          </w:p>
        </w:tc>
        <w:tc>
          <w:tcPr>
            <w:tcW w:type="dxa" w:w="1560"/>
          </w:tcPr>
          <w:p>
            <w:pPr>
              <w:keepNext/>
              <w:spacing w:after="0"/>
              <w:jc w:val="right"/>
            </w:pPr>
            <w:r/>
            <w:r>
              <w:rPr>
                <w:sz w:val="17"/>
              </w:rPr>
              <w:t>6.00</w:t>
            </w:r>
          </w:p>
        </w:tc>
        <w:tc>
          <w:tcPr>
            <w:tcW w:type="dxa" w:w="1560"/>
          </w:tcPr>
          <w:p>
            <w:pPr>
              <w:keepNext/>
              <w:spacing w:after="0"/>
              <w:jc w:val="right"/>
            </w:pPr>
            <w:r/>
            <w:r>
              <w:rPr>
                <w:sz w:val="17"/>
              </w:rPr>
              <w:t>+1.42</w:t>
            </w:r>
          </w:p>
        </w:tc>
        <w:tc>
          <w:tcPr>
            <w:tcW w:type="dxa" w:w="1560"/>
          </w:tcPr>
          <w:p>
            <w:pPr>
              <w:keepNext/>
              <w:spacing w:after="0"/>
              <w:jc w:val="right"/>
            </w:pPr>
            <w:r/>
            <w:r>
              <w:rPr>
                <w:sz w:val="17"/>
              </w:rPr>
              <w:t>1.7918</w:t>
            </w:r>
          </w:p>
        </w:tc>
        <w:tc>
          <w:tcPr>
            <w:tcW w:type="dxa" w:w="1560"/>
          </w:tcPr>
          <w:p>
            <w:pPr>
              <w:keepNext/>
              <w:spacing w:after="0"/>
              <w:jc w:val="right"/>
            </w:pPr>
            <w:r/>
            <w:r>
              <w:rPr>
                <w:sz w:val="17"/>
              </w:rPr>
              <w:t>+31.00</w:t>
            </w:r>
          </w:p>
        </w:tc>
        <w:tc>
          <w:tcPr>
            <w:tcW w:type="dxa" w:w="1560"/>
          </w:tcPr>
          <w:p>
            <w:pPr>
              <w:keepNext/>
              <w:spacing w:after="0"/>
              <w:jc w:val="right"/>
            </w:pPr>
            <w:r/>
            <w:r>
              <w:rPr>
                <w:sz w:val="17"/>
              </w:rPr>
              <w:t>+27.01</w:t>
            </w:r>
          </w:p>
        </w:tc>
      </w:tr>
      <w:tr>
        <w:trPr>
          <w:cantSplit w:val="true"/>
        </w:trPr>
        <w:tc>
          <w:tcPr>
            <w:tcW w:type="dxa" w:w="1560"/>
            <w:shd w:val="clear" w:color="auto" w:fill="EAF1F8"/>
          </w:tcPr>
          <w:p>
            <w:pPr>
              <w:spacing w:after="0"/>
              <w:jc w:val="left"/>
            </w:pPr>
            <w:r/>
            <w:r>
              <w:rPr>
                <w:sz w:val="17"/>
              </w:rPr>
              <w:t>2023-07</w:t>
            </w:r>
          </w:p>
        </w:tc>
        <w:tc>
          <w:tcPr>
            <w:tcW w:type="dxa" w:w="1560"/>
            <w:shd w:val="clear" w:color="auto" w:fill="EAF1F8"/>
          </w:tcPr>
          <w:p>
            <w:pPr>
              <w:spacing w:after="0"/>
              <w:jc w:val="right"/>
            </w:pPr>
            <w:r/>
            <w:r>
              <w:rPr>
                <w:sz w:val="17"/>
              </w:rPr>
              <w:t>7.37</w:t>
            </w:r>
          </w:p>
        </w:tc>
        <w:tc>
          <w:tcPr>
            <w:tcW w:type="dxa" w:w="1560"/>
            <w:shd w:val="clear" w:color="auto" w:fill="EAF1F8"/>
          </w:tcPr>
          <w:p>
            <w:pPr>
              <w:spacing w:after="0"/>
              <w:jc w:val="right"/>
            </w:pPr>
            <w:r/>
            <w:r>
              <w:rPr>
                <w:sz w:val="17"/>
              </w:rPr>
              <w:t>+1.37</w:t>
            </w:r>
          </w:p>
        </w:tc>
        <w:tc>
          <w:tcPr>
            <w:tcW w:type="dxa" w:w="1560"/>
            <w:shd w:val="clear" w:color="auto" w:fill="EAF1F8"/>
          </w:tcPr>
          <w:p>
            <w:pPr>
              <w:spacing w:after="0"/>
              <w:jc w:val="right"/>
            </w:pPr>
            <w:r/>
            <w:r>
              <w:rPr>
                <w:sz w:val="17"/>
              </w:rPr>
              <w:t>1.9974</w:t>
            </w:r>
          </w:p>
        </w:tc>
        <w:tc>
          <w:tcPr>
            <w:tcW w:type="dxa" w:w="1560"/>
            <w:shd w:val="clear" w:color="auto" w:fill="EAF1F8"/>
          </w:tcPr>
          <w:p>
            <w:pPr>
              <w:spacing w:after="0"/>
              <w:jc w:val="right"/>
            </w:pPr>
            <w:r/>
            <w:r>
              <w:rPr>
                <w:sz w:val="17"/>
              </w:rPr>
              <w:t>+22.83</w:t>
            </w:r>
          </w:p>
        </w:tc>
        <w:tc>
          <w:tcPr>
            <w:tcW w:type="dxa" w:w="1560"/>
            <w:shd w:val="clear" w:color="auto" w:fill="EAF1F8"/>
          </w:tcPr>
          <w:p>
            <w:pPr>
              <w:spacing w:after="0"/>
              <w:jc w:val="right"/>
            </w:pPr>
            <w:r/>
            <w:r>
              <w:rPr>
                <w:sz w:val="17"/>
              </w:rPr>
              <w:t>+20.57</w:t>
            </w:r>
          </w:p>
        </w:tc>
      </w:tr>
    </w:tbl>
    <w:p>
      <w:pPr>
        <w:spacing w:after="160"/>
      </w:pPr>
      <w:r>
        <w:rPr>
          <w:i/>
          <w:sz w:val="17"/>
        </w:rPr>
        <w:t>La tabla completa de 49 meses está en el notebook y en tablas/t08_comparacion_completa.csv.</w:t>
      </w:r>
    </w:p>
    <w:p>
      <w:pPr>
        <w:keepNext/>
        <w:spacing w:after="60"/>
      </w:pPr>
      <w:r>
        <w:rPr>
          <w:b/>
          <w:sz w:val="19"/>
        </w:rPr>
        <w:t>Tabla 11. Resumen comparativo de las transformaciones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cantSplit w:val="true"/>
          <w:tblHeader w:val="true"/>
        </w:trPr>
        <w:tc>
          <w:tcPr>
            <w:tcW w:type="dxa" w:w="1040"/>
            <w:shd w:val="clear" w:color="auto" w:fill="1F4E79"/>
          </w:tcPr>
          <w:p>
            <w:pPr>
              <w:keepNext/>
              <w:jc w:val="center"/>
            </w:pPr>
            <w:r/>
            <w:r>
              <w:rPr>
                <w:b/>
                <w:color w:val="FFFFFF"/>
                <w:sz w:val="17"/>
              </w:rPr>
              <w:t>Transformación</w:t>
            </w:r>
          </w:p>
        </w:tc>
        <w:tc>
          <w:tcPr>
            <w:tcW w:type="dxa" w:w="1040"/>
            <w:shd w:val="clear" w:color="auto" w:fill="1F4E79"/>
          </w:tcPr>
          <w:p>
            <w:pPr>
              <w:keepNext/>
              <w:jc w:val="center"/>
            </w:pPr>
            <w:r/>
            <w:r>
              <w:rPr>
                <w:b/>
                <w:color w:val="FFFFFF"/>
                <w:sz w:val="17"/>
              </w:rPr>
              <w:t>n</w:t>
            </w:r>
          </w:p>
        </w:tc>
        <w:tc>
          <w:tcPr>
            <w:tcW w:type="dxa" w:w="1040"/>
            <w:shd w:val="clear" w:color="auto" w:fill="1F4E79"/>
          </w:tcPr>
          <w:p>
            <w:pPr>
              <w:keepNext/>
              <w:jc w:val="center"/>
            </w:pPr>
            <w:r/>
            <w:r>
              <w:rPr>
                <w:b/>
                <w:color w:val="FFFFFF"/>
                <w:sz w:val="17"/>
              </w:rPr>
              <w:t>media</w:t>
            </w:r>
          </w:p>
        </w:tc>
        <w:tc>
          <w:tcPr>
            <w:tcW w:type="dxa" w:w="1040"/>
            <w:shd w:val="clear" w:color="auto" w:fill="1F4E79"/>
          </w:tcPr>
          <w:p>
            <w:pPr>
              <w:keepNext/>
              <w:jc w:val="center"/>
            </w:pPr>
            <w:r/>
            <w:r>
              <w:rPr>
                <w:b/>
                <w:color w:val="FFFFFF"/>
                <w:sz w:val="17"/>
              </w:rPr>
              <w:t>desv. est.</w:t>
            </w:r>
          </w:p>
        </w:tc>
        <w:tc>
          <w:tcPr>
            <w:tcW w:type="dxa" w:w="1040"/>
            <w:shd w:val="clear" w:color="auto" w:fill="1F4E79"/>
          </w:tcPr>
          <w:p>
            <w:pPr>
              <w:keepNext/>
              <w:jc w:val="center"/>
            </w:pPr>
            <w:r/>
            <w:r>
              <w:rPr>
                <w:b/>
                <w:color w:val="FFFFFF"/>
                <w:sz w:val="17"/>
              </w:rPr>
              <w:t>mín</w:t>
            </w:r>
          </w:p>
        </w:tc>
        <w:tc>
          <w:tcPr>
            <w:tcW w:type="dxa" w:w="1040"/>
            <w:shd w:val="clear" w:color="auto" w:fill="1F4E79"/>
          </w:tcPr>
          <w:p>
            <w:pPr>
              <w:keepNext/>
              <w:jc w:val="center"/>
            </w:pPr>
            <w:r/>
            <w:r>
              <w:rPr>
                <w:b/>
                <w:color w:val="FFFFFF"/>
                <w:sz w:val="17"/>
              </w:rPr>
              <w:t>máx</w:t>
            </w:r>
          </w:p>
        </w:tc>
        <w:tc>
          <w:tcPr>
            <w:tcW w:type="dxa" w:w="1040"/>
            <w:shd w:val="clear" w:color="auto" w:fill="1F4E79"/>
          </w:tcPr>
          <w:p>
            <w:pPr>
              <w:keepNext/>
              <w:jc w:val="center"/>
            </w:pPr>
            <w:r/>
            <w:r>
              <w:rPr>
                <w:b/>
                <w:color w:val="FFFFFF"/>
                <w:sz w:val="17"/>
              </w:rPr>
              <w:t>autocorr. lag 1</w:t>
            </w:r>
          </w:p>
        </w:tc>
        <w:tc>
          <w:tcPr>
            <w:tcW w:type="dxa" w:w="1040"/>
            <w:shd w:val="clear" w:color="auto" w:fill="1F4E79"/>
          </w:tcPr>
          <w:p>
            <w:pPr>
              <w:keepNext/>
              <w:jc w:val="center"/>
            </w:pPr>
            <w:r/>
            <w:r>
              <w:rPr>
                <w:b/>
                <w:color w:val="FFFFFF"/>
                <w:sz w:val="17"/>
              </w:rPr>
              <w:t>autocorr. lag 6</w:t>
            </w:r>
          </w:p>
        </w:tc>
        <w:tc>
          <w:tcPr>
            <w:tcW w:type="dxa" w:w="1040"/>
            <w:shd w:val="clear" w:color="auto" w:fill="1F4E79"/>
          </w:tcPr>
          <w:p>
            <w:pPr>
              <w:keepNext/>
              <w:jc w:val="center"/>
            </w:pPr>
            <w:r/>
            <w:r>
              <w:rPr>
                <w:b/>
                <w:color w:val="FFFFFF"/>
                <w:sz w:val="17"/>
              </w:rPr>
              <w:t>p-valor ADF</w:t>
            </w:r>
          </w:p>
        </w:tc>
      </w:tr>
      <w:tr>
        <w:trPr>
          <w:cantSplit w:val="true"/>
        </w:trPr>
        <w:tc>
          <w:tcPr>
            <w:tcW w:type="dxa" w:w="1040"/>
          </w:tcPr>
          <w:p>
            <w:pPr>
              <w:keepNext/>
              <w:spacing w:after="0"/>
              <w:jc w:val="left"/>
            </w:pPr>
            <w:r/>
            <w:r>
              <w:rPr>
                <w:sz w:val="17"/>
              </w:rPr>
              <w:t>Nivel (USD)</w:t>
            </w:r>
          </w:p>
        </w:tc>
        <w:tc>
          <w:tcPr>
            <w:tcW w:type="dxa" w:w="1040"/>
          </w:tcPr>
          <w:p>
            <w:pPr>
              <w:keepNext/>
              <w:spacing w:after="0"/>
              <w:jc w:val="right"/>
            </w:pPr>
            <w:r/>
            <w:r>
              <w:rPr>
                <w:sz w:val="17"/>
              </w:rPr>
              <w:t>49</w:t>
            </w:r>
          </w:p>
        </w:tc>
        <w:tc>
          <w:tcPr>
            <w:tcW w:type="dxa" w:w="1040"/>
          </w:tcPr>
          <w:p>
            <w:pPr>
              <w:keepNext/>
              <w:spacing w:after="0"/>
              <w:jc w:val="right"/>
            </w:pPr>
            <w:r/>
            <w:r>
              <w:rPr>
                <w:sz w:val="17"/>
              </w:rPr>
              <w:t>29.87</w:t>
            </w:r>
          </w:p>
        </w:tc>
        <w:tc>
          <w:tcPr>
            <w:tcW w:type="dxa" w:w="1040"/>
          </w:tcPr>
          <w:p>
            <w:pPr>
              <w:keepNext/>
              <w:spacing w:after="0"/>
              <w:jc w:val="right"/>
            </w:pPr>
            <w:r/>
            <w:r>
              <w:rPr>
                <w:sz w:val="17"/>
              </w:rPr>
              <w:t>32.61</w:t>
            </w:r>
          </w:p>
        </w:tc>
        <w:tc>
          <w:tcPr>
            <w:tcW w:type="dxa" w:w="1040"/>
          </w:tcPr>
          <w:p>
            <w:pPr>
              <w:keepNext/>
              <w:spacing w:after="0"/>
              <w:jc w:val="right"/>
            </w:pPr>
            <w:r/>
            <w:r>
              <w:rPr>
                <w:sz w:val="17"/>
              </w:rPr>
              <w:t>3.76</w:t>
            </w:r>
          </w:p>
        </w:tc>
        <w:tc>
          <w:tcPr>
            <w:tcW w:type="dxa" w:w="1040"/>
          </w:tcPr>
          <w:p>
            <w:pPr>
              <w:keepNext/>
              <w:spacing w:after="0"/>
              <w:jc w:val="right"/>
            </w:pPr>
            <w:r/>
            <w:r>
              <w:rPr>
                <w:sz w:val="17"/>
              </w:rPr>
              <w:t>143.48</w:t>
            </w:r>
          </w:p>
        </w:tc>
        <w:tc>
          <w:tcPr>
            <w:tcW w:type="dxa" w:w="1040"/>
          </w:tcPr>
          <w:p>
            <w:pPr>
              <w:keepNext/>
              <w:spacing w:after="0"/>
              <w:jc w:val="right"/>
            </w:pPr>
            <w:r/>
            <w:r>
              <w:rPr>
                <w:sz w:val="17"/>
              </w:rPr>
              <w:t>0.906</w:t>
            </w:r>
          </w:p>
        </w:tc>
        <w:tc>
          <w:tcPr>
            <w:tcW w:type="dxa" w:w="1040"/>
          </w:tcPr>
          <w:p>
            <w:pPr>
              <w:keepNext/>
              <w:spacing w:after="0"/>
              <w:jc w:val="right"/>
            </w:pPr>
            <w:r/>
            <w:r>
              <w:rPr>
                <w:sz w:val="17"/>
              </w:rPr>
              <w:t>0.821</w:t>
            </w:r>
          </w:p>
        </w:tc>
        <w:tc>
          <w:tcPr>
            <w:tcW w:type="dxa" w:w="1040"/>
          </w:tcPr>
          <w:p>
            <w:pPr>
              <w:keepNext/>
              <w:spacing w:after="0"/>
              <w:jc w:val="right"/>
            </w:pPr>
            <w:r/>
            <w:r>
              <w:rPr>
                <w:sz w:val="17"/>
              </w:rPr>
              <w:t>0.840</w:t>
            </w:r>
          </w:p>
        </w:tc>
      </w:tr>
      <w:tr>
        <w:trPr>
          <w:cantSplit w:val="true"/>
        </w:trPr>
        <w:tc>
          <w:tcPr>
            <w:tcW w:type="dxa" w:w="1040"/>
            <w:shd w:val="clear" w:color="auto" w:fill="EAF1F8"/>
          </w:tcPr>
          <w:p>
            <w:pPr>
              <w:keepNext/>
              <w:spacing w:after="0"/>
              <w:jc w:val="left"/>
            </w:pPr>
            <w:r/>
            <w:r>
              <w:rPr>
                <w:sz w:val="17"/>
              </w:rPr>
              <w:t>1ª diferencia (USD)</w:t>
            </w:r>
          </w:p>
        </w:tc>
        <w:tc>
          <w:tcPr>
            <w:tcW w:type="dxa" w:w="1040"/>
            <w:shd w:val="clear" w:color="auto" w:fill="EAF1F8"/>
          </w:tcPr>
          <w:p>
            <w:pPr>
              <w:keepNext/>
              <w:spacing w:after="0"/>
              <w:jc w:val="right"/>
            </w:pPr>
            <w:r/>
            <w:r>
              <w:rPr>
                <w:sz w:val="17"/>
              </w:rPr>
              <w:t>48</w:t>
            </w:r>
          </w:p>
        </w:tc>
        <w:tc>
          <w:tcPr>
            <w:tcW w:type="dxa" w:w="1040"/>
            <w:shd w:val="clear" w:color="auto" w:fill="EAF1F8"/>
          </w:tcPr>
          <w:p>
            <w:pPr>
              <w:keepNext/>
              <w:spacing w:after="0"/>
              <w:jc w:val="right"/>
            </w:pPr>
            <w:r/>
            <w:r>
              <w:rPr>
                <w:sz w:val="17"/>
              </w:rPr>
              <w:t>1.36</w:t>
            </w:r>
          </w:p>
        </w:tc>
        <w:tc>
          <w:tcPr>
            <w:tcW w:type="dxa" w:w="1040"/>
            <w:shd w:val="clear" w:color="auto" w:fill="EAF1F8"/>
          </w:tcPr>
          <w:p>
            <w:pPr>
              <w:keepNext/>
              <w:spacing w:after="0"/>
              <w:jc w:val="right"/>
            </w:pPr>
            <w:r/>
            <w:r>
              <w:rPr>
                <w:sz w:val="17"/>
              </w:rPr>
              <w:t>14.14</w:t>
            </w:r>
          </w:p>
        </w:tc>
        <w:tc>
          <w:tcPr>
            <w:tcW w:type="dxa" w:w="1040"/>
            <w:shd w:val="clear" w:color="auto" w:fill="EAF1F8"/>
          </w:tcPr>
          <w:p>
            <w:pPr>
              <w:keepNext/>
              <w:spacing w:after="0"/>
              <w:jc w:val="right"/>
            </w:pPr>
            <w:r/>
            <w:r>
              <w:rPr>
                <w:sz w:val="17"/>
              </w:rPr>
              <w:t>-41.83</w:t>
            </w:r>
          </w:p>
        </w:tc>
        <w:tc>
          <w:tcPr>
            <w:tcW w:type="dxa" w:w="1040"/>
            <w:shd w:val="clear" w:color="auto" w:fill="EAF1F8"/>
          </w:tcPr>
          <w:p>
            <w:pPr>
              <w:keepNext/>
              <w:spacing w:after="0"/>
              <w:jc w:val="right"/>
            </w:pPr>
            <w:r/>
            <w:r>
              <w:rPr>
                <w:sz w:val="17"/>
              </w:rPr>
              <w:t>60.97</w:t>
            </w:r>
          </w:p>
        </w:tc>
        <w:tc>
          <w:tcPr>
            <w:tcW w:type="dxa" w:w="1040"/>
            <w:shd w:val="clear" w:color="auto" w:fill="EAF1F8"/>
          </w:tcPr>
          <w:p>
            <w:pPr>
              <w:keepNext/>
              <w:spacing w:after="0"/>
              <w:jc w:val="right"/>
            </w:pPr>
            <w:r/>
            <w:r>
              <w:rPr>
                <w:sz w:val="17"/>
              </w:rPr>
              <w:t>-0.060</w:t>
            </w:r>
          </w:p>
        </w:tc>
        <w:tc>
          <w:tcPr>
            <w:tcW w:type="dxa" w:w="1040"/>
            <w:shd w:val="clear" w:color="auto" w:fill="EAF1F8"/>
          </w:tcPr>
          <w:p>
            <w:pPr>
              <w:keepNext/>
              <w:spacing w:after="0"/>
              <w:jc w:val="right"/>
            </w:pPr>
            <w:r/>
            <w:r>
              <w:rPr>
                <w:sz w:val="17"/>
              </w:rPr>
              <w:t>-0.473</w:t>
            </w:r>
          </w:p>
        </w:tc>
        <w:tc>
          <w:tcPr>
            <w:tcW w:type="dxa" w:w="1040"/>
            <w:shd w:val="clear" w:color="auto" w:fill="EAF1F8"/>
          </w:tcPr>
          <w:p>
            <w:pPr>
              <w:keepNext/>
              <w:spacing w:after="0"/>
              <w:jc w:val="left"/>
            </w:pPr>
            <w:r/>
            <w:r>
              <w:rPr>
                <w:sz w:val="17"/>
              </w:rPr>
              <w:t>&lt; 0.001</w:t>
            </w:r>
          </w:p>
        </w:tc>
      </w:tr>
      <w:tr>
        <w:trPr>
          <w:cantSplit w:val="true"/>
        </w:trPr>
        <w:tc>
          <w:tcPr>
            <w:tcW w:type="dxa" w:w="1040"/>
          </w:tcPr>
          <w:p>
            <w:pPr>
              <w:keepNext/>
              <w:spacing w:after="0"/>
              <w:jc w:val="left"/>
            </w:pPr>
            <w:r/>
            <w:r>
              <w:rPr>
                <w:sz w:val="17"/>
              </w:rPr>
              <w:t>ln(Y)</w:t>
            </w:r>
          </w:p>
        </w:tc>
        <w:tc>
          <w:tcPr>
            <w:tcW w:type="dxa" w:w="1040"/>
          </w:tcPr>
          <w:p>
            <w:pPr>
              <w:keepNext/>
              <w:spacing w:after="0"/>
              <w:jc w:val="right"/>
            </w:pPr>
            <w:r/>
            <w:r>
              <w:rPr>
                <w:sz w:val="17"/>
              </w:rPr>
              <w:t>49</w:t>
            </w:r>
          </w:p>
        </w:tc>
        <w:tc>
          <w:tcPr>
            <w:tcW w:type="dxa" w:w="1040"/>
          </w:tcPr>
          <w:p>
            <w:pPr>
              <w:keepNext/>
              <w:spacing w:after="0"/>
              <w:jc w:val="right"/>
            </w:pPr>
            <w:r/>
            <w:r>
              <w:rPr>
                <w:sz w:val="17"/>
              </w:rPr>
              <w:t>2.73</w:t>
            </w:r>
          </w:p>
        </w:tc>
        <w:tc>
          <w:tcPr>
            <w:tcW w:type="dxa" w:w="1040"/>
          </w:tcPr>
          <w:p>
            <w:pPr>
              <w:keepNext/>
              <w:spacing w:after="0"/>
              <w:jc w:val="right"/>
            </w:pPr>
            <w:r/>
            <w:r>
              <w:rPr>
                <w:sz w:val="17"/>
              </w:rPr>
              <w:t>1.22</w:t>
            </w:r>
          </w:p>
        </w:tc>
        <w:tc>
          <w:tcPr>
            <w:tcW w:type="dxa" w:w="1040"/>
          </w:tcPr>
          <w:p>
            <w:pPr>
              <w:keepNext/>
              <w:spacing w:after="0"/>
              <w:jc w:val="right"/>
            </w:pPr>
            <w:r/>
            <w:r>
              <w:rPr>
                <w:sz w:val="17"/>
              </w:rPr>
              <w:t>1.32</w:t>
            </w:r>
          </w:p>
        </w:tc>
        <w:tc>
          <w:tcPr>
            <w:tcW w:type="dxa" w:w="1040"/>
          </w:tcPr>
          <w:p>
            <w:pPr>
              <w:keepNext/>
              <w:spacing w:after="0"/>
              <w:jc w:val="right"/>
            </w:pPr>
            <w:r/>
            <w:r>
              <w:rPr>
                <w:sz w:val="17"/>
              </w:rPr>
              <w:t>4.97</w:t>
            </w:r>
          </w:p>
        </w:tc>
        <w:tc>
          <w:tcPr>
            <w:tcW w:type="dxa" w:w="1040"/>
          </w:tcPr>
          <w:p>
            <w:pPr>
              <w:keepNext/>
              <w:spacing w:after="0"/>
              <w:jc w:val="right"/>
            </w:pPr>
            <w:r/>
            <w:r>
              <w:rPr>
                <w:sz w:val="17"/>
              </w:rPr>
              <w:t>0.977</w:t>
            </w:r>
          </w:p>
        </w:tc>
        <w:tc>
          <w:tcPr>
            <w:tcW w:type="dxa" w:w="1040"/>
          </w:tcPr>
          <w:p>
            <w:pPr>
              <w:keepNext/>
              <w:spacing w:after="0"/>
              <w:jc w:val="right"/>
            </w:pPr>
            <w:r/>
            <w:r>
              <w:rPr>
                <w:sz w:val="17"/>
              </w:rPr>
              <w:t>0.885</w:t>
            </w:r>
          </w:p>
        </w:tc>
        <w:tc>
          <w:tcPr>
            <w:tcW w:type="dxa" w:w="1040"/>
          </w:tcPr>
          <w:p>
            <w:pPr>
              <w:keepNext/>
              <w:spacing w:after="0"/>
              <w:jc w:val="right"/>
            </w:pPr>
            <w:r/>
            <w:r>
              <w:rPr>
                <w:sz w:val="17"/>
              </w:rPr>
              <w:t>0.898</w:t>
            </w:r>
          </w:p>
        </w:tc>
      </w:tr>
      <w:tr>
        <w:trPr>
          <w:cantSplit w:val="true"/>
        </w:trPr>
        <w:tc>
          <w:tcPr>
            <w:tcW w:type="dxa" w:w="1040"/>
            <w:shd w:val="clear" w:color="auto" w:fill="EAF1F8"/>
          </w:tcPr>
          <w:p>
            <w:pPr>
              <w:keepNext/>
              <w:spacing w:after="0"/>
              <w:jc w:val="left"/>
            </w:pPr>
            <w:r/>
            <w:r>
              <w:rPr>
                <w:sz w:val="17"/>
              </w:rPr>
              <w:t>Cambio simple (%)</w:t>
            </w:r>
          </w:p>
        </w:tc>
        <w:tc>
          <w:tcPr>
            <w:tcW w:type="dxa" w:w="1040"/>
            <w:shd w:val="clear" w:color="auto" w:fill="EAF1F8"/>
          </w:tcPr>
          <w:p>
            <w:pPr>
              <w:keepNext/>
              <w:spacing w:after="0"/>
              <w:jc w:val="right"/>
            </w:pPr>
            <w:r/>
            <w:r>
              <w:rPr>
                <w:sz w:val="17"/>
              </w:rPr>
              <w:t>48</w:t>
            </w:r>
          </w:p>
        </w:tc>
        <w:tc>
          <w:tcPr>
            <w:tcW w:type="dxa" w:w="1040"/>
            <w:shd w:val="clear" w:color="auto" w:fill="EAF1F8"/>
          </w:tcPr>
          <w:p>
            <w:pPr>
              <w:keepNext/>
              <w:spacing w:after="0"/>
              <w:jc w:val="right"/>
            </w:pPr>
            <w:r/>
            <w:r>
              <w:rPr>
                <w:sz w:val="17"/>
              </w:rPr>
              <w:t>9.41</w:t>
            </w:r>
          </w:p>
        </w:tc>
        <w:tc>
          <w:tcPr>
            <w:tcW w:type="dxa" w:w="1040"/>
            <w:shd w:val="clear" w:color="auto" w:fill="EAF1F8"/>
          </w:tcPr>
          <w:p>
            <w:pPr>
              <w:keepNext/>
              <w:spacing w:after="0"/>
              <w:jc w:val="right"/>
            </w:pPr>
            <w:r/>
            <w:r>
              <w:rPr>
                <w:sz w:val="17"/>
              </w:rPr>
              <w:t>32.27</w:t>
            </w:r>
          </w:p>
        </w:tc>
        <w:tc>
          <w:tcPr>
            <w:tcW w:type="dxa" w:w="1040"/>
            <w:shd w:val="clear" w:color="auto" w:fill="EAF1F8"/>
          </w:tcPr>
          <w:p>
            <w:pPr>
              <w:keepNext/>
              <w:spacing w:after="0"/>
              <w:jc w:val="right"/>
            </w:pPr>
            <w:r/>
            <w:r>
              <w:rPr>
                <w:sz w:val="17"/>
              </w:rPr>
              <w:t>-36.10</w:t>
            </w:r>
          </w:p>
        </w:tc>
        <w:tc>
          <w:tcPr>
            <w:tcW w:type="dxa" w:w="1040"/>
            <w:shd w:val="clear" w:color="auto" w:fill="EAF1F8"/>
          </w:tcPr>
          <w:p>
            <w:pPr>
              <w:keepNext/>
              <w:spacing w:after="0"/>
              <w:jc w:val="right"/>
            </w:pPr>
            <w:r/>
            <w:r>
              <w:rPr>
                <w:sz w:val="17"/>
              </w:rPr>
              <w:t>154.95</w:t>
            </w:r>
          </w:p>
        </w:tc>
        <w:tc>
          <w:tcPr>
            <w:tcW w:type="dxa" w:w="1040"/>
            <w:shd w:val="clear" w:color="auto" w:fill="EAF1F8"/>
          </w:tcPr>
          <w:p>
            <w:pPr>
              <w:keepNext/>
              <w:spacing w:after="0"/>
              <w:jc w:val="right"/>
            </w:pPr>
            <w:r/>
            <w:r>
              <w:rPr>
                <w:sz w:val="17"/>
              </w:rPr>
              <w:t>-0.012</w:t>
            </w:r>
          </w:p>
        </w:tc>
        <w:tc>
          <w:tcPr>
            <w:tcW w:type="dxa" w:w="1040"/>
            <w:shd w:val="clear" w:color="auto" w:fill="EAF1F8"/>
          </w:tcPr>
          <w:p>
            <w:pPr>
              <w:keepNext/>
              <w:spacing w:after="0"/>
              <w:jc w:val="right"/>
            </w:pPr>
            <w:r/>
            <w:r>
              <w:rPr>
                <w:sz w:val="17"/>
              </w:rPr>
              <w:t>-0.006</w:t>
            </w:r>
          </w:p>
        </w:tc>
        <w:tc>
          <w:tcPr>
            <w:tcW w:type="dxa" w:w="1040"/>
            <w:shd w:val="clear" w:color="auto" w:fill="EAF1F8"/>
          </w:tcPr>
          <w:p>
            <w:pPr>
              <w:keepNext/>
              <w:spacing w:after="0"/>
              <w:jc w:val="left"/>
            </w:pPr>
            <w:r/>
            <w:r>
              <w:rPr>
                <w:sz w:val="17"/>
              </w:rPr>
              <w:t>&lt; 0.001</w:t>
            </w:r>
          </w:p>
        </w:tc>
      </w:tr>
      <w:tr>
        <w:trPr>
          <w:cantSplit w:val="true"/>
        </w:trPr>
        <w:tc>
          <w:tcPr>
            <w:tcW w:type="dxa" w:w="1040"/>
          </w:tcPr>
          <w:p>
            <w:pPr>
              <w:spacing w:after="0"/>
              <w:jc w:val="left"/>
            </w:pPr>
            <w:r/>
            <w:r>
              <w:rPr>
                <w:sz w:val="17"/>
              </w:rPr>
              <w:t>Cambio log (%)</w:t>
            </w:r>
          </w:p>
        </w:tc>
        <w:tc>
          <w:tcPr>
            <w:tcW w:type="dxa" w:w="1040"/>
          </w:tcPr>
          <w:p>
            <w:pPr>
              <w:spacing w:after="0"/>
              <w:jc w:val="right"/>
            </w:pPr>
            <w:r/>
            <w:r>
              <w:rPr>
                <w:sz w:val="17"/>
              </w:rPr>
              <w:t>48</w:t>
            </w:r>
          </w:p>
        </w:tc>
        <w:tc>
          <w:tcPr>
            <w:tcW w:type="dxa" w:w="1040"/>
          </w:tcPr>
          <w:p>
            <w:pPr>
              <w:spacing w:after="0"/>
              <w:jc w:val="right"/>
            </w:pPr>
            <w:r/>
            <w:r>
              <w:rPr>
                <w:sz w:val="17"/>
              </w:rPr>
              <w:t>5.47</w:t>
            </w:r>
          </w:p>
        </w:tc>
        <w:tc>
          <w:tcPr>
            <w:tcW w:type="dxa" w:w="1040"/>
          </w:tcPr>
          <w:p>
            <w:pPr>
              <w:spacing w:after="0"/>
              <w:jc w:val="right"/>
            </w:pPr>
            <w:r/>
            <w:r>
              <w:rPr>
                <w:sz w:val="17"/>
              </w:rPr>
              <w:t>25.98</w:t>
            </w:r>
          </w:p>
        </w:tc>
        <w:tc>
          <w:tcPr>
            <w:tcW w:type="dxa" w:w="1040"/>
          </w:tcPr>
          <w:p>
            <w:pPr>
              <w:spacing w:after="0"/>
              <w:jc w:val="right"/>
            </w:pPr>
            <w:r/>
            <w:r>
              <w:rPr>
                <w:sz w:val="17"/>
              </w:rPr>
              <w:t>-44.79</w:t>
            </w:r>
          </w:p>
        </w:tc>
        <w:tc>
          <w:tcPr>
            <w:tcW w:type="dxa" w:w="1040"/>
          </w:tcPr>
          <w:p>
            <w:pPr>
              <w:spacing w:after="0"/>
              <w:jc w:val="right"/>
            </w:pPr>
            <w:r/>
            <w:r>
              <w:rPr>
                <w:sz w:val="17"/>
              </w:rPr>
              <w:t>93.59</w:t>
            </w:r>
          </w:p>
        </w:tc>
        <w:tc>
          <w:tcPr>
            <w:tcW w:type="dxa" w:w="1040"/>
          </w:tcPr>
          <w:p>
            <w:pPr>
              <w:spacing w:after="0"/>
              <w:jc w:val="right"/>
            </w:pPr>
            <w:r/>
            <w:r>
              <w:rPr>
                <w:sz w:val="17"/>
              </w:rPr>
              <w:t>0.034</w:t>
            </w:r>
          </w:p>
        </w:tc>
        <w:tc>
          <w:tcPr>
            <w:tcW w:type="dxa" w:w="1040"/>
          </w:tcPr>
          <w:p>
            <w:pPr>
              <w:spacing w:after="0"/>
              <w:jc w:val="right"/>
            </w:pPr>
            <w:r/>
            <w:r>
              <w:rPr>
                <w:sz w:val="17"/>
              </w:rPr>
              <w:t>-0.041</w:t>
            </w:r>
          </w:p>
        </w:tc>
        <w:tc>
          <w:tcPr>
            <w:tcW w:type="dxa" w:w="1040"/>
          </w:tcPr>
          <w:p>
            <w:pPr>
              <w:spacing w:after="0"/>
              <w:jc w:val="left"/>
            </w:pPr>
            <w:r/>
            <w:r>
              <w:rPr>
                <w:sz w:val="17"/>
              </w:rPr>
              <w:t>&lt; 0.001</w:t>
            </w:r>
          </w:p>
        </w:tc>
      </w:tr>
    </w:tbl>
    <w:p>
      <w:pPr>
        <w:spacing w:after="160"/>
      </w:pPr>
      <w:r>
        <w:rPr>
          <w:i/>
          <w:sz w:val="17"/>
        </w:rPr>
        <w:t>El p-valor de ADF es solo orientativo (muestra pequeña): p alto = no se rechaza raíz unitaria. Nota: la autocorr. de rezago 6 de ΔY (−0.473) está dominada por los saltos de 2026.</w:t>
      </w:r>
    </w:p>
    <w:p>
      <w:pPr>
        <w:keepNext/>
        <w:spacing w:after="40"/>
        <w:jc w:val="center"/>
      </w:pPr>
      <w:r>
        <w:drawing>
          <wp:inline xmlns:a="http://schemas.openxmlformats.org/drawingml/2006/main" xmlns:pic="http://schemas.openxmlformats.org/drawingml/2006/picture">
            <wp:extent cx="5577840" cy="6608562"/>
            <wp:docPr id="6" name="Picture 6"/>
            <wp:cNvGraphicFramePr>
              <a:graphicFrameLocks noChangeAspect="1"/>
            </wp:cNvGraphicFramePr>
            <a:graphic>
              <a:graphicData uri="http://schemas.openxmlformats.org/drawingml/2006/picture">
                <pic:pic>
                  <pic:nvPicPr>
                    <pic:cNvPr id="0" name="fig_08_comparacion.png"/>
                    <pic:cNvPicPr/>
                  </pic:nvPicPr>
                  <pic:blipFill>
                    <a:blip r:embed="rId15"/>
                    <a:stretch>
                      <a:fillRect/>
                    </a:stretch>
                  </pic:blipFill>
                  <pic:spPr>
                    <a:xfrm>
                      <a:off x="0" y="0"/>
                      <a:ext cx="5577840" cy="6608562"/>
                    </a:xfrm>
                    <a:prstGeom prst="rect"/>
                  </pic:spPr>
                </pic:pic>
              </a:graphicData>
            </a:graphic>
          </wp:inline>
        </w:drawing>
      </w:r>
    </w:p>
    <w:p>
      <w:pPr>
        <w:spacing w:after="60"/>
        <w:jc w:val="center"/>
      </w:pPr>
      <w:r>
        <w:rPr>
          <w:i/>
          <w:sz w:val="18"/>
        </w:rPr>
        <w:t>Figura 6. Panel con las cinco representaciones de la serie de RKLB.</w:t>
      </w:r>
    </w:p>
    <w:p>
      <w:r>
        <w:rPr>
          <w:b/>
          <w:sz w:val="20"/>
        </w:rPr>
        <w:t>Interpretación.</w:t>
      </w:r>
      <w:r>
        <w:rPr>
          <w:sz w:val="20"/>
        </w:rPr>
        <w:t xml:space="preserve"> El nivel y ln(Y) comparten tendencia ascendente; ΔY elimina la tendencia pero con oscilaciones crecientes; los dos cambios relativos (simple y logarítmico) oscilan alrededor de cero con amplitud comparable en todo el periodo, por lo que son las representaciones que más reducen la tendencia y la persistencia visual.</w:t>
      </w:r>
    </w:p>
    <w:p>
      <w:pPr>
        <w:pStyle w:val="Heading3"/>
      </w:pPr>
      <w:r>
        <w:t>Respuestas a las preguntas de la sección</w:t>
      </w:r>
    </w:p>
    <w:p>
      <w:pPr>
        <w:keepNext/>
        <w:spacing w:after="20"/>
      </w:pPr>
      <w:r>
        <w:rPr>
          <w:b/>
        </w:rPr>
        <w:t>¿Qué información conserva cada transformación?</w:t>
      </w:r>
    </w:p>
    <w:p>
      <w:pPr>
        <w:ind w:left="288"/>
      </w:pPr>
      <w:r>
        <w:rPr>
          <w:b/>
        </w:rPr>
        <w:t>Nivel</w:t>
      </w:r>
      <w:r>
        <w:t xml:space="preserve">: el valor en USD, incluida la tendencia (autocorr. rezago 1 = 0.906). </w:t>
      </w:r>
      <w:r>
        <w:rPr>
          <w:b/>
        </w:rPr>
        <w:t>1ª diferencia</w:t>
      </w:r>
      <w:r>
        <w:t xml:space="preserve">: el cambio absoluto en USD; sin tendencia pero dependiente de la escala. </w:t>
      </w:r>
      <w:r>
        <w:rPr>
          <w:b/>
        </w:rPr>
        <w:t>ln(Y)</w:t>
      </w:r>
      <w:r>
        <w:t xml:space="preserve">: la forma completa del nivel en escala relativa (autocorr. rezago 1 = 0.977). </w:t>
      </w:r>
      <w:r>
        <w:rPr>
          <w:b/>
        </w:rPr>
        <w:t>Cambio simple</w:t>
      </w:r>
      <w:r>
        <w:t xml:space="preserve">: la variación relativa (%) mes a mes, asimétrica (de -36.1 % a 155.0 %). </w:t>
      </w:r>
      <w:r>
        <w:rPr>
          <w:b/>
        </w:rPr>
        <w:t>Cambio logarítmico</w:t>
      </w:r>
      <w:r>
        <w:t>: la variación relativa continua (%), aditiva y más simétrica (de -44.8 % a 93.6 %). Las tres últimas transformaciones pierden el nivel absoluto del precio.</w:t>
      </w:r>
    </w:p>
    <w:p>
      <w:pPr>
        <w:keepNext/>
        <w:spacing w:after="20"/>
      </w:pPr>
      <w:r>
        <w:rPr>
          <w:b/>
        </w:rPr>
        <w:t>¿Cuál facilita los cambios relativos?</w:t>
      </w:r>
    </w:p>
    <w:p>
      <w:pPr>
        <w:ind w:left="288"/>
      </w:pPr>
      <w:r>
        <w:t xml:space="preserve">El </w:t>
      </w:r>
      <w:r>
        <w:rPr>
          <w:b/>
        </w:rPr>
        <w:t>cambio porcentual simple</w:t>
      </w:r>
      <w:r>
        <w:t xml:space="preserve"> y el </w:t>
      </w:r>
      <w:r>
        <w:rPr>
          <w:b/>
        </w:rPr>
        <w:t>cambio logarítmico</w:t>
      </w:r>
      <w:r>
        <w:t>, porque expresan cada variación como proporción del precio previo. El logarítmico es el más conveniente para el análisis temporal (aditividad y simetría); el simple es el más directo para comunicar un rendimiento mensual.</w:t>
      </w:r>
    </w:p>
    <w:p>
      <w:pPr>
        <w:keepNext/>
        <w:spacing w:after="20"/>
      </w:pPr>
      <w:r>
        <w:rPr>
          <w:b/>
        </w:rPr>
        <w:t>¿Cuál parece reducir más la tendencia o persistencia visual?</w:t>
      </w:r>
    </w:p>
    <w:p>
      <w:pPr>
        <w:ind w:left="288"/>
      </w:pPr>
      <w:r>
        <w:t xml:space="preserve">El </w:t>
      </w:r>
      <w:r>
        <w:rPr>
          <w:b/>
        </w:rPr>
        <w:t>cambio logarítmico</w:t>
      </w:r>
      <w:r>
        <w:t xml:space="preserve"> y el </w:t>
      </w:r>
      <w:r>
        <w:rPr>
          <w:b/>
        </w:rPr>
        <w:t>cambio simple</w:t>
      </w:r>
      <w:r>
        <w:t>: sus gráficas oscilan alrededor de cero sin tendencia y sus autocorrelaciones de rezago 1 son 0.034 y -0.012 (frente a 0.906 del nivel y 0.977 de ln). La primera diferencia también elimina la tendencia, pero sus oscilaciones crecen con el tiempo (desv. de 1.10 USD a 20.12 USD). ln(Y) conserva casi toda la persistencia.</w:t>
      </w:r>
    </w:p>
    <w:p>
      <w:pPr>
        <w:pStyle w:val="Heading1"/>
      </w:pPr>
      <w:r>
        <w:t>9. División Train/Test</w:t>
      </w:r>
    </w:p>
    <w:p>
      <w:pPr>
        <w:keepNext/>
        <w:spacing w:after="60"/>
      </w:pPr>
      <w:r>
        <w:rPr>
          <w:b/>
          <w:sz w:val="19"/>
        </w:rPr>
        <w:t>Tabla 12. División cronológica 80 % / 20 %</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val="true"/>
          <w:tblHeader w:val="true"/>
        </w:trPr>
        <w:tc>
          <w:tcPr>
            <w:tcW w:type="dxa" w:w="1170"/>
            <w:shd w:val="clear" w:color="auto" w:fill="1F4E79"/>
          </w:tcPr>
          <w:p>
            <w:pPr>
              <w:keepNext/>
              <w:jc w:val="center"/>
            </w:pPr>
            <w:r/>
            <w:r>
              <w:rPr>
                <w:b/>
                <w:color w:val="FFFFFF"/>
                <w:sz w:val="17"/>
              </w:rPr>
              <w:t>Conjunto</w:t>
            </w:r>
          </w:p>
        </w:tc>
        <w:tc>
          <w:tcPr>
            <w:tcW w:type="dxa" w:w="1170"/>
            <w:shd w:val="clear" w:color="auto" w:fill="1F4E79"/>
          </w:tcPr>
          <w:p>
            <w:pPr>
              <w:keepNext/>
              <w:jc w:val="center"/>
            </w:pPr>
            <w:r/>
            <w:r>
              <w:rPr>
                <w:b/>
                <w:color w:val="FFFFFF"/>
                <w:sz w:val="17"/>
              </w:rPr>
              <w:t>Observaciones</w:t>
            </w:r>
          </w:p>
        </w:tc>
        <w:tc>
          <w:tcPr>
            <w:tcW w:type="dxa" w:w="1170"/>
            <w:shd w:val="clear" w:color="auto" w:fill="1F4E79"/>
          </w:tcPr>
          <w:p>
            <w:pPr>
              <w:keepNext/>
              <w:jc w:val="center"/>
            </w:pPr>
            <w:r/>
            <w:r>
              <w:rPr>
                <w:b/>
                <w:color w:val="FFFFFF"/>
                <w:sz w:val="17"/>
              </w:rPr>
              <w:t>% de la muestra</w:t>
            </w:r>
          </w:p>
        </w:tc>
        <w:tc>
          <w:tcPr>
            <w:tcW w:type="dxa" w:w="1170"/>
            <w:shd w:val="clear" w:color="auto" w:fill="1F4E79"/>
          </w:tcPr>
          <w:p>
            <w:pPr>
              <w:keepNext/>
              <w:jc w:val="center"/>
            </w:pPr>
            <w:r/>
            <w:r>
              <w:rPr>
                <w:b/>
                <w:color w:val="FFFFFF"/>
                <w:sz w:val="17"/>
              </w:rPr>
              <w:t>Primer mes</w:t>
            </w:r>
          </w:p>
        </w:tc>
        <w:tc>
          <w:tcPr>
            <w:tcW w:type="dxa" w:w="1170"/>
            <w:shd w:val="clear" w:color="auto" w:fill="1F4E79"/>
          </w:tcPr>
          <w:p>
            <w:pPr>
              <w:keepNext/>
              <w:jc w:val="center"/>
            </w:pPr>
            <w:r/>
            <w:r>
              <w:rPr>
                <w:b/>
                <w:color w:val="FFFFFF"/>
                <w:sz w:val="17"/>
              </w:rPr>
              <w:t>Último mes</w:t>
            </w:r>
          </w:p>
        </w:tc>
        <w:tc>
          <w:tcPr>
            <w:tcW w:type="dxa" w:w="1170"/>
            <w:shd w:val="clear" w:color="auto" w:fill="1F4E79"/>
          </w:tcPr>
          <w:p>
            <w:pPr>
              <w:keepNext/>
              <w:jc w:val="center"/>
            </w:pPr>
            <w:r/>
            <w:r>
              <w:rPr>
                <w:b/>
                <w:color w:val="FFFFFF"/>
                <w:sz w:val="17"/>
              </w:rPr>
              <w:t>Precio medio (USD)</w:t>
            </w:r>
          </w:p>
        </w:tc>
        <w:tc>
          <w:tcPr>
            <w:tcW w:type="dxa" w:w="1170"/>
            <w:shd w:val="clear" w:color="auto" w:fill="1F4E79"/>
          </w:tcPr>
          <w:p>
            <w:pPr>
              <w:keepNext/>
              <w:jc w:val="center"/>
            </w:pPr>
            <w:r/>
            <w:r>
              <w:rPr>
                <w:b/>
                <w:color w:val="FFFFFF"/>
                <w:sz w:val="17"/>
              </w:rPr>
              <w:t>Precio mín–máx (USD)</w:t>
            </w:r>
          </w:p>
        </w:tc>
        <w:tc>
          <w:tcPr>
            <w:tcW w:type="dxa" w:w="1170"/>
            <w:shd w:val="clear" w:color="auto" w:fill="1F4E79"/>
          </w:tcPr>
          <w:p>
            <w:pPr>
              <w:keepNext/>
              <w:jc w:val="center"/>
            </w:pPr>
            <w:r/>
            <w:r>
              <w:rPr>
                <w:b/>
                <w:color w:val="FFFFFF"/>
                <w:sz w:val="17"/>
              </w:rPr>
              <w:t>Desv. est. cambio log (%)</w:t>
            </w:r>
          </w:p>
        </w:tc>
      </w:tr>
      <w:tr>
        <w:trPr>
          <w:cantSplit w:val="true"/>
        </w:trPr>
        <w:tc>
          <w:tcPr>
            <w:tcW w:type="dxa" w:w="1170"/>
          </w:tcPr>
          <w:p>
            <w:pPr>
              <w:keepNext/>
              <w:spacing w:after="0"/>
              <w:jc w:val="left"/>
            </w:pPr>
            <w:r/>
            <w:r>
              <w:rPr>
                <w:sz w:val="17"/>
              </w:rPr>
              <w:t>Train</w:t>
            </w:r>
          </w:p>
        </w:tc>
        <w:tc>
          <w:tcPr>
            <w:tcW w:type="dxa" w:w="1170"/>
          </w:tcPr>
          <w:p>
            <w:pPr>
              <w:keepNext/>
              <w:spacing w:after="0"/>
              <w:jc w:val="right"/>
            </w:pPr>
            <w:r/>
            <w:r>
              <w:rPr>
                <w:sz w:val="17"/>
              </w:rPr>
              <w:t>39</w:t>
            </w:r>
          </w:p>
        </w:tc>
        <w:tc>
          <w:tcPr>
            <w:tcW w:type="dxa" w:w="1170"/>
          </w:tcPr>
          <w:p>
            <w:pPr>
              <w:keepNext/>
              <w:spacing w:after="0"/>
              <w:jc w:val="right"/>
            </w:pPr>
            <w:r/>
            <w:r>
              <w:rPr>
                <w:sz w:val="17"/>
              </w:rPr>
              <w:t>79.6</w:t>
            </w:r>
          </w:p>
        </w:tc>
        <w:tc>
          <w:tcPr>
            <w:tcW w:type="dxa" w:w="1170"/>
          </w:tcPr>
          <w:p>
            <w:pPr>
              <w:keepNext/>
              <w:spacing w:after="0"/>
              <w:jc w:val="left"/>
            </w:pPr>
            <w:r/>
            <w:r>
              <w:rPr>
                <w:sz w:val="17"/>
              </w:rPr>
              <w:t>oct-2022</w:t>
            </w:r>
          </w:p>
        </w:tc>
        <w:tc>
          <w:tcPr>
            <w:tcW w:type="dxa" w:w="1170"/>
          </w:tcPr>
          <w:p>
            <w:pPr>
              <w:keepNext/>
              <w:spacing w:after="0"/>
              <w:jc w:val="left"/>
            </w:pPr>
            <w:r/>
            <w:r>
              <w:rPr>
                <w:sz w:val="17"/>
              </w:rPr>
              <w:t>dic-2025</w:t>
            </w:r>
          </w:p>
        </w:tc>
        <w:tc>
          <w:tcPr>
            <w:tcW w:type="dxa" w:w="1170"/>
          </w:tcPr>
          <w:p>
            <w:pPr>
              <w:keepNext/>
              <w:spacing w:after="0"/>
              <w:jc w:val="right"/>
            </w:pPr>
            <w:r/>
            <w:r>
              <w:rPr>
                <w:sz w:val="17"/>
              </w:rPr>
              <w:t>16.76</w:t>
            </w:r>
          </w:p>
        </w:tc>
        <w:tc>
          <w:tcPr>
            <w:tcW w:type="dxa" w:w="1170"/>
          </w:tcPr>
          <w:p>
            <w:pPr>
              <w:keepNext/>
              <w:spacing w:after="0"/>
              <w:jc w:val="left"/>
            </w:pPr>
            <w:r/>
            <w:r>
              <w:rPr>
                <w:sz w:val="17"/>
              </w:rPr>
              <w:t>3.76–69.76</w:t>
            </w:r>
          </w:p>
        </w:tc>
        <w:tc>
          <w:tcPr>
            <w:tcW w:type="dxa" w:w="1170"/>
          </w:tcPr>
          <w:p>
            <w:pPr>
              <w:keepNext/>
              <w:spacing w:after="0"/>
              <w:jc w:val="right"/>
            </w:pPr>
            <w:r/>
            <w:r>
              <w:rPr>
                <w:sz w:val="17"/>
              </w:rPr>
              <w:t>25.44</w:t>
            </w:r>
          </w:p>
        </w:tc>
      </w:tr>
      <w:tr>
        <w:trPr>
          <w:cantSplit w:val="true"/>
        </w:trPr>
        <w:tc>
          <w:tcPr>
            <w:tcW w:type="dxa" w:w="1170"/>
            <w:shd w:val="clear" w:color="auto" w:fill="EAF1F8"/>
          </w:tcPr>
          <w:p>
            <w:pPr>
              <w:keepNext/>
              <w:spacing w:after="0"/>
              <w:jc w:val="left"/>
            </w:pPr>
            <w:r/>
            <w:r>
              <w:rPr>
                <w:sz w:val="17"/>
              </w:rPr>
              <w:t>Test</w:t>
            </w:r>
          </w:p>
        </w:tc>
        <w:tc>
          <w:tcPr>
            <w:tcW w:type="dxa" w:w="1170"/>
            <w:shd w:val="clear" w:color="auto" w:fill="EAF1F8"/>
          </w:tcPr>
          <w:p>
            <w:pPr>
              <w:keepNext/>
              <w:spacing w:after="0"/>
              <w:jc w:val="right"/>
            </w:pPr>
            <w:r/>
            <w:r>
              <w:rPr>
                <w:sz w:val="17"/>
              </w:rPr>
              <w:t>10</w:t>
            </w:r>
          </w:p>
        </w:tc>
        <w:tc>
          <w:tcPr>
            <w:tcW w:type="dxa" w:w="1170"/>
            <w:shd w:val="clear" w:color="auto" w:fill="EAF1F8"/>
          </w:tcPr>
          <w:p>
            <w:pPr>
              <w:keepNext/>
              <w:spacing w:after="0"/>
              <w:jc w:val="right"/>
            </w:pPr>
            <w:r/>
            <w:r>
              <w:rPr>
                <w:sz w:val="17"/>
              </w:rPr>
              <w:t>20.4</w:t>
            </w:r>
          </w:p>
        </w:tc>
        <w:tc>
          <w:tcPr>
            <w:tcW w:type="dxa" w:w="1170"/>
            <w:shd w:val="clear" w:color="auto" w:fill="EAF1F8"/>
          </w:tcPr>
          <w:p>
            <w:pPr>
              <w:keepNext/>
              <w:spacing w:after="0"/>
              <w:jc w:val="left"/>
            </w:pPr>
            <w:r/>
            <w:r>
              <w:rPr>
                <w:sz w:val="17"/>
              </w:rPr>
              <w:t>ene-2026</w:t>
            </w:r>
          </w:p>
        </w:tc>
        <w:tc>
          <w:tcPr>
            <w:tcW w:type="dxa" w:w="1170"/>
            <w:shd w:val="clear" w:color="auto" w:fill="EAF1F8"/>
          </w:tcPr>
          <w:p>
            <w:pPr>
              <w:keepNext/>
              <w:spacing w:after="0"/>
              <w:jc w:val="left"/>
            </w:pPr>
            <w:r/>
            <w:r>
              <w:rPr>
                <w:sz w:val="17"/>
              </w:rPr>
              <w:t>oct-2026</w:t>
            </w:r>
          </w:p>
        </w:tc>
        <w:tc>
          <w:tcPr>
            <w:tcW w:type="dxa" w:w="1170"/>
            <w:shd w:val="clear" w:color="auto" w:fill="EAF1F8"/>
          </w:tcPr>
          <w:p>
            <w:pPr>
              <w:keepNext/>
              <w:spacing w:after="0"/>
              <w:jc w:val="right"/>
            </w:pPr>
            <w:r/>
            <w:r>
              <w:rPr>
                <w:sz w:val="17"/>
              </w:rPr>
              <w:t>81.00</w:t>
            </w:r>
          </w:p>
        </w:tc>
        <w:tc>
          <w:tcPr>
            <w:tcW w:type="dxa" w:w="1170"/>
            <w:shd w:val="clear" w:color="auto" w:fill="EAF1F8"/>
          </w:tcPr>
          <w:p>
            <w:pPr>
              <w:keepNext/>
              <w:spacing w:after="0"/>
              <w:jc w:val="left"/>
            </w:pPr>
            <w:r/>
            <w:r>
              <w:rPr>
                <w:sz w:val="17"/>
              </w:rPr>
              <w:t>63.92–143.48</w:t>
            </w:r>
          </w:p>
        </w:tc>
        <w:tc>
          <w:tcPr>
            <w:tcW w:type="dxa" w:w="1170"/>
            <w:shd w:val="clear" w:color="auto" w:fill="EAF1F8"/>
          </w:tcPr>
          <w:p>
            <w:pPr>
              <w:keepNext/>
              <w:spacing w:after="0"/>
              <w:jc w:val="right"/>
            </w:pPr>
            <w:r/>
            <w:r>
              <w:rPr>
                <w:sz w:val="17"/>
              </w:rPr>
              <w:t>28.72</w:t>
            </w:r>
          </w:p>
        </w:tc>
      </w:tr>
      <w:tr>
        <w:trPr>
          <w:cantSplit w:val="true"/>
        </w:trPr>
        <w:tc>
          <w:tcPr>
            <w:tcW w:type="dxa" w:w="1170"/>
          </w:tcPr>
          <w:p>
            <w:pPr>
              <w:spacing w:after="0"/>
              <w:jc w:val="left"/>
            </w:pPr>
            <w:r/>
            <w:r>
              <w:rPr>
                <w:sz w:val="17"/>
              </w:rPr>
              <w:t>Total</w:t>
            </w:r>
          </w:p>
        </w:tc>
        <w:tc>
          <w:tcPr>
            <w:tcW w:type="dxa" w:w="1170"/>
          </w:tcPr>
          <w:p>
            <w:pPr>
              <w:spacing w:after="0"/>
              <w:jc w:val="right"/>
            </w:pPr>
            <w:r/>
            <w:r>
              <w:rPr>
                <w:sz w:val="17"/>
              </w:rPr>
              <w:t>49</w:t>
            </w:r>
          </w:p>
        </w:tc>
        <w:tc>
          <w:tcPr>
            <w:tcW w:type="dxa" w:w="1170"/>
          </w:tcPr>
          <w:p>
            <w:pPr>
              <w:spacing w:after="0"/>
              <w:jc w:val="right"/>
            </w:pPr>
            <w:r/>
            <w:r>
              <w:rPr>
                <w:sz w:val="17"/>
              </w:rPr>
              <w:t>100.0</w:t>
            </w:r>
          </w:p>
        </w:tc>
        <w:tc>
          <w:tcPr>
            <w:tcW w:type="dxa" w:w="1170"/>
          </w:tcPr>
          <w:p>
            <w:pPr>
              <w:spacing w:after="0"/>
              <w:jc w:val="left"/>
            </w:pPr>
            <w:r/>
            <w:r>
              <w:rPr>
                <w:sz w:val="17"/>
              </w:rPr>
              <w:t>oct-2022</w:t>
            </w:r>
          </w:p>
        </w:tc>
        <w:tc>
          <w:tcPr>
            <w:tcW w:type="dxa" w:w="1170"/>
          </w:tcPr>
          <w:p>
            <w:pPr>
              <w:spacing w:after="0"/>
              <w:jc w:val="left"/>
            </w:pPr>
            <w:r/>
            <w:r>
              <w:rPr>
                <w:sz w:val="17"/>
              </w:rPr>
              <w:t>oct-2026</w:t>
            </w:r>
          </w:p>
        </w:tc>
        <w:tc>
          <w:tcPr>
            <w:tcW w:type="dxa" w:w="1170"/>
          </w:tcPr>
          <w:p>
            <w:pPr>
              <w:spacing w:after="0"/>
              <w:jc w:val="right"/>
            </w:pPr>
            <w:r/>
            <w:r>
              <w:rPr>
                <w:sz w:val="17"/>
              </w:rPr>
              <w:t>29.87</w:t>
            </w:r>
          </w:p>
        </w:tc>
        <w:tc>
          <w:tcPr>
            <w:tcW w:type="dxa" w:w="1170"/>
          </w:tcPr>
          <w:p>
            <w:pPr>
              <w:spacing w:after="0"/>
              <w:jc w:val="left"/>
            </w:pPr>
            <w:r/>
            <w:r>
              <w:rPr>
                <w:sz w:val="17"/>
              </w:rPr>
              <w:t>3.76–143.48</w:t>
            </w:r>
          </w:p>
        </w:tc>
        <w:tc>
          <w:tcPr>
            <w:tcW w:type="dxa" w:w="1170"/>
          </w:tcPr>
          <w:p>
            <w:pPr>
              <w:spacing w:after="0"/>
              <w:jc w:val="right"/>
            </w:pPr>
            <w:r/>
            <w:r>
              <w:rPr>
                <w:sz w:val="17"/>
              </w:rPr>
              <w:t>25.98</w:t>
            </w:r>
          </w:p>
        </w:tc>
      </w:tr>
    </w:tbl>
    <w:p>
      <w:pPr>
        <w:spacing w:after="40"/>
      </w:pPr>
    </w:p>
    <w:p>
      <w:pPr>
        <w:keepNext/>
        <w:spacing w:after="40"/>
        <w:jc w:val="center"/>
      </w:pPr>
      <w:r>
        <w:drawing>
          <wp:inline xmlns:a="http://schemas.openxmlformats.org/drawingml/2006/main" xmlns:pic="http://schemas.openxmlformats.org/drawingml/2006/picture">
            <wp:extent cx="5760720" cy="2359461"/>
            <wp:docPr id="7" name="Picture 7"/>
            <wp:cNvGraphicFramePr>
              <a:graphicFrameLocks noChangeAspect="1"/>
            </wp:cNvGraphicFramePr>
            <a:graphic>
              <a:graphicData uri="http://schemas.openxmlformats.org/drawingml/2006/picture">
                <pic:pic>
                  <pic:nvPicPr>
                    <pic:cNvPr id="0" name="fig_09_train_test.png"/>
                    <pic:cNvPicPr/>
                  </pic:nvPicPr>
                  <pic:blipFill>
                    <a:blip r:embed="rId16"/>
                    <a:stretch>
                      <a:fillRect/>
                    </a:stretch>
                  </pic:blipFill>
                  <pic:spPr>
                    <a:xfrm>
                      <a:off x="0" y="0"/>
                      <a:ext cx="5760720" cy="2359461"/>
                    </a:xfrm>
                    <a:prstGeom prst="rect"/>
                  </pic:spPr>
                </pic:pic>
              </a:graphicData>
            </a:graphic>
          </wp:inline>
        </w:drawing>
      </w:r>
    </w:p>
    <w:p>
      <w:pPr>
        <w:spacing w:after="60"/>
        <w:jc w:val="center"/>
      </w:pPr>
      <w:r>
        <w:rPr>
          <w:i/>
          <w:sz w:val="18"/>
        </w:rPr>
        <w:t>Figura 7. División cronológica Train/Test del precio de cierre mensual de RKLB (línea punteada: punto de corte).</w:t>
      </w:r>
    </w:p>
    <w:p>
      <w:r>
        <w:rPr>
          <w:b/>
          <w:sz w:val="20"/>
        </w:rPr>
        <w:t>Interpretación.</w:t>
      </w:r>
      <w:r>
        <w:rPr>
          <w:sz w:val="20"/>
        </w:rPr>
        <w:t xml:space="preserve"> Train (39 meses) cubre casi todo el periodo de precios bajos y la primera parte del auge; Test (10 meses) contiene el máximo de 143.48 USD y la posterior corrección. El nivel de Test queda en su mayor parte fuera del rango de Train (media 81.00 vs 16.76 USD), lo que motiva modelar cambios relativos en lugar de niveles.</w:t>
      </w:r>
    </w:p>
    <w:p>
      <w:pPr>
        <w:pStyle w:val="Heading3"/>
      </w:pPr>
      <w:r>
        <w:t>Respuestas a las preguntas de la sección</w:t>
      </w:r>
    </w:p>
    <w:p>
      <w:pPr>
        <w:keepNext/>
        <w:spacing w:after="20"/>
      </w:pPr>
      <w:r>
        <w:rPr>
          <w:b/>
        </w:rPr>
        <w:t>¿Cuántas observaciones quedaron en cada conjunto?</w:t>
      </w:r>
    </w:p>
    <w:p>
      <w:pPr>
        <w:ind w:left="288"/>
      </w:pPr>
      <w:r>
        <w:rPr>
          <w:b/>
        </w:rPr>
        <w:t>Train: 39 observaciones (79.6 %)</w:t>
      </w:r>
      <w:r>
        <w:t xml:space="preserve"> y </w:t>
      </w:r>
      <w:r>
        <w:rPr>
          <w:b/>
        </w:rPr>
        <w:t>Test: 10 observaciones (20.4 %)</w:t>
      </w:r>
      <w:r>
        <w:t>, de un total de 49 (corte = int(49 × 0.80) = 39).</w:t>
      </w:r>
    </w:p>
    <w:p>
      <w:pPr>
        <w:keepNext/>
        <w:spacing w:after="20"/>
      </w:pPr>
      <w:r>
        <w:rPr>
          <w:b/>
        </w:rPr>
        <w:t>¿Qué fechas comprende cada uno?</w:t>
      </w:r>
    </w:p>
    <w:p>
      <w:pPr>
        <w:ind w:left="288"/>
      </w:pPr>
      <w:r>
        <w:t xml:space="preserve">Train: de </w:t>
      </w:r>
      <w:r>
        <w:rPr>
          <w:b/>
        </w:rPr>
        <w:t>oct-2022 a dic-2025</w:t>
      </w:r>
      <w:r>
        <w:t xml:space="preserve">. Test: de </w:t>
      </w:r>
      <w:r>
        <w:rPr>
          <w:b/>
        </w:rPr>
        <w:t>ene-2026 a oct-2026</w:t>
      </w:r>
      <w:r>
        <w:t xml:space="preserve"> (incluye el mes parcial oct-2026). Todo Train es anterior a Test.</w:t>
      </w:r>
    </w:p>
    <w:p>
      <w:pPr>
        <w:keepNext/>
        <w:spacing w:after="20"/>
      </w:pPr>
      <w:r>
        <w:rPr>
          <w:b/>
        </w:rPr>
        <w:t>¿Por qué no se utiliza una división aleatoria?</w:t>
      </w:r>
    </w:p>
    <w:p>
      <w:pPr>
        <w:ind w:left="288"/>
      </w:pPr>
      <w:r>
        <w:t xml:space="preserve">Porque en una serie de tiempo el orden contiene la información. Una división aleatoria (1) </w:t>
      </w:r>
      <w:r>
        <w:rPr>
          <w:b/>
        </w:rPr>
        <w:t>filtraría información del futuro</w:t>
      </w:r>
      <w:r>
        <w:t xml:space="preserve"> al entrenamiento: se estimaría con meses de 2026 para «pronosticar» meses de 2025; (2) </w:t>
      </w:r>
      <w:r>
        <w:rPr>
          <w:b/>
        </w:rPr>
        <w:t>rompería la dependencia temporal</w:t>
      </w:r>
      <w:r>
        <w:t xml:space="preserve"> que los rezagos y el ACF necesitan (la autocorrelación de rezago 1 es de 0.885); y (3) no imita el uso real, que es predecir un futuro todavía no observado. En RKLB el efecto sería grave: el precio medio es de 16.76 USD en Train y de 81.00 USD en Test, y el máximo de Test (143.48 USD) es 2.1 veces el de Train (69.76 USD); mezclar ambos regímenes subestimaría artificialmente el error de pronóstico.</w:t>
      </w:r>
    </w:p>
    <w:p>
      <w:pPr>
        <w:keepNext/>
        <w:spacing w:after="20"/>
      </w:pPr>
      <w:r>
        <w:rPr>
          <w:b/>
        </w:rPr>
        <w:t>¿Para qué servirá Test posteriormente?</w:t>
      </w:r>
    </w:p>
    <w:p>
      <w:pPr>
        <w:ind w:left="288"/>
      </w:pPr>
      <w:r>
        <w:t xml:space="preserve">Para evaluar </w:t>
      </w:r>
      <w:r>
        <w:rPr>
          <w:b/>
        </w:rPr>
        <w:t>fuera de muestra</w:t>
      </w:r>
      <w:r>
        <w:t xml:space="preserve"> los pronósticos de los modelos estimados únicamente con Train (comparar lo pronosticado contra lo observado de ene-2026 a oct-2026), comparar modelos y detectar sobreajuste. No debe usarse para elegir transformaciones ni parámetros. Como solo tiene 10 meses y el último es parcial, la evaluación tendrá poca potencia; y en nivel el Test queda casi totalmente fuera del rango visto en Train (mínimo de Test 63.92 USD vs máximo de Train 69.76 USD), mientras que en cambios logarítmicos las desviaciones son comparables (25.4 % en Train y 28.7 % en Test).</w:t>
      </w:r>
    </w:p>
    <w:p>
      <w:pPr>
        <w:pStyle w:val="Heading1"/>
      </w:pPr>
      <w:r>
        <w:t>10. Rezagos y autocorrelación</w:t>
      </w:r>
    </w:p>
    <w:p>
      <w:pPr>
        <w:keepNext/>
        <w:spacing w:after="60"/>
      </w:pPr>
      <w:r>
        <w:rPr>
          <w:b/>
          <w:sz w:val="19"/>
        </w:rPr>
        <w:t>Tabla 13. Rezagos del precio de cierre (primeras 8 filas; NaN donde no existe el pasado)</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val="true"/>
          <w:tblHeader w:val="true"/>
        </w:trPr>
        <w:tc>
          <w:tcPr>
            <w:tcW w:type="dxa" w:w="1872"/>
            <w:shd w:val="clear" w:color="auto" w:fill="1F4E79"/>
          </w:tcPr>
          <w:p>
            <w:pPr>
              <w:keepNext/>
              <w:jc w:val="center"/>
            </w:pPr>
            <w:r/>
            <w:r>
              <w:rPr>
                <w:b/>
                <w:color w:val="FFFFFF"/>
                <w:sz w:val="18"/>
              </w:rPr>
              <w:t>Mes</w:t>
            </w:r>
          </w:p>
        </w:tc>
        <w:tc>
          <w:tcPr>
            <w:tcW w:type="dxa" w:w="1872"/>
            <w:shd w:val="clear" w:color="auto" w:fill="1F4E79"/>
          </w:tcPr>
          <w:p>
            <w:pPr>
              <w:keepNext/>
              <w:jc w:val="center"/>
            </w:pPr>
            <w:r/>
            <w:r>
              <w:rPr>
                <w:b/>
                <w:color w:val="FFFFFF"/>
                <w:sz w:val="18"/>
              </w:rPr>
              <w:t>Yₜ (USD)</w:t>
            </w:r>
          </w:p>
        </w:tc>
        <w:tc>
          <w:tcPr>
            <w:tcW w:type="dxa" w:w="1872"/>
            <w:shd w:val="clear" w:color="auto" w:fill="1F4E79"/>
          </w:tcPr>
          <w:p>
            <w:pPr>
              <w:keepNext/>
              <w:jc w:val="center"/>
            </w:pPr>
            <w:r/>
            <w:r>
              <w:rPr>
                <w:b/>
                <w:color w:val="FFFFFF"/>
                <w:sz w:val="18"/>
              </w:rPr>
              <w:t>Lag 1</w:t>
            </w:r>
          </w:p>
        </w:tc>
        <w:tc>
          <w:tcPr>
            <w:tcW w:type="dxa" w:w="1872"/>
            <w:shd w:val="clear" w:color="auto" w:fill="1F4E79"/>
          </w:tcPr>
          <w:p>
            <w:pPr>
              <w:keepNext/>
              <w:jc w:val="center"/>
            </w:pPr>
            <w:r/>
            <w:r>
              <w:rPr>
                <w:b/>
                <w:color w:val="FFFFFF"/>
                <w:sz w:val="18"/>
              </w:rPr>
              <w:t>Lag 2</w:t>
            </w:r>
          </w:p>
        </w:tc>
        <w:tc>
          <w:tcPr>
            <w:tcW w:type="dxa" w:w="1872"/>
            <w:shd w:val="clear" w:color="auto" w:fill="1F4E79"/>
          </w:tcPr>
          <w:p>
            <w:pPr>
              <w:keepNext/>
              <w:jc w:val="center"/>
            </w:pPr>
            <w:r/>
            <w:r>
              <w:rPr>
                <w:b/>
                <w:color w:val="FFFFFF"/>
                <w:sz w:val="18"/>
              </w:rPr>
              <w:t>Lag 3</w:t>
            </w:r>
          </w:p>
        </w:tc>
      </w:tr>
      <w:tr>
        <w:trPr>
          <w:cantSplit w:val="true"/>
        </w:trPr>
        <w:tc>
          <w:tcPr>
            <w:tcW w:type="dxa" w:w="1872"/>
          </w:tcPr>
          <w:p>
            <w:pPr>
              <w:keepNext/>
              <w:spacing w:after="0"/>
              <w:jc w:val="left"/>
            </w:pPr>
            <w:r/>
            <w:r>
              <w:rPr>
                <w:sz w:val="18"/>
              </w:rPr>
              <w:t>2022-10</w:t>
            </w:r>
          </w:p>
        </w:tc>
        <w:tc>
          <w:tcPr>
            <w:tcW w:type="dxa" w:w="1872"/>
          </w:tcPr>
          <w:p>
            <w:pPr>
              <w:keepNext/>
              <w:spacing w:after="0"/>
              <w:jc w:val="right"/>
            </w:pPr>
            <w:r/>
            <w:r>
              <w:rPr>
                <w:sz w:val="18"/>
              </w:rPr>
              <w:t>5.09</w:t>
            </w:r>
          </w:p>
        </w:tc>
        <w:tc>
          <w:tcPr>
            <w:tcW w:type="dxa" w:w="1872"/>
          </w:tcPr>
          <w:p>
            <w:pPr>
              <w:keepNext/>
              <w:spacing w:after="0"/>
              <w:jc w:val="right"/>
            </w:pPr>
            <w:r/>
            <w:r>
              <w:rPr>
                <w:sz w:val="18"/>
              </w:rPr>
              <w:t>NaN</w:t>
            </w:r>
          </w:p>
        </w:tc>
        <w:tc>
          <w:tcPr>
            <w:tcW w:type="dxa" w:w="1872"/>
          </w:tcPr>
          <w:p>
            <w:pPr>
              <w:keepNext/>
              <w:spacing w:after="0"/>
              <w:jc w:val="right"/>
            </w:pPr>
            <w:r/>
            <w:r>
              <w:rPr>
                <w:sz w:val="18"/>
              </w:rPr>
              <w:t>NaN</w:t>
            </w:r>
          </w:p>
        </w:tc>
        <w:tc>
          <w:tcPr>
            <w:tcW w:type="dxa" w:w="1872"/>
          </w:tcPr>
          <w:p>
            <w:pPr>
              <w:keepNext/>
              <w:spacing w:after="0"/>
              <w:jc w:val="right"/>
            </w:pPr>
            <w:r/>
            <w:r>
              <w:rPr>
                <w:sz w:val="18"/>
              </w:rPr>
              <w:t>NaN</w:t>
            </w:r>
          </w:p>
        </w:tc>
      </w:tr>
      <w:tr>
        <w:trPr>
          <w:cantSplit w:val="true"/>
        </w:trPr>
        <w:tc>
          <w:tcPr>
            <w:tcW w:type="dxa" w:w="1872"/>
            <w:shd w:val="clear" w:color="auto" w:fill="EAF1F8"/>
          </w:tcPr>
          <w:p>
            <w:pPr>
              <w:keepNext/>
              <w:spacing w:after="0"/>
              <w:jc w:val="left"/>
            </w:pPr>
            <w:r/>
            <w:r>
              <w:rPr>
                <w:sz w:val="18"/>
              </w:rPr>
              <w:t>2022-11</w:t>
            </w:r>
          </w:p>
        </w:tc>
        <w:tc>
          <w:tcPr>
            <w:tcW w:type="dxa" w:w="1872"/>
            <w:shd w:val="clear" w:color="auto" w:fill="EAF1F8"/>
          </w:tcPr>
          <w:p>
            <w:pPr>
              <w:keepNext/>
              <w:spacing w:after="0"/>
              <w:jc w:val="right"/>
            </w:pPr>
            <w:r/>
            <w:r>
              <w:rPr>
                <w:sz w:val="18"/>
              </w:rPr>
              <w:t>4.19</w:t>
            </w:r>
          </w:p>
        </w:tc>
        <w:tc>
          <w:tcPr>
            <w:tcW w:type="dxa" w:w="1872"/>
            <w:shd w:val="clear" w:color="auto" w:fill="EAF1F8"/>
          </w:tcPr>
          <w:p>
            <w:pPr>
              <w:keepNext/>
              <w:spacing w:after="0"/>
              <w:jc w:val="right"/>
            </w:pPr>
            <w:r/>
            <w:r>
              <w:rPr>
                <w:sz w:val="18"/>
              </w:rPr>
              <w:t>5.09</w:t>
            </w:r>
          </w:p>
        </w:tc>
        <w:tc>
          <w:tcPr>
            <w:tcW w:type="dxa" w:w="1872"/>
            <w:shd w:val="clear" w:color="auto" w:fill="EAF1F8"/>
          </w:tcPr>
          <w:p>
            <w:pPr>
              <w:keepNext/>
              <w:spacing w:after="0"/>
              <w:jc w:val="right"/>
            </w:pPr>
            <w:r/>
            <w:r>
              <w:rPr>
                <w:sz w:val="18"/>
              </w:rPr>
              <w:t>NaN</w:t>
            </w:r>
          </w:p>
        </w:tc>
        <w:tc>
          <w:tcPr>
            <w:tcW w:type="dxa" w:w="1872"/>
            <w:shd w:val="clear" w:color="auto" w:fill="EAF1F8"/>
          </w:tcPr>
          <w:p>
            <w:pPr>
              <w:keepNext/>
              <w:spacing w:after="0"/>
              <w:jc w:val="right"/>
            </w:pPr>
            <w:r/>
            <w:r>
              <w:rPr>
                <w:sz w:val="18"/>
              </w:rPr>
              <w:t>NaN</w:t>
            </w:r>
          </w:p>
        </w:tc>
      </w:tr>
      <w:tr>
        <w:trPr>
          <w:cantSplit w:val="true"/>
        </w:trPr>
        <w:tc>
          <w:tcPr>
            <w:tcW w:type="dxa" w:w="1872"/>
          </w:tcPr>
          <w:p>
            <w:pPr>
              <w:keepNext/>
              <w:spacing w:after="0"/>
              <w:jc w:val="left"/>
            </w:pPr>
            <w:r/>
            <w:r>
              <w:rPr>
                <w:sz w:val="18"/>
              </w:rPr>
              <w:t>2022-12</w:t>
            </w:r>
          </w:p>
        </w:tc>
        <w:tc>
          <w:tcPr>
            <w:tcW w:type="dxa" w:w="1872"/>
          </w:tcPr>
          <w:p>
            <w:pPr>
              <w:keepNext/>
              <w:spacing w:after="0"/>
              <w:jc w:val="right"/>
            </w:pPr>
            <w:r/>
            <w:r>
              <w:rPr>
                <w:sz w:val="18"/>
              </w:rPr>
              <w:t>3.77</w:t>
            </w:r>
          </w:p>
        </w:tc>
        <w:tc>
          <w:tcPr>
            <w:tcW w:type="dxa" w:w="1872"/>
          </w:tcPr>
          <w:p>
            <w:pPr>
              <w:keepNext/>
              <w:spacing w:after="0"/>
              <w:jc w:val="right"/>
            </w:pPr>
            <w:r/>
            <w:r>
              <w:rPr>
                <w:sz w:val="18"/>
              </w:rPr>
              <w:t>4.19</w:t>
            </w:r>
          </w:p>
        </w:tc>
        <w:tc>
          <w:tcPr>
            <w:tcW w:type="dxa" w:w="1872"/>
          </w:tcPr>
          <w:p>
            <w:pPr>
              <w:keepNext/>
              <w:spacing w:after="0"/>
              <w:jc w:val="right"/>
            </w:pPr>
            <w:r/>
            <w:r>
              <w:rPr>
                <w:sz w:val="18"/>
              </w:rPr>
              <w:t>5.09</w:t>
            </w:r>
          </w:p>
        </w:tc>
        <w:tc>
          <w:tcPr>
            <w:tcW w:type="dxa" w:w="1872"/>
          </w:tcPr>
          <w:p>
            <w:pPr>
              <w:keepNext/>
              <w:spacing w:after="0"/>
              <w:jc w:val="right"/>
            </w:pPr>
            <w:r/>
            <w:r>
              <w:rPr>
                <w:sz w:val="18"/>
              </w:rPr>
              <w:t>NaN</w:t>
            </w:r>
          </w:p>
        </w:tc>
      </w:tr>
      <w:tr>
        <w:trPr>
          <w:cantSplit w:val="true"/>
        </w:trPr>
        <w:tc>
          <w:tcPr>
            <w:tcW w:type="dxa" w:w="1872"/>
            <w:shd w:val="clear" w:color="auto" w:fill="EAF1F8"/>
          </w:tcPr>
          <w:p>
            <w:pPr>
              <w:keepNext/>
              <w:spacing w:after="0"/>
              <w:jc w:val="left"/>
            </w:pPr>
            <w:r/>
            <w:r>
              <w:rPr>
                <w:sz w:val="18"/>
              </w:rPr>
              <w:t>2023-01</w:t>
            </w:r>
          </w:p>
        </w:tc>
        <w:tc>
          <w:tcPr>
            <w:tcW w:type="dxa" w:w="1872"/>
            <w:shd w:val="clear" w:color="auto" w:fill="EAF1F8"/>
          </w:tcPr>
          <w:p>
            <w:pPr>
              <w:keepNext/>
              <w:spacing w:after="0"/>
              <w:jc w:val="right"/>
            </w:pPr>
            <w:r/>
            <w:r>
              <w:rPr>
                <w:sz w:val="18"/>
              </w:rPr>
              <w:t>4.97</w:t>
            </w:r>
          </w:p>
        </w:tc>
        <w:tc>
          <w:tcPr>
            <w:tcW w:type="dxa" w:w="1872"/>
            <w:shd w:val="clear" w:color="auto" w:fill="EAF1F8"/>
          </w:tcPr>
          <w:p>
            <w:pPr>
              <w:keepNext/>
              <w:spacing w:after="0"/>
              <w:jc w:val="right"/>
            </w:pPr>
            <w:r/>
            <w:r>
              <w:rPr>
                <w:sz w:val="18"/>
              </w:rPr>
              <w:t>3.77</w:t>
            </w:r>
          </w:p>
        </w:tc>
        <w:tc>
          <w:tcPr>
            <w:tcW w:type="dxa" w:w="1872"/>
            <w:shd w:val="clear" w:color="auto" w:fill="EAF1F8"/>
          </w:tcPr>
          <w:p>
            <w:pPr>
              <w:keepNext/>
              <w:spacing w:after="0"/>
              <w:jc w:val="right"/>
            </w:pPr>
            <w:r/>
            <w:r>
              <w:rPr>
                <w:sz w:val="18"/>
              </w:rPr>
              <w:t>4.19</w:t>
            </w:r>
          </w:p>
        </w:tc>
        <w:tc>
          <w:tcPr>
            <w:tcW w:type="dxa" w:w="1872"/>
            <w:shd w:val="clear" w:color="auto" w:fill="EAF1F8"/>
          </w:tcPr>
          <w:p>
            <w:pPr>
              <w:keepNext/>
              <w:spacing w:after="0"/>
              <w:jc w:val="right"/>
            </w:pPr>
            <w:r/>
            <w:r>
              <w:rPr>
                <w:sz w:val="18"/>
              </w:rPr>
              <w:t>5.09</w:t>
            </w:r>
          </w:p>
        </w:tc>
      </w:tr>
      <w:tr>
        <w:trPr>
          <w:cantSplit w:val="true"/>
        </w:trPr>
        <w:tc>
          <w:tcPr>
            <w:tcW w:type="dxa" w:w="1872"/>
          </w:tcPr>
          <w:p>
            <w:pPr>
              <w:keepNext/>
              <w:spacing w:after="0"/>
              <w:jc w:val="left"/>
            </w:pPr>
            <w:r/>
            <w:r>
              <w:rPr>
                <w:sz w:val="18"/>
              </w:rPr>
              <w:t>2023-02</w:t>
            </w:r>
          </w:p>
        </w:tc>
        <w:tc>
          <w:tcPr>
            <w:tcW w:type="dxa" w:w="1872"/>
          </w:tcPr>
          <w:p>
            <w:pPr>
              <w:keepNext/>
              <w:spacing w:after="0"/>
              <w:jc w:val="right"/>
            </w:pPr>
            <w:r/>
            <w:r>
              <w:rPr>
                <w:sz w:val="18"/>
              </w:rPr>
              <w:t>4.50</w:t>
            </w:r>
          </w:p>
        </w:tc>
        <w:tc>
          <w:tcPr>
            <w:tcW w:type="dxa" w:w="1872"/>
          </w:tcPr>
          <w:p>
            <w:pPr>
              <w:keepNext/>
              <w:spacing w:after="0"/>
              <w:jc w:val="right"/>
            </w:pPr>
            <w:r/>
            <w:r>
              <w:rPr>
                <w:sz w:val="18"/>
              </w:rPr>
              <w:t>4.97</w:t>
            </w:r>
          </w:p>
        </w:tc>
        <w:tc>
          <w:tcPr>
            <w:tcW w:type="dxa" w:w="1872"/>
          </w:tcPr>
          <w:p>
            <w:pPr>
              <w:keepNext/>
              <w:spacing w:after="0"/>
              <w:jc w:val="right"/>
            </w:pPr>
            <w:r/>
            <w:r>
              <w:rPr>
                <w:sz w:val="18"/>
              </w:rPr>
              <w:t>3.77</w:t>
            </w:r>
          </w:p>
        </w:tc>
        <w:tc>
          <w:tcPr>
            <w:tcW w:type="dxa" w:w="1872"/>
          </w:tcPr>
          <w:p>
            <w:pPr>
              <w:keepNext/>
              <w:spacing w:after="0"/>
              <w:jc w:val="right"/>
            </w:pPr>
            <w:r/>
            <w:r>
              <w:rPr>
                <w:sz w:val="18"/>
              </w:rPr>
              <w:t>4.19</w:t>
            </w:r>
          </w:p>
        </w:tc>
      </w:tr>
      <w:tr>
        <w:trPr>
          <w:cantSplit w:val="true"/>
        </w:trPr>
        <w:tc>
          <w:tcPr>
            <w:tcW w:type="dxa" w:w="1872"/>
            <w:shd w:val="clear" w:color="auto" w:fill="EAF1F8"/>
          </w:tcPr>
          <w:p>
            <w:pPr>
              <w:keepNext/>
              <w:spacing w:after="0"/>
              <w:jc w:val="left"/>
            </w:pPr>
            <w:r/>
            <w:r>
              <w:rPr>
                <w:sz w:val="18"/>
              </w:rPr>
              <w:t>2023-03</w:t>
            </w:r>
          </w:p>
        </w:tc>
        <w:tc>
          <w:tcPr>
            <w:tcW w:type="dxa" w:w="1872"/>
            <w:shd w:val="clear" w:color="auto" w:fill="EAF1F8"/>
          </w:tcPr>
          <w:p>
            <w:pPr>
              <w:keepNext/>
              <w:spacing w:after="0"/>
              <w:jc w:val="right"/>
            </w:pPr>
            <w:r/>
            <w:r>
              <w:rPr>
                <w:sz w:val="18"/>
              </w:rPr>
              <w:t>4.04</w:t>
            </w:r>
          </w:p>
        </w:tc>
        <w:tc>
          <w:tcPr>
            <w:tcW w:type="dxa" w:w="1872"/>
            <w:shd w:val="clear" w:color="auto" w:fill="EAF1F8"/>
          </w:tcPr>
          <w:p>
            <w:pPr>
              <w:keepNext/>
              <w:spacing w:after="0"/>
              <w:jc w:val="right"/>
            </w:pPr>
            <w:r/>
            <w:r>
              <w:rPr>
                <w:sz w:val="18"/>
              </w:rPr>
              <w:t>4.50</w:t>
            </w:r>
          </w:p>
        </w:tc>
        <w:tc>
          <w:tcPr>
            <w:tcW w:type="dxa" w:w="1872"/>
            <w:shd w:val="clear" w:color="auto" w:fill="EAF1F8"/>
          </w:tcPr>
          <w:p>
            <w:pPr>
              <w:keepNext/>
              <w:spacing w:after="0"/>
              <w:jc w:val="right"/>
            </w:pPr>
            <w:r/>
            <w:r>
              <w:rPr>
                <w:sz w:val="18"/>
              </w:rPr>
              <w:t>4.97</w:t>
            </w:r>
          </w:p>
        </w:tc>
        <w:tc>
          <w:tcPr>
            <w:tcW w:type="dxa" w:w="1872"/>
            <w:shd w:val="clear" w:color="auto" w:fill="EAF1F8"/>
          </w:tcPr>
          <w:p>
            <w:pPr>
              <w:keepNext/>
              <w:spacing w:after="0"/>
              <w:jc w:val="right"/>
            </w:pPr>
            <w:r/>
            <w:r>
              <w:rPr>
                <w:sz w:val="18"/>
              </w:rPr>
              <w:t>3.77</w:t>
            </w:r>
          </w:p>
        </w:tc>
      </w:tr>
      <w:tr>
        <w:trPr>
          <w:cantSplit w:val="true"/>
        </w:trPr>
        <w:tc>
          <w:tcPr>
            <w:tcW w:type="dxa" w:w="1872"/>
          </w:tcPr>
          <w:p>
            <w:pPr>
              <w:keepNext/>
              <w:spacing w:after="0"/>
              <w:jc w:val="left"/>
            </w:pPr>
            <w:r/>
            <w:r>
              <w:rPr>
                <w:sz w:val="18"/>
              </w:rPr>
              <w:t>2023-04</w:t>
            </w:r>
          </w:p>
        </w:tc>
        <w:tc>
          <w:tcPr>
            <w:tcW w:type="dxa" w:w="1872"/>
          </w:tcPr>
          <w:p>
            <w:pPr>
              <w:keepNext/>
              <w:spacing w:after="0"/>
              <w:jc w:val="right"/>
            </w:pPr>
            <w:r/>
            <w:r>
              <w:rPr>
                <w:sz w:val="18"/>
              </w:rPr>
              <w:t>3.92</w:t>
            </w:r>
          </w:p>
        </w:tc>
        <w:tc>
          <w:tcPr>
            <w:tcW w:type="dxa" w:w="1872"/>
          </w:tcPr>
          <w:p>
            <w:pPr>
              <w:keepNext/>
              <w:spacing w:after="0"/>
              <w:jc w:val="right"/>
            </w:pPr>
            <w:r/>
            <w:r>
              <w:rPr>
                <w:sz w:val="18"/>
              </w:rPr>
              <w:t>4.04</w:t>
            </w:r>
          </w:p>
        </w:tc>
        <w:tc>
          <w:tcPr>
            <w:tcW w:type="dxa" w:w="1872"/>
          </w:tcPr>
          <w:p>
            <w:pPr>
              <w:keepNext/>
              <w:spacing w:after="0"/>
              <w:jc w:val="right"/>
            </w:pPr>
            <w:r/>
            <w:r>
              <w:rPr>
                <w:sz w:val="18"/>
              </w:rPr>
              <w:t>4.50</w:t>
            </w:r>
          </w:p>
        </w:tc>
        <w:tc>
          <w:tcPr>
            <w:tcW w:type="dxa" w:w="1872"/>
          </w:tcPr>
          <w:p>
            <w:pPr>
              <w:keepNext/>
              <w:spacing w:after="0"/>
              <w:jc w:val="right"/>
            </w:pPr>
            <w:r/>
            <w:r>
              <w:rPr>
                <w:sz w:val="18"/>
              </w:rPr>
              <w:t>4.97</w:t>
            </w:r>
          </w:p>
        </w:tc>
      </w:tr>
      <w:tr>
        <w:trPr>
          <w:cantSplit w:val="true"/>
        </w:trPr>
        <w:tc>
          <w:tcPr>
            <w:tcW w:type="dxa" w:w="1872"/>
            <w:shd w:val="clear" w:color="auto" w:fill="EAF1F8"/>
          </w:tcPr>
          <w:p>
            <w:pPr>
              <w:spacing w:after="0"/>
              <w:jc w:val="left"/>
            </w:pPr>
            <w:r/>
            <w:r>
              <w:rPr>
                <w:sz w:val="18"/>
              </w:rPr>
              <w:t>2023-05</w:t>
            </w:r>
          </w:p>
        </w:tc>
        <w:tc>
          <w:tcPr>
            <w:tcW w:type="dxa" w:w="1872"/>
            <w:shd w:val="clear" w:color="auto" w:fill="EAF1F8"/>
          </w:tcPr>
          <w:p>
            <w:pPr>
              <w:spacing w:after="0"/>
              <w:jc w:val="right"/>
            </w:pPr>
            <w:r/>
            <w:r>
              <w:rPr>
                <w:sz w:val="18"/>
              </w:rPr>
              <w:t>4.58</w:t>
            </w:r>
          </w:p>
        </w:tc>
        <w:tc>
          <w:tcPr>
            <w:tcW w:type="dxa" w:w="1872"/>
            <w:shd w:val="clear" w:color="auto" w:fill="EAF1F8"/>
          </w:tcPr>
          <w:p>
            <w:pPr>
              <w:spacing w:after="0"/>
              <w:jc w:val="right"/>
            </w:pPr>
            <w:r/>
            <w:r>
              <w:rPr>
                <w:sz w:val="18"/>
              </w:rPr>
              <w:t>3.92</w:t>
            </w:r>
          </w:p>
        </w:tc>
        <w:tc>
          <w:tcPr>
            <w:tcW w:type="dxa" w:w="1872"/>
            <w:shd w:val="clear" w:color="auto" w:fill="EAF1F8"/>
          </w:tcPr>
          <w:p>
            <w:pPr>
              <w:spacing w:after="0"/>
              <w:jc w:val="right"/>
            </w:pPr>
            <w:r/>
            <w:r>
              <w:rPr>
                <w:sz w:val="18"/>
              </w:rPr>
              <w:t>4.04</w:t>
            </w:r>
          </w:p>
        </w:tc>
        <w:tc>
          <w:tcPr>
            <w:tcW w:type="dxa" w:w="1872"/>
            <w:shd w:val="clear" w:color="auto" w:fill="EAF1F8"/>
          </w:tcPr>
          <w:p>
            <w:pPr>
              <w:spacing w:after="0"/>
              <w:jc w:val="right"/>
            </w:pPr>
            <w:r/>
            <w:r>
              <w:rPr>
                <w:sz w:val="18"/>
              </w:rPr>
              <w:t>4.50</w:t>
            </w:r>
          </w:p>
        </w:tc>
      </w:tr>
    </w:tbl>
    <w:p>
      <w:pPr>
        <w:spacing w:after="40"/>
      </w:pPr>
    </w:p>
    <w:p>
      <w:pPr>
        <w:keepNext/>
        <w:spacing w:after="60"/>
      </w:pPr>
      <w:r>
        <w:rPr>
          <w:b/>
          <w:sz w:val="19"/>
        </w:rPr>
        <w:t>Tabla 14. Autocorrelaciones de la serie en nivel (rezagos 1 a 3)</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tblHeader w:val="true"/>
        </w:trPr>
        <w:tc>
          <w:tcPr>
            <w:tcW w:type="dxa" w:w="2340"/>
            <w:shd w:val="clear" w:color="auto" w:fill="1F4E79"/>
          </w:tcPr>
          <w:p>
            <w:pPr>
              <w:keepNext/>
              <w:jc w:val="center"/>
            </w:pPr>
            <w:r/>
            <w:r>
              <w:rPr>
                <w:b/>
                <w:color w:val="FFFFFF"/>
                <w:sz w:val="18"/>
              </w:rPr>
              <w:t>Rezago (meses)</w:t>
            </w:r>
          </w:p>
        </w:tc>
        <w:tc>
          <w:tcPr>
            <w:tcW w:type="dxa" w:w="2340"/>
            <w:shd w:val="clear" w:color="auto" w:fill="1F4E79"/>
          </w:tcPr>
          <w:p>
            <w:pPr>
              <w:keepNext/>
              <w:jc w:val="center"/>
            </w:pPr>
            <w:r/>
            <w:r>
              <w:rPr>
                <w:b/>
                <w:color w:val="FFFFFF"/>
                <w:sz w:val="18"/>
              </w:rPr>
              <w:t>Pares usados</w:t>
            </w:r>
          </w:p>
        </w:tc>
        <w:tc>
          <w:tcPr>
            <w:tcW w:type="dxa" w:w="2340"/>
            <w:shd w:val="clear" w:color="auto" w:fill="1F4E79"/>
          </w:tcPr>
          <w:p>
            <w:pPr>
              <w:keepNext/>
              <w:jc w:val="center"/>
            </w:pPr>
            <w:r/>
            <w:r>
              <w:rPr>
                <w:b/>
                <w:color w:val="FFFFFF"/>
                <w:sz w:val="18"/>
              </w:rPr>
              <w:t>Correlación Pearson Yₜ vs Yₜ₋ₖ</w:t>
            </w:r>
          </w:p>
        </w:tc>
        <w:tc>
          <w:tcPr>
            <w:tcW w:type="dxa" w:w="2340"/>
            <w:shd w:val="clear" w:color="auto" w:fill="1F4E79"/>
          </w:tcPr>
          <w:p>
            <w:pPr>
              <w:keepNext/>
              <w:jc w:val="center"/>
            </w:pPr>
            <w:r/>
            <w:r>
              <w:rPr>
                <w:b/>
                <w:color w:val="FFFFFF"/>
                <w:sz w:val="18"/>
              </w:rPr>
              <w:t>ACF muestral</w:t>
            </w:r>
          </w:p>
        </w:tc>
      </w:tr>
      <w:tr>
        <w:trPr>
          <w:cantSplit w:val="true"/>
        </w:trPr>
        <w:tc>
          <w:tcPr>
            <w:tcW w:type="dxa" w:w="2340"/>
          </w:tcPr>
          <w:p>
            <w:pPr>
              <w:keepNext/>
              <w:spacing w:after="0"/>
              <w:jc w:val="left"/>
            </w:pPr>
            <w:r/>
            <w:r>
              <w:rPr>
                <w:sz w:val="18"/>
              </w:rPr>
              <w:t>1</w:t>
            </w:r>
          </w:p>
        </w:tc>
        <w:tc>
          <w:tcPr>
            <w:tcW w:type="dxa" w:w="2340"/>
          </w:tcPr>
          <w:p>
            <w:pPr>
              <w:keepNext/>
              <w:spacing w:after="0"/>
              <w:jc w:val="right"/>
            </w:pPr>
            <w:r/>
            <w:r>
              <w:rPr>
                <w:sz w:val="18"/>
              </w:rPr>
              <w:t>48</w:t>
            </w:r>
          </w:p>
        </w:tc>
        <w:tc>
          <w:tcPr>
            <w:tcW w:type="dxa" w:w="2340"/>
          </w:tcPr>
          <w:p>
            <w:pPr>
              <w:keepNext/>
              <w:spacing w:after="0"/>
              <w:jc w:val="right"/>
            </w:pPr>
            <w:r/>
            <w:r>
              <w:rPr>
                <w:sz w:val="18"/>
              </w:rPr>
              <w:t>0.9058</w:t>
            </w:r>
          </w:p>
        </w:tc>
        <w:tc>
          <w:tcPr>
            <w:tcW w:type="dxa" w:w="2340"/>
          </w:tcPr>
          <w:p>
            <w:pPr>
              <w:keepNext/>
              <w:spacing w:after="0"/>
              <w:jc w:val="right"/>
            </w:pPr>
            <w:r/>
            <w:r>
              <w:rPr>
                <w:sz w:val="18"/>
              </w:rPr>
              <w:t>0.8849</w:t>
            </w:r>
          </w:p>
        </w:tc>
      </w:tr>
      <w:tr>
        <w:trPr>
          <w:cantSplit w:val="true"/>
        </w:trPr>
        <w:tc>
          <w:tcPr>
            <w:tcW w:type="dxa" w:w="2340"/>
            <w:shd w:val="clear" w:color="auto" w:fill="EAF1F8"/>
          </w:tcPr>
          <w:p>
            <w:pPr>
              <w:keepNext/>
              <w:spacing w:after="0"/>
              <w:jc w:val="left"/>
            </w:pPr>
            <w:r/>
            <w:r>
              <w:rPr>
                <w:sz w:val="18"/>
              </w:rPr>
              <w:t>2</w:t>
            </w:r>
          </w:p>
        </w:tc>
        <w:tc>
          <w:tcPr>
            <w:tcW w:type="dxa" w:w="2340"/>
            <w:shd w:val="clear" w:color="auto" w:fill="EAF1F8"/>
          </w:tcPr>
          <w:p>
            <w:pPr>
              <w:keepNext/>
              <w:spacing w:after="0"/>
              <w:jc w:val="right"/>
            </w:pPr>
            <w:r/>
            <w:r>
              <w:rPr>
                <w:sz w:val="18"/>
              </w:rPr>
              <w:t>47</w:t>
            </w:r>
          </w:p>
        </w:tc>
        <w:tc>
          <w:tcPr>
            <w:tcW w:type="dxa" w:w="2340"/>
            <w:shd w:val="clear" w:color="auto" w:fill="EAF1F8"/>
          </w:tcPr>
          <w:p>
            <w:pPr>
              <w:keepNext/>
              <w:spacing w:after="0"/>
              <w:jc w:val="right"/>
            </w:pPr>
            <w:r/>
            <w:r>
              <w:rPr>
                <w:sz w:val="18"/>
              </w:rPr>
              <w:t>0.8188</w:t>
            </w:r>
          </w:p>
        </w:tc>
        <w:tc>
          <w:tcPr>
            <w:tcW w:type="dxa" w:w="2340"/>
            <w:shd w:val="clear" w:color="auto" w:fill="EAF1F8"/>
          </w:tcPr>
          <w:p>
            <w:pPr>
              <w:keepNext/>
              <w:spacing w:after="0"/>
              <w:jc w:val="right"/>
            </w:pPr>
            <w:r/>
            <w:r>
              <w:rPr>
                <w:sz w:val="18"/>
              </w:rPr>
              <w:t>0.7792</w:t>
            </w:r>
          </w:p>
        </w:tc>
      </w:tr>
      <w:tr>
        <w:trPr>
          <w:cantSplit w:val="true"/>
        </w:trPr>
        <w:tc>
          <w:tcPr>
            <w:tcW w:type="dxa" w:w="2340"/>
          </w:tcPr>
          <w:p>
            <w:pPr>
              <w:spacing w:after="0"/>
              <w:jc w:val="left"/>
            </w:pPr>
            <w:r/>
            <w:r>
              <w:rPr>
                <w:sz w:val="18"/>
              </w:rPr>
              <w:t>3</w:t>
            </w:r>
          </w:p>
        </w:tc>
        <w:tc>
          <w:tcPr>
            <w:tcW w:type="dxa" w:w="2340"/>
          </w:tcPr>
          <w:p>
            <w:pPr>
              <w:spacing w:after="0"/>
              <w:jc w:val="right"/>
            </w:pPr>
            <w:r/>
            <w:r>
              <w:rPr>
                <w:sz w:val="18"/>
              </w:rPr>
              <w:t>46</w:t>
            </w:r>
          </w:p>
        </w:tc>
        <w:tc>
          <w:tcPr>
            <w:tcW w:type="dxa" w:w="2340"/>
          </w:tcPr>
          <w:p>
            <w:pPr>
              <w:spacing w:after="0"/>
              <w:jc w:val="right"/>
            </w:pPr>
            <w:r/>
            <w:r>
              <w:rPr>
                <w:sz w:val="18"/>
              </w:rPr>
              <w:t>0.8057</w:t>
            </w:r>
          </w:p>
        </w:tc>
        <w:tc>
          <w:tcPr>
            <w:tcW w:type="dxa" w:w="2340"/>
          </w:tcPr>
          <w:p>
            <w:pPr>
              <w:spacing w:after="0"/>
              <w:jc w:val="right"/>
            </w:pPr>
            <w:r/>
            <w:r>
              <w:rPr>
                <w:sz w:val="18"/>
              </w:rPr>
              <w:t>0.7484</w:t>
            </w:r>
          </w:p>
        </w:tc>
      </w:tr>
    </w:tbl>
    <w:p>
      <w:pPr>
        <w:spacing w:after="40"/>
      </w:pPr>
    </w:p>
    <w:p>
      <w:pPr>
        <w:keepNext/>
        <w:spacing w:after="60"/>
      </w:pPr>
      <w:r>
        <w:rPr>
          <w:b/>
          <w:sz w:val="19"/>
        </w:rPr>
        <w:t>Tabla 15. Autocorrelaciones del cambio logarítmico (rezagos 1 a 3)</w:t>
      </w:r>
    </w:p>
    <w:tbl>
      <w:tblPr>
        <w:tblStyle w:val="TableGrid"/>
        <w:tblW w:type="auto" w:w="0"/>
        <w:jc w:val="center"/>
        <w:tblLook w:firstColumn="1" w:firstRow="1" w:lastColumn="0" w:lastRow="0" w:noHBand="0" w:noVBand="1" w:val="04A0"/>
      </w:tblPr>
      <w:tblGrid>
        <w:gridCol w:w="3120"/>
        <w:gridCol w:w="3120"/>
        <w:gridCol w:w="3120"/>
      </w:tblGrid>
      <w:tr>
        <w:trPr>
          <w:cantSplit w:val="true"/>
          <w:tblHeader w:val="true"/>
        </w:trPr>
        <w:tc>
          <w:tcPr>
            <w:tcW w:type="dxa" w:w="3120"/>
            <w:shd w:val="clear" w:color="auto" w:fill="1F4E79"/>
          </w:tcPr>
          <w:p>
            <w:pPr>
              <w:keepNext/>
              <w:jc w:val="center"/>
            </w:pPr>
            <w:r/>
            <w:r>
              <w:rPr>
                <w:b/>
                <w:color w:val="FFFFFF"/>
                <w:sz w:val="18"/>
              </w:rPr>
              <w:t>Rezago (meses)</w:t>
            </w:r>
          </w:p>
        </w:tc>
        <w:tc>
          <w:tcPr>
            <w:tcW w:type="dxa" w:w="3120"/>
            <w:shd w:val="clear" w:color="auto" w:fill="1F4E79"/>
          </w:tcPr>
          <w:p>
            <w:pPr>
              <w:keepNext/>
              <w:jc w:val="center"/>
            </w:pPr>
            <w:r/>
            <w:r>
              <w:rPr>
                <w:b/>
                <w:color w:val="FFFFFF"/>
                <w:sz w:val="18"/>
              </w:rPr>
              <w:t>Correlación Pearson</w:t>
            </w:r>
          </w:p>
        </w:tc>
        <w:tc>
          <w:tcPr>
            <w:tcW w:type="dxa" w:w="3120"/>
            <w:shd w:val="clear" w:color="auto" w:fill="1F4E79"/>
          </w:tcPr>
          <w:p>
            <w:pPr>
              <w:keepNext/>
              <w:jc w:val="center"/>
            </w:pPr>
            <w:r/>
            <w:r>
              <w:rPr>
                <w:b/>
                <w:color w:val="FFFFFF"/>
                <w:sz w:val="18"/>
              </w:rPr>
              <w:t>ACF muestral</w:t>
            </w:r>
          </w:p>
        </w:tc>
      </w:tr>
      <w:tr>
        <w:trPr>
          <w:cantSplit w:val="true"/>
        </w:trPr>
        <w:tc>
          <w:tcPr>
            <w:tcW w:type="dxa" w:w="3120"/>
          </w:tcPr>
          <w:p>
            <w:pPr>
              <w:keepNext/>
              <w:spacing w:after="0"/>
              <w:jc w:val="left"/>
            </w:pPr>
            <w:r/>
            <w:r>
              <w:rPr>
                <w:sz w:val="18"/>
              </w:rPr>
              <w:t>1</w:t>
            </w:r>
          </w:p>
        </w:tc>
        <w:tc>
          <w:tcPr>
            <w:tcW w:type="dxa" w:w="3120"/>
          </w:tcPr>
          <w:p>
            <w:pPr>
              <w:keepNext/>
              <w:spacing w:after="0"/>
              <w:jc w:val="right"/>
            </w:pPr>
            <w:r/>
            <w:r>
              <w:rPr>
                <w:sz w:val="18"/>
              </w:rPr>
              <w:t>0.0340</w:t>
            </w:r>
          </w:p>
        </w:tc>
        <w:tc>
          <w:tcPr>
            <w:tcW w:type="dxa" w:w="3120"/>
          </w:tcPr>
          <w:p>
            <w:pPr>
              <w:keepNext/>
              <w:spacing w:after="0"/>
              <w:jc w:val="right"/>
            </w:pPr>
            <w:r/>
            <w:r>
              <w:rPr>
                <w:sz w:val="18"/>
              </w:rPr>
              <w:t>0.0337</w:t>
            </w:r>
          </w:p>
        </w:tc>
      </w:tr>
      <w:tr>
        <w:trPr>
          <w:cantSplit w:val="true"/>
        </w:trPr>
        <w:tc>
          <w:tcPr>
            <w:tcW w:type="dxa" w:w="3120"/>
            <w:shd w:val="clear" w:color="auto" w:fill="EAF1F8"/>
          </w:tcPr>
          <w:p>
            <w:pPr>
              <w:keepNext/>
              <w:spacing w:after="0"/>
              <w:jc w:val="left"/>
            </w:pPr>
            <w:r/>
            <w:r>
              <w:rPr>
                <w:sz w:val="18"/>
              </w:rPr>
              <w:t>2</w:t>
            </w:r>
          </w:p>
        </w:tc>
        <w:tc>
          <w:tcPr>
            <w:tcW w:type="dxa" w:w="3120"/>
            <w:shd w:val="clear" w:color="auto" w:fill="EAF1F8"/>
          </w:tcPr>
          <w:p>
            <w:pPr>
              <w:keepNext/>
              <w:spacing w:after="0"/>
              <w:jc w:val="right"/>
            </w:pPr>
            <w:r/>
            <w:r>
              <w:rPr>
                <w:sz w:val="18"/>
              </w:rPr>
              <w:t>-0.0516</w:t>
            </w:r>
          </w:p>
        </w:tc>
        <w:tc>
          <w:tcPr>
            <w:tcW w:type="dxa" w:w="3120"/>
            <w:shd w:val="clear" w:color="auto" w:fill="EAF1F8"/>
          </w:tcPr>
          <w:p>
            <w:pPr>
              <w:keepNext/>
              <w:spacing w:after="0"/>
              <w:jc w:val="right"/>
            </w:pPr>
            <w:r/>
            <w:r>
              <w:rPr>
                <w:sz w:val="18"/>
              </w:rPr>
              <w:t>-0.0508</w:t>
            </w:r>
          </w:p>
        </w:tc>
      </w:tr>
      <w:tr>
        <w:trPr>
          <w:cantSplit w:val="true"/>
        </w:trPr>
        <w:tc>
          <w:tcPr>
            <w:tcW w:type="dxa" w:w="3120"/>
          </w:tcPr>
          <w:p>
            <w:pPr>
              <w:spacing w:after="0"/>
              <w:jc w:val="left"/>
            </w:pPr>
            <w:r/>
            <w:r>
              <w:rPr>
                <w:sz w:val="18"/>
              </w:rPr>
              <w:t>3</w:t>
            </w:r>
          </w:p>
        </w:tc>
        <w:tc>
          <w:tcPr>
            <w:tcW w:type="dxa" w:w="3120"/>
          </w:tcPr>
          <w:p>
            <w:pPr>
              <w:spacing w:after="0"/>
              <w:jc w:val="right"/>
            </w:pPr>
            <w:r/>
            <w:r>
              <w:rPr>
                <w:sz w:val="18"/>
              </w:rPr>
              <w:t>-0.2048</w:t>
            </w:r>
          </w:p>
        </w:tc>
        <w:tc>
          <w:tcPr>
            <w:tcW w:type="dxa" w:w="3120"/>
          </w:tcPr>
          <w:p>
            <w:pPr>
              <w:spacing w:after="0"/>
              <w:jc w:val="right"/>
            </w:pPr>
            <w:r/>
            <w:r>
              <w:rPr>
                <w:sz w:val="18"/>
              </w:rPr>
              <w:t>-0.2000</w:t>
            </w:r>
          </w:p>
        </w:tc>
      </w:tr>
    </w:tbl>
    <w:p>
      <w:pPr>
        <w:spacing w:after="160"/>
      </w:pPr>
      <w:r>
        <w:rPr>
          <w:i/>
          <w:sz w:val="17"/>
        </w:rPr>
        <w:t>Interpretación: el nivel muestra correlaciones muy altas con sus tres rezagos (0.81–0.91); el cambio logarítmico, cercanas a cero (|r| ≤ 0.21).</w:t>
      </w:r>
    </w:p>
    <w:p>
      <w:pPr>
        <w:pStyle w:val="Heading3"/>
      </w:pPr>
      <w:r>
        <w:t>Respuestas a las preguntas de la sección</w:t>
      </w:r>
    </w:p>
    <w:p>
      <w:pPr>
        <w:keepNext/>
        <w:spacing w:after="20"/>
      </w:pPr>
      <w:r>
        <w:rPr>
          <w:b/>
        </w:rPr>
        <w:t>¿Qué representa cada rezago según la frecuencia de la serie?</w:t>
      </w:r>
    </w:p>
    <w:p>
      <w:pPr>
        <w:ind w:left="288"/>
      </w:pPr>
      <w:r>
        <w:t xml:space="preserve">Como la serie es mensual, </w:t>
      </w:r>
      <w:r>
        <w:rPr>
          <w:b/>
        </w:rPr>
        <w:t>Lag 1</w:t>
      </w:r>
      <w:r>
        <w:t xml:space="preserve"> es el precio de cierre del mes anterior, </w:t>
      </w:r>
      <w:r>
        <w:rPr>
          <w:b/>
        </w:rPr>
        <w:t>Lag 2</w:t>
      </w:r>
      <w:r>
        <w:t xml:space="preserve"> el de hace dos meses y </w:t>
      </w:r>
      <w:r>
        <w:rPr>
          <w:b/>
        </w:rPr>
        <w:t>Lag 3</w:t>
      </w:r>
      <w:r>
        <w:t xml:space="preserve"> el de hace tres meses (por ejemplo, para jun-2026 los rezagos son may-2026, abr-2026 y mar-2026).</w:t>
      </w:r>
    </w:p>
    <w:p>
      <w:pPr>
        <w:keepNext/>
        <w:spacing w:after="20"/>
      </w:pPr>
      <w:r>
        <w:rPr>
          <w:b/>
        </w:rPr>
        <w:t>¿Por qué aparecen NaN?</w:t>
      </w:r>
    </w:p>
    <w:p>
      <w:pPr>
        <w:ind w:left="288"/>
      </w:pPr>
      <w:r>
        <w:t>Porque para los primeros meses no existe el pasado requerido: el primer mes (oct-2022) no tiene Lag 1; los dos primeros no tienen Lag 2 y los tres primeros no tienen Lag 3. Resultan 1, 2 y 3 NaN, y por eso las correlaciones se calculan con 48, 47 y 46 pares completos.</w:t>
      </w:r>
    </w:p>
    <w:p>
      <w:pPr>
        <w:keepNext/>
        <w:spacing w:after="20"/>
      </w:pPr>
      <w:r>
        <w:rPr>
          <w:b/>
        </w:rPr>
        <w:t>¿Qué rezago presenta mayor autocorrelación?</w:t>
      </w:r>
    </w:p>
    <w:p>
      <w:pPr>
        <w:ind w:left="288"/>
      </w:pPr>
      <w:r>
        <w:t xml:space="preserve">En nivel, el </w:t>
      </w:r>
      <w:r>
        <w:rPr>
          <w:b/>
        </w:rPr>
        <w:t>rezago 1</w:t>
      </w:r>
      <w:r>
        <w:t>: 0.906 (Pearson; ACF muestral 0.885), seguido del rezago 2 (0.819) y el rezago 3 (0.806). En el cambio logarítmico las tres son pequeñas y la de mayor magnitud es el rezago 3 (-0.205).</w:t>
      </w:r>
    </w:p>
    <w:p>
      <w:pPr>
        <w:keepNext/>
        <w:spacing w:after="20"/>
      </w:pPr>
      <w:r>
        <w:rPr>
          <w:b/>
        </w:rPr>
        <w:t>¿Cómo interpretan signo y magnitud?</w:t>
      </w:r>
    </w:p>
    <w:p>
      <w:pPr>
        <w:ind w:left="288"/>
      </w:pPr>
      <w:r>
        <w:t xml:space="preserve">Son </w:t>
      </w:r>
      <w:r>
        <w:rPr>
          <w:b/>
        </w:rPr>
        <w:t>coeficientes de correlación</w:t>
      </w:r>
      <w:r>
        <w:t xml:space="preserve"> (adimensionales, entre −1 y 1), no porcentajes de cambio ni porcentaje explicado: 0.906 </w:t>
      </w:r>
      <w:r>
        <w:rPr>
          <w:b/>
        </w:rPr>
        <w:t>no</w:t>
      </w:r>
      <w:r>
        <w:t xml:space="preserve"> significa que el precio suba 90.6 % ni que el mes anterior «explique» 90.6 % del actual. El signo positivo indica que un mes con precio alto suele ir seguido de otro con precio alto (y viceversa); la magnitud grande y decreciente (0.906, 0.819, 0.806) indica </w:t>
      </w:r>
      <w:r>
        <w:rPr>
          <w:b/>
        </w:rPr>
        <w:t>fuerte persistencia del nivel</w:t>
      </w:r>
      <w:r>
        <w:t>, consecuencia de la tendencia. En el cambio logarítmico (0.034, -0.052, -0.205) las magnitudes son cercanas a cero: el cambio de un mes casi no se relaciona linealmente con los de los tres meses previos. La pequeña diferencia entre Pearson y ACF se debe a que la ACF usa la media y la varianza de toda la muestra.</w:t>
      </w:r>
    </w:p>
    <w:p>
      <w:pPr>
        <w:pStyle w:val="Heading1"/>
      </w:pPr>
      <w:r>
        <w:t>11. Correlograma ACF en nivel</w:t>
      </w:r>
    </w:p>
    <w:p>
      <w:pPr>
        <w:keepNext/>
        <w:spacing w:after="40"/>
        <w:jc w:val="center"/>
      </w:pPr>
      <w:r>
        <w:drawing>
          <wp:inline xmlns:a="http://schemas.openxmlformats.org/drawingml/2006/main" xmlns:pic="http://schemas.openxmlformats.org/drawingml/2006/picture">
            <wp:extent cx="5577840" cy="2390503"/>
            <wp:docPr id="8" name="Picture 8"/>
            <wp:cNvGraphicFramePr>
              <a:graphicFrameLocks noChangeAspect="1"/>
            </wp:cNvGraphicFramePr>
            <a:graphic>
              <a:graphicData uri="http://schemas.openxmlformats.org/drawingml/2006/picture">
                <pic:pic>
                  <pic:nvPicPr>
                    <pic:cNvPr id="0" name="fig_11_acf_nivel.png"/>
                    <pic:cNvPicPr/>
                  </pic:nvPicPr>
                  <pic:blipFill>
                    <a:blip r:embed="rId17"/>
                    <a:stretch>
                      <a:fillRect/>
                    </a:stretch>
                  </pic:blipFill>
                  <pic:spPr>
                    <a:xfrm>
                      <a:off x="0" y="0"/>
                      <a:ext cx="5577840" cy="2390503"/>
                    </a:xfrm>
                    <a:prstGeom prst="rect"/>
                  </pic:spPr>
                </pic:pic>
              </a:graphicData>
            </a:graphic>
          </wp:inline>
        </w:drawing>
      </w:r>
    </w:p>
    <w:p>
      <w:pPr>
        <w:spacing w:after="60"/>
        <w:jc w:val="center"/>
      </w:pPr>
      <w:r>
        <w:rPr>
          <w:i/>
          <w:sz w:val="18"/>
        </w:rPr>
        <w:t>Figura 8. Función de autocorrelación (ACF) del precio de cierre de RKLB en nivel, 20 rezagos mensuales y banda de confianza al 95 %.</w:t>
      </w:r>
    </w:p>
    <w:p>
      <w:r>
        <w:rPr>
          <w:b/>
          <w:sz w:val="20"/>
        </w:rPr>
        <w:t>Interpretación.</w:t>
      </w:r>
      <w:r>
        <w:rPr>
          <w:sz w:val="20"/>
        </w:rPr>
        <w:t xml:space="preserve"> Las barras de los rezagos 1 a 4 superan la banda y el patrón decae lentamente: 0.885, 0.523 (rezago 6), 0.173 (rezago 12), ≈ 0 en el rezago 15. Es la firma de una serie con tendencia y alta persistencia.</w:t>
      </w:r>
    </w:p>
    <w:p>
      <w:pPr>
        <w:keepNext/>
        <w:spacing w:after="60"/>
      </w:pPr>
      <w:r>
        <w:rPr>
          <w:b/>
          <w:sz w:val="19"/>
        </w:rPr>
        <w:t>Tabla 16. ACF del nivel, rezagos 1 a 10</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tblHeader w:val="true"/>
        </w:trPr>
        <w:tc>
          <w:tcPr>
            <w:tcW w:type="dxa" w:w="1440"/>
            <w:shd w:val="clear" w:color="auto" w:fill="1F4E79"/>
          </w:tcPr>
          <w:p>
            <w:pPr>
              <w:keepNext/>
              <w:jc w:val="center"/>
            </w:pPr>
            <w:r/>
            <w:r>
              <w:rPr>
                <w:b/>
                <w:color w:val="FFFFFF"/>
                <w:sz w:val="18"/>
              </w:rPr>
              <w:t>Rezago</w:t>
            </w:r>
          </w:p>
        </w:tc>
        <w:tc>
          <w:tcPr>
            <w:tcW w:type="dxa" w:w="1584"/>
            <w:shd w:val="clear" w:color="auto" w:fill="1F4E79"/>
          </w:tcPr>
          <w:p>
            <w:pPr>
              <w:keepNext/>
              <w:jc w:val="center"/>
            </w:pPr>
            <w:r/>
            <w:r>
              <w:rPr>
                <w:b/>
                <w:color w:val="FFFFFF"/>
                <w:sz w:val="18"/>
              </w:rPr>
              <w:t>ACF</w:t>
            </w:r>
          </w:p>
        </w:tc>
        <w:tc>
          <w:tcPr>
            <w:tcW w:type="dxa" w:w="1872"/>
            <w:shd w:val="clear" w:color="auto" w:fill="1F4E79"/>
          </w:tcPr>
          <w:p>
            <w:pPr>
              <w:keepNext/>
              <w:jc w:val="center"/>
            </w:pPr>
            <w:r/>
            <w:r>
              <w:rPr>
                <w:b/>
                <w:color w:val="FFFFFF"/>
                <w:sz w:val="18"/>
              </w:rPr>
              <w:t>Banda sup.</w:t>
            </w:r>
          </w:p>
        </w:tc>
        <w:tc>
          <w:tcPr>
            <w:tcW w:type="dxa" w:w="2160"/>
            <w:shd w:val="clear" w:color="auto" w:fill="1F4E79"/>
          </w:tcPr>
          <w:p>
            <w:pPr>
              <w:keepNext/>
              <w:jc w:val="center"/>
            </w:pPr>
            <w:r/>
            <w:r>
              <w:rPr>
                <w:b/>
                <w:color w:val="FFFFFF"/>
                <w:sz w:val="18"/>
              </w:rPr>
              <w:t>Fuera de bandas</w:t>
            </w:r>
          </w:p>
        </w:tc>
      </w:tr>
      <w:tr>
        <w:trPr>
          <w:cantSplit w:val="true"/>
        </w:trPr>
        <w:tc>
          <w:tcPr>
            <w:tcW w:type="dxa" w:w="1440"/>
          </w:tcPr>
          <w:p>
            <w:pPr>
              <w:keepNext/>
              <w:spacing w:after="0"/>
              <w:jc w:val="left"/>
            </w:pPr>
            <w:r/>
            <w:r>
              <w:rPr>
                <w:sz w:val="18"/>
              </w:rPr>
              <w:t>1</w:t>
            </w:r>
          </w:p>
        </w:tc>
        <w:tc>
          <w:tcPr>
            <w:tcW w:type="dxa" w:w="1584"/>
          </w:tcPr>
          <w:p>
            <w:pPr>
              <w:keepNext/>
              <w:spacing w:after="0"/>
              <w:jc w:val="right"/>
            </w:pPr>
            <w:r/>
            <w:r>
              <w:rPr>
                <w:sz w:val="18"/>
              </w:rPr>
              <w:t>0.885</w:t>
            </w:r>
          </w:p>
        </w:tc>
        <w:tc>
          <w:tcPr>
            <w:tcW w:type="dxa" w:w="1872"/>
          </w:tcPr>
          <w:p>
            <w:pPr>
              <w:keepNext/>
              <w:spacing w:after="0"/>
              <w:jc w:val="left"/>
            </w:pPr>
            <w:r/>
            <w:r>
              <w:rPr>
                <w:sz w:val="18"/>
              </w:rPr>
              <w:t>±0.280</w:t>
            </w:r>
          </w:p>
        </w:tc>
        <w:tc>
          <w:tcPr>
            <w:tcW w:type="dxa" w:w="2160"/>
          </w:tcPr>
          <w:p>
            <w:pPr>
              <w:keepNext/>
              <w:spacing w:after="0"/>
              <w:jc w:val="left"/>
            </w:pPr>
            <w:r/>
            <w:r>
              <w:rPr>
                <w:sz w:val="18"/>
              </w:rPr>
              <w:t>Sí</w:t>
            </w:r>
          </w:p>
        </w:tc>
      </w:tr>
      <w:tr>
        <w:trPr>
          <w:cantSplit w:val="true"/>
        </w:trPr>
        <w:tc>
          <w:tcPr>
            <w:tcW w:type="dxa" w:w="1440"/>
            <w:shd w:val="clear" w:color="auto" w:fill="EAF1F8"/>
          </w:tcPr>
          <w:p>
            <w:pPr>
              <w:keepNext/>
              <w:spacing w:after="0"/>
              <w:jc w:val="left"/>
            </w:pPr>
            <w:r/>
            <w:r>
              <w:rPr>
                <w:sz w:val="18"/>
              </w:rPr>
              <w:t>2</w:t>
            </w:r>
          </w:p>
        </w:tc>
        <w:tc>
          <w:tcPr>
            <w:tcW w:type="dxa" w:w="1584"/>
            <w:shd w:val="clear" w:color="auto" w:fill="EAF1F8"/>
          </w:tcPr>
          <w:p>
            <w:pPr>
              <w:keepNext/>
              <w:spacing w:after="0"/>
              <w:jc w:val="right"/>
            </w:pPr>
            <w:r/>
            <w:r>
              <w:rPr>
                <w:sz w:val="18"/>
              </w:rPr>
              <w:t>0.779</w:t>
            </w:r>
          </w:p>
        </w:tc>
        <w:tc>
          <w:tcPr>
            <w:tcW w:type="dxa" w:w="1872"/>
            <w:shd w:val="clear" w:color="auto" w:fill="EAF1F8"/>
          </w:tcPr>
          <w:p>
            <w:pPr>
              <w:keepNext/>
              <w:spacing w:after="0"/>
              <w:jc w:val="left"/>
            </w:pPr>
            <w:r/>
            <w:r>
              <w:rPr>
                <w:sz w:val="18"/>
              </w:rPr>
              <w:t>±0.449</w:t>
            </w:r>
          </w:p>
        </w:tc>
        <w:tc>
          <w:tcPr>
            <w:tcW w:type="dxa" w:w="2160"/>
            <w:shd w:val="clear" w:color="auto" w:fill="EAF1F8"/>
          </w:tcPr>
          <w:p>
            <w:pPr>
              <w:keepNext/>
              <w:spacing w:after="0"/>
              <w:jc w:val="left"/>
            </w:pPr>
            <w:r/>
            <w:r>
              <w:rPr>
                <w:sz w:val="18"/>
              </w:rPr>
              <w:t>Sí</w:t>
            </w:r>
          </w:p>
        </w:tc>
      </w:tr>
      <w:tr>
        <w:trPr>
          <w:cantSplit w:val="true"/>
        </w:trPr>
        <w:tc>
          <w:tcPr>
            <w:tcW w:type="dxa" w:w="1440"/>
          </w:tcPr>
          <w:p>
            <w:pPr>
              <w:keepNext/>
              <w:spacing w:after="0"/>
              <w:jc w:val="left"/>
            </w:pPr>
            <w:r/>
            <w:r>
              <w:rPr>
                <w:sz w:val="18"/>
              </w:rPr>
              <w:t>3</w:t>
            </w:r>
          </w:p>
        </w:tc>
        <w:tc>
          <w:tcPr>
            <w:tcW w:type="dxa" w:w="1584"/>
          </w:tcPr>
          <w:p>
            <w:pPr>
              <w:keepNext/>
              <w:spacing w:after="0"/>
              <w:jc w:val="right"/>
            </w:pPr>
            <w:r/>
            <w:r>
              <w:rPr>
                <w:sz w:val="18"/>
              </w:rPr>
              <w:t>0.748</w:t>
            </w:r>
          </w:p>
        </w:tc>
        <w:tc>
          <w:tcPr>
            <w:tcW w:type="dxa" w:w="1872"/>
          </w:tcPr>
          <w:p>
            <w:pPr>
              <w:keepNext/>
              <w:spacing w:after="0"/>
              <w:jc w:val="left"/>
            </w:pPr>
            <w:r/>
            <w:r>
              <w:rPr>
                <w:sz w:val="18"/>
              </w:rPr>
              <w:t>±0.544</w:t>
            </w:r>
          </w:p>
        </w:tc>
        <w:tc>
          <w:tcPr>
            <w:tcW w:type="dxa" w:w="2160"/>
          </w:tcPr>
          <w:p>
            <w:pPr>
              <w:keepNext/>
              <w:spacing w:after="0"/>
              <w:jc w:val="left"/>
            </w:pPr>
            <w:r/>
            <w:r>
              <w:rPr>
                <w:sz w:val="18"/>
              </w:rPr>
              <w:t>Sí</w:t>
            </w:r>
          </w:p>
        </w:tc>
      </w:tr>
      <w:tr>
        <w:trPr>
          <w:cantSplit w:val="true"/>
        </w:trPr>
        <w:tc>
          <w:tcPr>
            <w:tcW w:type="dxa" w:w="1440"/>
            <w:shd w:val="clear" w:color="auto" w:fill="EAF1F8"/>
          </w:tcPr>
          <w:p>
            <w:pPr>
              <w:keepNext/>
              <w:spacing w:after="0"/>
              <w:jc w:val="left"/>
            </w:pPr>
            <w:r/>
            <w:r>
              <w:rPr>
                <w:sz w:val="18"/>
              </w:rPr>
              <w:t>4</w:t>
            </w:r>
          </w:p>
        </w:tc>
        <w:tc>
          <w:tcPr>
            <w:tcW w:type="dxa" w:w="1584"/>
            <w:shd w:val="clear" w:color="auto" w:fill="EAF1F8"/>
          </w:tcPr>
          <w:p>
            <w:pPr>
              <w:keepNext/>
              <w:spacing w:after="0"/>
              <w:jc w:val="right"/>
            </w:pPr>
            <w:r/>
            <w:r>
              <w:rPr>
                <w:sz w:val="18"/>
              </w:rPr>
              <w:t>0.739</w:t>
            </w:r>
          </w:p>
        </w:tc>
        <w:tc>
          <w:tcPr>
            <w:tcW w:type="dxa" w:w="1872"/>
            <w:shd w:val="clear" w:color="auto" w:fill="EAF1F8"/>
          </w:tcPr>
          <w:p>
            <w:pPr>
              <w:keepNext/>
              <w:spacing w:after="0"/>
              <w:jc w:val="left"/>
            </w:pPr>
            <w:r/>
            <w:r>
              <w:rPr>
                <w:sz w:val="18"/>
              </w:rPr>
              <w:t>±0.620</w:t>
            </w:r>
          </w:p>
        </w:tc>
        <w:tc>
          <w:tcPr>
            <w:tcW w:type="dxa" w:w="2160"/>
            <w:shd w:val="clear" w:color="auto" w:fill="EAF1F8"/>
          </w:tcPr>
          <w:p>
            <w:pPr>
              <w:keepNext/>
              <w:spacing w:after="0"/>
              <w:jc w:val="left"/>
            </w:pPr>
            <w:r/>
            <w:r>
              <w:rPr>
                <w:sz w:val="18"/>
              </w:rPr>
              <w:t>Sí</w:t>
            </w:r>
          </w:p>
        </w:tc>
      </w:tr>
      <w:tr>
        <w:trPr>
          <w:cantSplit w:val="true"/>
        </w:trPr>
        <w:tc>
          <w:tcPr>
            <w:tcW w:type="dxa" w:w="1440"/>
          </w:tcPr>
          <w:p>
            <w:pPr>
              <w:keepNext/>
              <w:spacing w:after="0"/>
              <w:jc w:val="left"/>
            </w:pPr>
            <w:r/>
            <w:r>
              <w:rPr>
                <w:sz w:val="18"/>
              </w:rPr>
              <w:t>5</w:t>
            </w:r>
          </w:p>
        </w:tc>
        <w:tc>
          <w:tcPr>
            <w:tcW w:type="dxa" w:w="1584"/>
          </w:tcPr>
          <w:p>
            <w:pPr>
              <w:keepNext/>
              <w:spacing w:after="0"/>
              <w:jc w:val="right"/>
            </w:pPr>
            <w:r/>
            <w:r>
              <w:rPr>
                <w:sz w:val="18"/>
              </w:rPr>
              <w:t>0.662</w:t>
            </w:r>
          </w:p>
        </w:tc>
        <w:tc>
          <w:tcPr>
            <w:tcW w:type="dxa" w:w="1872"/>
          </w:tcPr>
          <w:p>
            <w:pPr>
              <w:keepNext/>
              <w:spacing w:after="0"/>
              <w:jc w:val="left"/>
            </w:pPr>
            <w:r/>
            <w:r>
              <w:rPr>
                <w:sz w:val="18"/>
              </w:rPr>
              <w:t>±0.685</w:t>
            </w:r>
          </w:p>
        </w:tc>
        <w:tc>
          <w:tcPr>
            <w:tcW w:type="dxa" w:w="2160"/>
          </w:tcPr>
          <w:p>
            <w:pPr>
              <w:keepNext/>
              <w:spacing w:after="0"/>
              <w:jc w:val="left"/>
            </w:pPr>
            <w:r/>
            <w:r>
              <w:rPr>
                <w:sz w:val="18"/>
              </w:rPr>
              <w:t>No</w:t>
            </w:r>
          </w:p>
        </w:tc>
      </w:tr>
      <w:tr>
        <w:trPr>
          <w:cantSplit w:val="true"/>
        </w:trPr>
        <w:tc>
          <w:tcPr>
            <w:tcW w:type="dxa" w:w="1440"/>
            <w:shd w:val="clear" w:color="auto" w:fill="EAF1F8"/>
          </w:tcPr>
          <w:p>
            <w:pPr>
              <w:keepNext/>
              <w:spacing w:after="0"/>
              <w:jc w:val="left"/>
            </w:pPr>
            <w:r/>
            <w:r>
              <w:rPr>
                <w:sz w:val="18"/>
              </w:rPr>
              <w:t>6</w:t>
            </w:r>
          </w:p>
        </w:tc>
        <w:tc>
          <w:tcPr>
            <w:tcW w:type="dxa" w:w="1584"/>
            <w:shd w:val="clear" w:color="auto" w:fill="EAF1F8"/>
          </w:tcPr>
          <w:p>
            <w:pPr>
              <w:keepNext/>
              <w:spacing w:after="0"/>
              <w:jc w:val="right"/>
            </w:pPr>
            <w:r/>
            <w:r>
              <w:rPr>
                <w:sz w:val="18"/>
              </w:rPr>
              <w:t>0.523</w:t>
            </w:r>
          </w:p>
        </w:tc>
        <w:tc>
          <w:tcPr>
            <w:tcW w:type="dxa" w:w="1872"/>
            <w:shd w:val="clear" w:color="auto" w:fill="EAF1F8"/>
          </w:tcPr>
          <w:p>
            <w:pPr>
              <w:keepNext/>
              <w:spacing w:after="0"/>
              <w:jc w:val="left"/>
            </w:pPr>
            <w:r/>
            <w:r>
              <w:rPr>
                <w:sz w:val="18"/>
              </w:rPr>
              <w:t>±0.734</w:t>
            </w:r>
          </w:p>
        </w:tc>
        <w:tc>
          <w:tcPr>
            <w:tcW w:type="dxa" w:w="2160"/>
            <w:shd w:val="clear" w:color="auto" w:fill="EAF1F8"/>
          </w:tcPr>
          <w:p>
            <w:pPr>
              <w:keepNext/>
              <w:spacing w:after="0"/>
              <w:jc w:val="left"/>
            </w:pPr>
            <w:r/>
            <w:r>
              <w:rPr>
                <w:sz w:val="18"/>
              </w:rPr>
              <w:t>No</w:t>
            </w:r>
          </w:p>
        </w:tc>
      </w:tr>
      <w:tr>
        <w:trPr>
          <w:cantSplit w:val="true"/>
        </w:trPr>
        <w:tc>
          <w:tcPr>
            <w:tcW w:type="dxa" w:w="1440"/>
          </w:tcPr>
          <w:p>
            <w:pPr>
              <w:keepNext/>
              <w:spacing w:after="0"/>
              <w:jc w:val="left"/>
            </w:pPr>
            <w:r/>
            <w:r>
              <w:rPr>
                <w:sz w:val="18"/>
              </w:rPr>
              <w:t>7</w:t>
            </w:r>
          </w:p>
        </w:tc>
        <w:tc>
          <w:tcPr>
            <w:tcW w:type="dxa" w:w="1584"/>
          </w:tcPr>
          <w:p>
            <w:pPr>
              <w:keepNext/>
              <w:spacing w:after="0"/>
              <w:jc w:val="right"/>
            </w:pPr>
            <w:r/>
            <w:r>
              <w:rPr>
                <w:sz w:val="18"/>
              </w:rPr>
              <w:t>0.474</w:t>
            </w:r>
          </w:p>
        </w:tc>
        <w:tc>
          <w:tcPr>
            <w:tcW w:type="dxa" w:w="1872"/>
          </w:tcPr>
          <w:p>
            <w:pPr>
              <w:keepNext/>
              <w:spacing w:after="0"/>
              <w:jc w:val="left"/>
            </w:pPr>
            <w:r/>
            <w:r>
              <w:rPr>
                <w:sz w:val="18"/>
              </w:rPr>
              <w:t>±0.762</w:t>
            </w:r>
          </w:p>
        </w:tc>
        <w:tc>
          <w:tcPr>
            <w:tcW w:type="dxa" w:w="2160"/>
          </w:tcPr>
          <w:p>
            <w:pPr>
              <w:keepNext/>
              <w:spacing w:after="0"/>
              <w:jc w:val="left"/>
            </w:pPr>
            <w:r/>
            <w:r>
              <w:rPr>
                <w:sz w:val="18"/>
              </w:rPr>
              <w:t>No</w:t>
            </w:r>
          </w:p>
        </w:tc>
      </w:tr>
      <w:tr>
        <w:trPr>
          <w:cantSplit w:val="true"/>
        </w:trPr>
        <w:tc>
          <w:tcPr>
            <w:tcW w:type="dxa" w:w="1440"/>
            <w:shd w:val="clear" w:color="auto" w:fill="EAF1F8"/>
          </w:tcPr>
          <w:p>
            <w:pPr>
              <w:keepNext/>
              <w:spacing w:after="0"/>
              <w:jc w:val="left"/>
            </w:pPr>
            <w:r/>
            <w:r>
              <w:rPr>
                <w:sz w:val="18"/>
              </w:rPr>
              <w:t>8</w:t>
            </w:r>
          </w:p>
        </w:tc>
        <w:tc>
          <w:tcPr>
            <w:tcW w:type="dxa" w:w="1584"/>
            <w:shd w:val="clear" w:color="auto" w:fill="EAF1F8"/>
          </w:tcPr>
          <w:p>
            <w:pPr>
              <w:keepNext/>
              <w:spacing w:after="0"/>
              <w:jc w:val="right"/>
            </w:pPr>
            <w:r/>
            <w:r>
              <w:rPr>
                <w:sz w:val="18"/>
              </w:rPr>
              <w:t>0.424</w:t>
            </w:r>
          </w:p>
        </w:tc>
        <w:tc>
          <w:tcPr>
            <w:tcW w:type="dxa" w:w="1872"/>
            <w:shd w:val="clear" w:color="auto" w:fill="EAF1F8"/>
          </w:tcPr>
          <w:p>
            <w:pPr>
              <w:keepNext/>
              <w:spacing w:after="0"/>
              <w:jc w:val="left"/>
            </w:pPr>
            <w:r/>
            <w:r>
              <w:rPr>
                <w:sz w:val="18"/>
              </w:rPr>
              <w:t>±0.785</w:t>
            </w:r>
          </w:p>
        </w:tc>
        <w:tc>
          <w:tcPr>
            <w:tcW w:type="dxa" w:w="2160"/>
            <w:shd w:val="clear" w:color="auto" w:fill="EAF1F8"/>
          </w:tcPr>
          <w:p>
            <w:pPr>
              <w:keepNext/>
              <w:spacing w:after="0"/>
              <w:jc w:val="left"/>
            </w:pPr>
            <w:r/>
            <w:r>
              <w:rPr>
                <w:sz w:val="18"/>
              </w:rPr>
              <w:t>No</w:t>
            </w:r>
          </w:p>
        </w:tc>
      </w:tr>
      <w:tr>
        <w:trPr>
          <w:cantSplit w:val="true"/>
        </w:trPr>
        <w:tc>
          <w:tcPr>
            <w:tcW w:type="dxa" w:w="1440"/>
          </w:tcPr>
          <w:p>
            <w:pPr>
              <w:keepNext/>
              <w:spacing w:after="0"/>
              <w:jc w:val="left"/>
            </w:pPr>
            <w:r/>
            <w:r>
              <w:rPr>
                <w:sz w:val="18"/>
              </w:rPr>
              <w:t>9</w:t>
            </w:r>
          </w:p>
        </w:tc>
        <w:tc>
          <w:tcPr>
            <w:tcW w:type="dxa" w:w="1584"/>
          </w:tcPr>
          <w:p>
            <w:pPr>
              <w:keepNext/>
              <w:spacing w:after="0"/>
              <w:jc w:val="right"/>
            </w:pPr>
            <w:r/>
            <w:r>
              <w:rPr>
                <w:sz w:val="18"/>
              </w:rPr>
              <w:t>0.366</w:t>
            </w:r>
          </w:p>
        </w:tc>
        <w:tc>
          <w:tcPr>
            <w:tcW w:type="dxa" w:w="1872"/>
          </w:tcPr>
          <w:p>
            <w:pPr>
              <w:keepNext/>
              <w:spacing w:after="0"/>
              <w:jc w:val="left"/>
            </w:pPr>
            <w:r/>
            <w:r>
              <w:rPr>
                <w:sz w:val="18"/>
              </w:rPr>
              <w:t>±0.803</w:t>
            </w:r>
          </w:p>
        </w:tc>
        <w:tc>
          <w:tcPr>
            <w:tcW w:type="dxa" w:w="2160"/>
          </w:tcPr>
          <w:p>
            <w:pPr>
              <w:keepNext/>
              <w:spacing w:after="0"/>
              <w:jc w:val="left"/>
            </w:pPr>
            <w:r/>
            <w:r>
              <w:rPr>
                <w:sz w:val="18"/>
              </w:rPr>
              <w:t>No</w:t>
            </w:r>
          </w:p>
        </w:tc>
      </w:tr>
      <w:tr>
        <w:trPr>
          <w:cantSplit w:val="true"/>
        </w:trPr>
        <w:tc>
          <w:tcPr>
            <w:tcW w:type="dxa" w:w="1440"/>
            <w:shd w:val="clear" w:color="auto" w:fill="EAF1F8"/>
          </w:tcPr>
          <w:p>
            <w:pPr>
              <w:spacing w:after="0"/>
              <w:jc w:val="left"/>
            </w:pPr>
            <w:r/>
            <w:r>
              <w:rPr>
                <w:sz w:val="18"/>
              </w:rPr>
              <w:t>10</w:t>
            </w:r>
          </w:p>
        </w:tc>
        <w:tc>
          <w:tcPr>
            <w:tcW w:type="dxa" w:w="1584"/>
            <w:shd w:val="clear" w:color="auto" w:fill="EAF1F8"/>
          </w:tcPr>
          <w:p>
            <w:pPr>
              <w:spacing w:after="0"/>
              <w:jc w:val="right"/>
            </w:pPr>
            <w:r/>
            <w:r>
              <w:rPr>
                <w:sz w:val="18"/>
              </w:rPr>
              <w:t>0.295</w:t>
            </w:r>
          </w:p>
        </w:tc>
        <w:tc>
          <w:tcPr>
            <w:tcW w:type="dxa" w:w="1872"/>
            <w:shd w:val="clear" w:color="auto" w:fill="EAF1F8"/>
          </w:tcPr>
          <w:p>
            <w:pPr>
              <w:spacing w:after="0"/>
              <w:jc w:val="left"/>
            </w:pPr>
            <w:r/>
            <w:r>
              <w:rPr>
                <w:sz w:val="18"/>
              </w:rPr>
              <w:t>±0.816</w:t>
            </w:r>
          </w:p>
        </w:tc>
        <w:tc>
          <w:tcPr>
            <w:tcW w:type="dxa" w:w="2160"/>
            <w:shd w:val="clear" w:color="auto" w:fill="EAF1F8"/>
          </w:tcPr>
          <w:p>
            <w:pPr>
              <w:spacing w:after="0"/>
              <w:jc w:val="left"/>
            </w:pPr>
            <w:r/>
            <w:r>
              <w:rPr>
                <w:sz w:val="18"/>
              </w:rPr>
              <w:t>No</w:t>
            </w:r>
          </w:p>
        </w:tc>
      </w:tr>
    </w:tbl>
    <w:p>
      <w:pPr>
        <w:spacing w:after="40"/>
      </w:pPr>
    </w:p>
    <w:p>
      <w:pPr>
        <w:pStyle w:val="Heading3"/>
      </w:pPr>
      <w:r>
        <w:t>Respuestas a las preguntas de la sección</w:t>
      </w:r>
    </w:p>
    <w:p>
      <w:pPr>
        <w:keepNext/>
        <w:spacing w:after="20"/>
      </w:pPr>
      <w:r>
        <w:rPr>
          <w:b/>
        </w:rPr>
        <w:t>¿Qué representa cada barra?</w:t>
      </w:r>
    </w:p>
    <w:p>
      <w:pPr>
        <w:ind w:left="288"/>
      </w:pPr>
      <w:r>
        <w:t>Cada barra es la autocorrelación muestral ρ(k) entre el precio de un mes y el de k meses antes (k en el eje horizontal). La altura indica magnitud y dirección; la zona sombreada es la banda de confianza al 95 % alrededor de cero.</w:t>
      </w:r>
    </w:p>
    <w:p>
      <w:pPr>
        <w:keepNext/>
        <w:spacing w:after="20"/>
      </w:pPr>
      <w:r>
        <w:rPr>
          <w:b/>
        </w:rPr>
        <w:t>¿Qué rezagos sobrepasan las bandas?</w:t>
      </w:r>
    </w:p>
    <w:p>
      <w:pPr>
        <w:ind w:left="288"/>
      </w:pPr>
      <w:r>
        <w:t xml:space="preserve">Los </w:t>
      </w:r>
      <w:r>
        <w:rPr>
          <w:b/>
        </w:rPr>
        <w:t>rezagos 1, 2, 3 y 4</w:t>
      </w:r>
      <w:r>
        <w:t xml:space="preserve"> (0.885, 0.779, 0.748 y 0.739; la banda va de ±0.280 en el rezago 1 a ±0.620 en el 4). Desde el rezago 5 (0.662) las barras quedan dentro porque las bandas se ensanchan (±0.685).</w:t>
      </w:r>
    </w:p>
    <w:p>
      <w:pPr>
        <w:keepNext/>
        <w:spacing w:after="20"/>
      </w:pPr>
      <w:r>
        <w:rPr>
          <w:b/>
        </w:rPr>
        <w:t>¿Predominan autocorrelaciones positivas o negativas?</w:t>
      </w:r>
    </w:p>
    <w:p>
      <w:pPr>
        <w:ind w:left="288"/>
      </w:pPr>
      <w:r>
        <w:t>Positivas: 15 de los 20 rezagos son positivos (rezagos 1 a 15) y las negativas aparecen solo del 16 al 20 y son pequeñas (entre -0.011 y -0.167).</w:t>
      </w:r>
    </w:p>
    <w:p>
      <w:pPr>
        <w:keepNext/>
        <w:spacing w:after="20"/>
      </w:pPr>
      <w:r>
        <w:rPr>
          <w:b/>
        </w:rPr>
        <w:t>¿Disminuyen conforme aumenta el rezago?</w:t>
      </w:r>
    </w:p>
    <w:p>
      <w:pPr>
        <w:ind w:left="288"/>
      </w:pPr>
      <w:r>
        <w:t xml:space="preserve">Sí, pero </w:t>
      </w:r>
      <w:r>
        <w:rPr>
          <w:b/>
        </w:rPr>
        <w:t>lentamente</w:t>
      </w:r>
      <w:r>
        <w:t>: 0.885 (rezago 1), 0.523 (rezago 6), 0.295 (rezago 10), 0.173 (rezago 12) y cerca de cero en el rezago 15 (0.018).</w:t>
      </w:r>
    </w:p>
    <w:p>
      <w:pPr>
        <w:keepNext/>
        <w:spacing w:after="20"/>
      </w:pPr>
      <w:r>
        <w:rPr>
          <w:b/>
        </w:rPr>
        <w:t>¿Qué patrón general observan?</w:t>
      </w:r>
    </w:p>
    <w:p>
      <w:pPr>
        <w:ind w:left="288"/>
      </w:pPr>
      <w:r>
        <w:t xml:space="preserve">Un </w:t>
      </w:r>
      <w:r>
        <w:rPr>
          <w:b/>
        </w:rPr>
        <w:t>decaimiento lento y suave desde valores muy altos</w:t>
      </w:r>
      <w:r>
        <w:t>, típico de una serie con tendencia y nivel cambiante (no estacionaria en nivel): la persistencia es alta. La prueba de Ljung-Box con 10 rezagos lo confirma (Q = 212.8, p &lt; 0.0001).</w:t>
      </w:r>
    </w:p>
    <w:p>
      <w:pPr>
        <w:keepNext/>
        <w:spacing w:after="20"/>
      </w:pPr>
      <w:r>
        <w:rPr>
          <w:b/>
        </w:rPr>
        <w:t>¿Qué significa que una barra quede dentro de las bandas?</w:t>
      </w:r>
    </w:p>
    <w:p>
      <w:pPr>
        <w:ind w:left="288"/>
      </w:pPr>
      <w:r>
        <w:t xml:space="preserve">Que esa autocorrelación </w:t>
      </w:r>
      <w:r>
        <w:rPr>
          <w:b/>
        </w:rPr>
        <w:t>no se distingue estadísticamente de cero</w:t>
      </w:r>
      <w:r>
        <w:t xml:space="preserve"> al 95 %; no demuestra que sea cero. Con solo 49 observaciones las bandas son anchas (±0.280 a ±0.83), por lo que hay poca potencia, sobre todo en los rezagos lejanos, que se calculan con pocos pares.</w:t>
      </w:r>
    </w:p>
    <w:p>
      <w:pPr>
        <w:pStyle w:val="Heading1"/>
      </w:pPr>
      <w:r>
        <w:t>12. Correlograma PACF en nivel</w:t>
      </w:r>
    </w:p>
    <w:p>
      <w:pPr>
        <w:keepNext/>
        <w:spacing w:after="40"/>
        <w:jc w:val="center"/>
      </w:pPr>
      <w:r>
        <w:drawing>
          <wp:inline xmlns:a="http://schemas.openxmlformats.org/drawingml/2006/main" xmlns:pic="http://schemas.openxmlformats.org/drawingml/2006/picture">
            <wp:extent cx="5577840" cy="2390503"/>
            <wp:docPr id="9" name="Picture 9"/>
            <wp:cNvGraphicFramePr>
              <a:graphicFrameLocks noChangeAspect="1"/>
            </wp:cNvGraphicFramePr>
            <a:graphic>
              <a:graphicData uri="http://schemas.openxmlformats.org/drawingml/2006/picture">
                <pic:pic>
                  <pic:nvPicPr>
                    <pic:cNvPr id="0" name="fig_12_pacf_nivel.png"/>
                    <pic:cNvPicPr/>
                  </pic:nvPicPr>
                  <pic:blipFill>
                    <a:blip r:embed="rId18"/>
                    <a:stretch>
                      <a:fillRect/>
                    </a:stretch>
                  </pic:blipFill>
                  <pic:spPr>
                    <a:xfrm>
                      <a:off x="0" y="0"/>
                      <a:ext cx="5577840" cy="2390503"/>
                    </a:xfrm>
                    <a:prstGeom prst="rect"/>
                  </pic:spPr>
                </pic:pic>
              </a:graphicData>
            </a:graphic>
          </wp:inline>
        </w:drawing>
      </w:r>
    </w:p>
    <w:p>
      <w:pPr>
        <w:spacing w:after="60"/>
        <w:jc w:val="center"/>
      </w:pPr>
      <w:r>
        <w:rPr>
          <w:i/>
          <w:sz w:val="18"/>
        </w:rPr>
        <w:t>Figura 9. Función de autocorrelación parcial (PACF) del precio de cierre de RKLB en nivel, 20 rezagos mensuales.</w:t>
      </w:r>
    </w:p>
    <w:p>
      <w:r>
        <w:rPr>
          <w:b/>
          <w:sz w:val="20"/>
        </w:rPr>
        <w:t>Interpretación.</w:t>
      </w:r>
      <w:r>
        <w:rPr>
          <w:sz w:val="20"/>
        </w:rPr>
        <w:t xml:space="preserve"> Solo el rezago 1 es grande (0.885); los rezagos 3 (0.287) y 6 (-0.334) superan apenas la banda de ±0.280. La ACF alta en los rezagos 2–4 es, por tanto, un efecto en cadena del mes inmediato anterior.</w:t>
      </w:r>
    </w:p>
    <w:p>
      <w:pPr>
        <w:keepNext/>
        <w:spacing w:after="60"/>
      </w:pPr>
      <w:r>
        <w:rPr>
          <w:b/>
          <w:sz w:val="19"/>
        </w:rPr>
        <w:t>Tabla 17. ACF vs. PACF del nivel (rezagos 1 a 8)</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tblHeader w:val="true"/>
        </w:trPr>
        <w:tc>
          <w:tcPr>
            <w:tcW w:type="dxa" w:w="1440"/>
            <w:shd w:val="clear" w:color="auto" w:fill="1F4E79"/>
          </w:tcPr>
          <w:p>
            <w:pPr>
              <w:keepNext/>
              <w:jc w:val="center"/>
            </w:pPr>
            <w:r/>
            <w:r>
              <w:rPr>
                <w:b/>
                <w:color w:val="FFFFFF"/>
                <w:sz w:val="18"/>
              </w:rPr>
              <w:t>Rezago</w:t>
            </w:r>
          </w:p>
        </w:tc>
        <w:tc>
          <w:tcPr>
            <w:tcW w:type="dxa" w:w="1728"/>
            <w:shd w:val="clear" w:color="auto" w:fill="1F4E79"/>
          </w:tcPr>
          <w:p>
            <w:pPr>
              <w:keepNext/>
              <w:jc w:val="center"/>
            </w:pPr>
            <w:r/>
            <w:r>
              <w:rPr>
                <w:b/>
                <w:color w:val="FFFFFF"/>
                <w:sz w:val="18"/>
              </w:rPr>
              <w:t>ACF</w:t>
            </w:r>
          </w:p>
        </w:tc>
        <w:tc>
          <w:tcPr>
            <w:tcW w:type="dxa" w:w="1728"/>
            <w:shd w:val="clear" w:color="auto" w:fill="1F4E79"/>
          </w:tcPr>
          <w:p>
            <w:pPr>
              <w:keepNext/>
              <w:jc w:val="center"/>
            </w:pPr>
            <w:r/>
            <w:r>
              <w:rPr>
                <w:b/>
                <w:color w:val="FFFFFF"/>
                <w:sz w:val="18"/>
              </w:rPr>
              <w:t>PACF</w:t>
            </w:r>
          </w:p>
        </w:tc>
        <w:tc>
          <w:tcPr>
            <w:tcW w:type="dxa" w:w="2304"/>
            <w:shd w:val="clear" w:color="auto" w:fill="1F4E79"/>
          </w:tcPr>
          <w:p>
            <w:pPr>
              <w:keepNext/>
              <w:jc w:val="center"/>
            </w:pPr>
            <w:r/>
            <w:r>
              <w:rPr>
                <w:b/>
                <w:color w:val="FFFFFF"/>
                <w:sz w:val="18"/>
              </w:rPr>
              <w:t>|ACF| − |PACF|</w:t>
            </w:r>
          </w:p>
        </w:tc>
      </w:tr>
      <w:tr>
        <w:trPr>
          <w:cantSplit w:val="true"/>
        </w:trPr>
        <w:tc>
          <w:tcPr>
            <w:tcW w:type="dxa" w:w="1440"/>
          </w:tcPr>
          <w:p>
            <w:pPr>
              <w:keepNext/>
              <w:spacing w:after="0"/>
              <w:jc w:val="left"/>
            </w:pPr>
            <w:r/>
            <w:r>
              <w:rPr>
                <w:sz w:val="18"/>
              </w:rPr>
              <w:t>1</w:t>
            </w:r>
          </w:p>
        </w:tc>
        <w:tc>
          <w:tcPr>
            <w:tcW w:type="dxa" w:w="1728"/>
          </w:tcPr>
          <w:p>
            <w:pPr>
              <w:keepNext/>
              <w:spacing w:after="0"/>
              <w:jc w:val="right"/>
            </w:pPr>
            <w:r/>
            <w:r>
              <w:rPr>
                <w:sz w:val="18"/>
              </w:rPr>
              <w:t>0.885</w:t>
            </w:r>
          </w:p>
        </w:tc>
        <w:tc>
          <w:tcPr>
            <w:tcW w:type="dxa" w:w="1728"/>
          </w:tcPr>
          <w:p>
            <w:pPr>
              <w:keepNext/>
              <w:spacing w:after="0"/>
              <w:jc w:val="right"/>
            </w:pPr>
            <w:r/>
            <w:r>
              <w:rPr>
                <w:sz w:val="18"/>
              </w:rPr>
              <w:t>0.885</w:t>
            </w:r>
          </w:p>
        </w:tc>
        <w:tc>
          <w:tcPr>
            <w:tcW w:type="dxa" w:w="2304"/>
          </w:tcPr>
          <w:p>
            <w:pPr>
              <w:keepNext/>
              <w:spacing w:after="0"/>
              <w:jc w:val="right"/>
            </w:pPr>
            <w:r/>
            <w:r>
              <w:rPr>
                <w:sz w:val="18"/>
              </w:rPr>
              <w:t>0.000</w:t>
            </w:r>
          </w:p>
        </w:tc>
      </w:tr>
      <w:tr>
        <w:trPr>
          <w:cantSplit w:val="true"/>
        </w:trPr>
        <w:tc>
          <w:tcPr>
            <w:tcW w:type="dxa" w:w="1440"/>
            <w:shd w:val="clear" w:color="auto" w:fill="EAF1F8"/>
          </w:tcPr>
          <w:p>
            <w:pPr>
              <w:keepNext/>
              <w:spacing w:after="0"/>
              <w:jc w:val="left"/>
            </w:pPr>
            <w:r/>
            <w:r>
              <w:rPr>
                <w:sz w:val="18"/>
              </w:rPr>
              <w:t>2</w:t>
            </w:r>
          </w:p>
        </w:tc>
        <w:tc>
          <w:tcPr>
            <w:tcW w:type="dxa" w:w="1728"/>
            <w:shd w:val="clear" w:color="auto" w:fill="EAF1F8"/>
          </w:tcPr>
          <w:p>
            <w:pPr>
              <w:keepNext/>
              <w:spacing w:after="0"/>
              <w:jc w:val="right"/>
            </w:pPr>
            <w:r/>
            <w:r>
              <w:rPr>
                <w:sz w:val="18"/>
              </w:rPr>
              <w:t>0.779</w:t>
            </w:r>
          </w:p>
        </w:tc>
        <w:tc>
          <w:tcPr>
            <w:tcW w:type="dxa" w:w="1728"/>
            <w:shd w:val="clear" w:color="auto" w:fill="EAF1F8"/>
          </w:tcPr>
          <w:p>
            <w:pPr>
              <w:keepNext/>
              <w:spacing w:after="0"/>
              <w:jc w:val="right"/>
            </w:pPr>
            <w:r/>
            <w:r>
              <w:rPr>
                <w:sz w:val="18"/>
              </w:rPr>
              <w:t>-0.017</w:t>
            </w:r>
          </w:p>
        </w:tc>
        <w:tc>
          <w:tcPr>
            <w:tcW w:type="dxa" w:w="2304"/>
            <w:shd w:val="clear" w:color="auto" w:fill="EAF1F8"/>
          </w:tcPr>
          <w:p>
            <w:pPr>
              <w:keepNext/>
              <w:spacing w:after="0"/>
              <w:jc w:val="right"/>
            </w:pPr>
            <w:r/>
            <w:r>
              <w:rPr>
                <w:sz w:val="18"/>
              </w:rPr>
              <w:t>0.762</w:t>
            </w:r>
          </w:p>
        </w:tc>
      </w:tr>
      <w:tr>
        <w:trPr>
          <w:cantSplit w:val="true"/>
        </w:trPr>
        <w:tc>
          <w:tcPr>
            <w:tcW w:type="dxa" w:w="1440"/>
          </w:tcPr>
          <w:p>
            <w:pPr>
              <w:keepNext/>
              <w:spacing w:after="0"/>
              <w:jc w:val="left"/>
            </w:pPr>
            <w:r/>
            <w:r>
              <w:rPr>
                <w:sz w:val="18"/>
              </w:rPr>
              <w:t>3</w:t>
            </w:r>
          </w:p>
        </w:tc>
        <w:tc>
          <w:tcPr>
            <w:tcW w:type="dxa" w:w="1728"/>
          </w:tcPr>
          <w:p>
            <w:pPr>
              <w:keepNext/>
              <w:spacing w:after="0"/>
              <w:jc w:val="right"/>
            </w:pPr>
            <w:r/>
            <w:r>
              <w:rPr>
                <w:sz w:val="18"/>
              </w:rPr>
              <w:t>0.748</w:t>
            </w:r>
          </w:p>
        </w:tc>
        <w:tc>
          <w:tcPr>
            <w:tcW w:type="dxa" w:w="1728"/>
          </w:tcPr>
          <w:p>
            <w:pPr>
              <w:keepNext/>
              <w:spacing w:after="0"/>
              <w:jc w:val="right"/>
            </w:pPr>
            <w:r/>
            <w:r>
              <w:rPr>
                <w:sz w:val="18"/>
              </w:rPr>
              <w:t>0.287</w:t>
            </w:r>
          </w:p>
        </w:tc>
        <w:tc>
          <w:tcPr>
            <w:tcW w:type="dxa" w:w="2304"/>
          </w:tcPr>
          <w:p>
            <w:pPr>
              <w:keepNext/>
              <w:spacing w:after="0"/>
              <w:jc w:val="right"/>
            </w:pPr>
            <w:r/>
            <w:r>
              <w:rPr>
                <w:sz w:val="18"/>
              </w:rPr>
              <w:t>0.461</w:t>
            </w:r>
          </w:p>
        </w:tc>
      </w:tr>
      <w:tr>
        <w:trPr>
          <w:cantSplit w:val="true"/>
        </w:trPr>
        <w:tc>
          <w:tcPr>
            <w:tcW w:type="dxa" w:w="1440"/>
            <w:shd w:val="clear" w:color="auto" w:fill="EAF1F8"/>
          </w:tcPr>
          <w:p>
            <w:pPr>
              <w:keepNext/>
              <w:spacing w:after="0"/>
              <w:jc w:val="left"/>
            </w:pPr>
            <w:r/>
            <w:r>
              <w:rPr>
                <w:sz w:val="18"/>
              </w:rPr>
              <w:t>4</w:t>
            </w:r>
          </w:p>
        </w:tc>
        <w:tc>
          <w:tcPr>
            <w:tcW w:type="dxa" w:w="1728"/>
            <w:shd w:val="clear" w:color="auto" w:fill="EAF1F8"/>
          </w:tcPr>
          <w:p>
            <w:pPr>
              <w:keepNext/>
              <w:spacing w:after="0"/>
              <w:jc w:val="right"/>
            </w:pPr>
            <w:r/>
            <w:r>
              <w:rPr>
                <w:sz w:val="18"/>
              </w:rPr>
              <w:t>0.739</w:t>
            </w:r>
          </w:p>
        </w:tc>
        <w:tc>
          <w:tcPr>
            <w:tcW w:type="dxa" w:w="1728"/>
            <w:shd w:val="clear" w:color="auto" w:fill="EAF1F8"/>
          </w:tcPr>
          <w:p>
            <w:pPr>
              <w:keepNext/>
              <w:spacing w:after="0"/>
              <w:jc w:val="right"/>
            </w:pPr>
            <w:r/>
            <w:r>
              <w:rPr>
                <w:sz w:val="18"/>
              </w:rPr>
              <w:t>0.111</w:t>
            </w:r>
          </w:p>
        </w:tc>
        <w:tc>
          <w:tcPr>
            <w:tcW w:type="dxa" w:w="2304"/>
            <w:shd w:val="clear" w:color="auto" w:fill="EAF1F8"/>
          </w:tcPr>
          <w:p>
            <w:pPr>
              <w:keepNext/>
              <w:spacing w:after="0"/>
              <w:jc w:val="right"/>
            </w:pPr>
            <w:r/>
            <w:r>
              <w:rPr>
                <w:sz w:val="18"/>
              </w:rPr>
              <w:t>0.628</w:t>
            </w:r>
          </w:p>
        </w:tc>
      </w:tr>
      <w:tr>
        <w:trPr>
          <w:cantSplit w:val="true"/>
        </w:trPr>
        <w:tc>
          <w:tcPr>
            <w:tcW w:type="dxa" w:w="1440"/>
          </w:tcPr>
          <w:p>
            <w:pPr>
              <w:keepNext/>
              <w:spacing w:after="0"/>
              <w:jc w:val="left"/>
            </w:pPr>
            <w:r/>
            <w:r>
              <w:rPr>
                <w:sz w:val="18"/>
              </w:rPr>
              <w:t>5</w:t>
            </w:r>
          </w:p>
        </w:tc>
        <w:tc>
          <w:tcPr>
            <w:tcW w:type="dxa" w:w="1728"/>
          </w:tcPr>
          <w:p>
            <w:pPr>
              <w:keepNext/>
              <w:spacing w:after="0"/>
              <w:jc w:val="right"/>
            </w:pPr>
            <w:r/>
            <w:r>
              <w:rPr>
                <w:sz w:val="18"/>
              </w:rPr>
              <w:t>0.662</w:t>
            </w:r>
          </w:p>
        </w:tc>
        <w:tc>
          <w:tcPr>
            <w:tcW w:type="dxa" w:w="1728"/>
          </w:tcPr>
          <w:p>
            <w:pPr>
              <w:keepNext/>
              <w:spacing w:after="0"/>
              <w:jc w:val="right"/>
            </w:pPr>
            <w:r/>
            <w:r>
              <w:rPr>
                <w:sz w:val="18"/>
              </w:rPr>
              <w:t>-0.217</w:t>
            </w:r>
          </w:p>
        </w:tc>
        <w:tc>
          <w:tcPr>
            <w:tcW w:type="dxa" w:w="2304"/>
          </w:tcPr>
          <w:p>
            <w:pPr>
              <w:keepNext/>
              <w:spacing w:after="0"/>
              <w:jc w:val="right"/>
            </w:pPr>
            <w:r/>
            <w:r>
              <w:rPr>
                <w:sz w:val="18"/>
              </w:rPr>
              <w:t>0.445</w:t>
            </w:r>
          </w:p>
        </w:tc>
      </w:tr>
      <w:tr>
        <w:trPr>
          <w:cantSplit w:val="true"/>
        </w:trPr>
        <w:tc>
          <w:tcPr>
            <w:tcW w:type="dxa" w:w="1440"/>
            <w:shd w:val="clear" w:color="auto" w:fill="EAF1F8"/>
          </w:tcPr>
          <w:p>
            <w:pPr>
              <w:keepNext/>
              <w:spacing w:after="0"/>
              <w:jc w:val="left"/>
            </w:pPr>
            <w:r/>
            <w:r>
              <w:rPr>
                <w:sz w:val="18"/>
              </w:rPr>
              <w:t>6</w:t>
            </w:r>
          </w:p>
        </w:tc>
        <w:tc>
          <w:tcPr>
            <w:tcW w:type="dxa" w:w="1728"/>
            <w:shd w:val="clear" w:color="auto" w:fill="EAF1F8"/>
          </w:tcPr>
          <w:p>
            <w:pPr>
              <w:keepNext/>
              <w:spacing w:after="0"/>
              <w:jc w:val="right"/>
            </w:pPr>
            <w:r/>
            <w:r>
              <w:rPr>
                <w:sz w:val="18"/>
              </w:rPr>
              <w:t>0.523</w:t>
            </w:r>
          </w:p>
        </w:tc>
        <w:tc>
          <w:tcPr>
            <w:tcW w:type="dxa" w:w="1728"/>
            <w:shd w:val="clear" w:color="auto" w:fill="EAF1F8"/>
          </w:tcPr>
          <w:p>
            <w:pPr>
              <w:keepNext/>
              <w:spacing w:after="0"/>
              <w:jc w:val="right"/>
            </w:pPr>
            <w:r/>
            <w:r>
              <w:rPr>
                <w:sz w:val="18"/>
              </w:rPr>
              <w:t>-0.334</w:t>
            </w:r>
          </w:p>
        </w:tc>
        <w:tc>
          <w:tcPr>
            <w:tcW w:type="dxa" w:w="2304"/>
            <w:shd w:val="clear" w:color="auto" w:fill="EAF1F8"/>
          </w:tcPr>
          <w:p>
            <w:pPr>
              <w:keepNext/>
              <w:spacing w:after="0"/>
              <w:jc w:val="right"/>
            </w:pPr>
            <w:r/>
            <w:r>
              <w:rPr>
                <w:sz w:val="18"/>
              </w:rPr>
              <w:t>0.189</w:t>
            </w:r>
          </w:p>
        </w:tc>
      </w:tr>
      <w:tr>
        <w:trPr>
          <w:cantSplit w:val="true"/>
        </w:trPr>
        <w:tc>
          <w:tcPr>
            <w:tcW w:type="dxa" w:w="1440"/>
          </w:tcPr>
          <w:p>
            <w:pPr>
              <w:keepNext/>
              <w:spacing w:after="0"/>
              <w:jc w:val="left"/>
            </w:pPr>
            <w:r/>
            <w:r>
              <w:rPr>
                <w:sz w:val="18"/>
              </w:rPr>
              <w:t>7</w:t>
            </w:r>
          </w:p>
        </w:tc>
        <w:tc>
          <w:tcPr>
            <w:tcW w:type="dxa" w:w="1728"/>
          </w:tcPr>
          <w:p>
            <w:pPr>
              <w:keepNext/>
              <w:spacing w:after="0"/>
              <w:jc w:val="right"/>
            </w:pPr>
            <w:r/>
            <w:r>
              <w:rPr>
                <w:sz w:val="18"/>
              </w:rPr>
              <w:t>0.474</w:t>
            </w:r>
          </w:p>
        </w:tc>
        <w:tc>
          <w:tcPr>
            <w:tcW w:type="dxa" w:w="1728"/>
          </w:tcPr>
          <w:p>
            <w:pPr>
              <w:keepNext/>
              <w:spacing w:after="0"/>
              <w:jc w:val="right"/>
            </w:pPr>
            <w:r/>
            <w:r>
              <w:rPr>
                <w:sz w:val="18"/>
              </w:rPr>
              <w:t>0.227</w:t>
            </w:r>
          </w:p>
        </w:tc>
        <w:tc>
          <w:tcPr>
            <w:tcW w:type="dxa" w:w="2304"/>
          </w:tcPr>
          <w:p>
            <w:pPr>
              <w:keepNext/>
              <w:spacing w:after="0"/>
              <w:jc w:val="right"/>
            </w:pPr>
            <w:r/>
            <w:r>
              <w:rPr>
                <w:sz w:val="18"/>
              </w:rPr>
              <w:t>0.247</w:t>
            </w:r>
          </w:p>
        </w:tc>
      </w:tr>
      <w:tr>
        <w:trPr>
          <w:cantSplit w:val="true"/>
        </w:trPr>
        <w:tc>
          <w:tcPr>
            <w:tcW w:type="dxa" w:w="1440"/>
            <w:shd w:val="clear" w:color="auto" w:fill="EAF1F8"/>
          </w:tcPr>
          <w:p>
            <w:pPr>
              <w:spacing w:after="0"/>
              <w:jc w:val="left"/>
            </w:pPr>
            <w:r/>
            <w:r>
              <w:rPr>
                <w:sz w:val="18"/>
              </w:rPr>
              <w:t>8</w:t>
            </w:r>
          </w:p>
        </w:tc>
        <w:tc>
          <w:tcPr>
            <w:tcW w:type="dxa" w:w="1728"/>
            <w:shd w:val="clear" w:color="auto" w:fill="EAF1F8"/>
          </w:tcPr>
          <w:p>
            <w:pPr>
              <w:spacing w:after="0"/>
              <w:jc w:val="right"/>
            </w:pPr>
            <w:r/>
            <w:r>
              <w:rPr>
                <w:sz w:val="18"/>
              </w:rPr>
              <w:t>0.424</w:t>
            </w:r>
          </w:p>
        </w:tc>
        <w:tc>
          <w:tcPr>
            <w:tcW w:type="dxa" w:w="1728"/>
            <w:shd w:val="clear" w:color="auto" w:fill="EAF1F8"/>
          </w:tcPr>
          <w:p>
            <w:pPr>
              <w:spacing w:after="0"/>
              <w:jc w:val="right"/>
            </w:pPr>
            <w:r/>
            <w:r>
              <w:rPr>
                <w:sz w:val="18"/>
              </w:rPr>
              <w:t>-0.237</w:t>
            </w:r>
          </w:p>
        </w:tc>
        <w:tc>
          <w:tcPr>
            <w:tcW w:type="dxa" w:w="2304"/>
            <w:shd w:val="clear" w:color="auto" w:fill="EAF1F8"/>
          </w:tcPr>
          <w:p>
            <w:pPr>
              <w:spacing w:after="0"/>
              <w:jc w:val="right"/>
            </w:pPr>
            <w:r/>
            <w:r>
              <w:rPr>
                <w:sz w:val="18"/>
              </w:rPr>
              <w:t>0.187</w:t>
            </w:r>
          </w:p>
        </w:tc>
      </w:tr>
    </w:tbl>
    <w:p>
      <w:pPr>
        <w:spacing w:after="160"/>
      </w:pPr>
      <w:r>
        <w:rPr>
          <w:i/>
          <w:sz w:val="17"/>
        </w:rPr>
        <w:t>Rezagos 2, 3 y 4: ACF alta (0.74–0.78) con PACF baja (−0.02 a 0.29).</w:t>
      </w:r>
    </w:p>
    <w:p>
      <w:pPr>
        <w:pStyle w:val="Heading3"/>
      </w:pPr>
      <w:r>
        <w:t>Respuestas a las preguntas de la sección</w:t>
      </w:r>
    </w:p>
    <w:p>
      <w:pPr>
        <w:keepNext/>
        <w:spacing w:after="20"/>
      </w:pPr>
      <w:r>
        <w:rPr>
          <w:b/>
        </w:rPr>
        <w:t>¿Qué rezagos destacan?</w:t>
      </w:r>
    </w:p>
    <w:p>
      <w:pPr>
        <w:ind w:left="288"/>
      </w:pPr>
      <w:r>
        <w:t xml:space="preserve">Fuera de las bandas (±0.280) quedan el </w:t>
      </w:r>
      <w:r>
        <w:rPr>
          <w:b/>
        </w:rPr>
        <w:t>rezago 1</w:t>
      </w:r>
      <w:r>
        <w:t xml:space="preserve"> (0.885, de lejos el dominante), el rezago 3 (0.287, apenas fuera) y el rezago 6 (-0.334, negativo).</w:t>
      </w:r>
    </w:p>
    <w:p>
      <w:pPr>
        <w:keepNext/>
        <w:spacing w:after="20"/>
      </w:pPr>
      <w:r>
        <w:rPr>
          <w:b/>
        </w:rPr>
        <w:t>¿Coinciden con ACF?</w:t>
      </w:r>
    </w:p>
    <w:p>
      <w:pPr>
        <w:ind w:left="288"/>
      </w:pPr>
      <w:r>
        <w:t>Solo en parte. La ACF tiene fuera de bandas los rezagos 1 a 4; la PACF, los rezagos 1, 3 y 6. Coinciden en el rezago 1, que es el fundamental. Los rezagos 2 y 4 destacan en la ACF pero no en la PACF.</w:t>
      </w:r>
    </w:p>
    <w:p>
      <w:pPr>
        <w:keepNext/>
        <w:spacing w:after="20"/>
      </w:pPr>
      <w:r>
        <w:rPr>
          <w:b/>
        </w:rPr>
        <w:t>¿Existe ACF alta pero PACF considerablemente menor?</w:t>
      </w:r>
    </w:p>
    <w:p>
      <w:pPr>
        <w:ind w:left="288"/>
      </w:pPr>
      <w:r>
        <w:t>Sí. Rezago 2: ACF 0.779 vs PACF -0.017; rezago 4: 0.739 vs 0.111; rezago 3: 0.748 vs 0.287.</w:t>
      </w:r>
    </w:p>
    <w:p>
      <w:pPr>
        <w:keepNext/>
        <w:spacing w:after="20"/>
      </w:pPr>
      <w:r>
        <w:rPr>
          <w:b/>
        </w:rPr>
        <w:t>¿Cómo interpretan ese caso?</w:t>
      </w:r>
    </w:p>
    <w:p>
      <w:pPr>
        <w:ind w:left="288"/>
      </w:pPr>
      <w:r>
        <w:t xml:space="preserve">La ACF mide la asociación total y arrastra el efecto en cadena: como cada precio depende del anterior, el de hace 2 o 4 meses parece relacionado con el actual aunque solo lo esté a través del mes inmediato. Al controlar los rezagos intermedios, la relación </w:t>
      </w:r>
      <w:r>
        <w:rPr>
          <w:b/>
        </w:rPr>
        <w:t>directa</w:t>
      </w:r>
      <w:r>
        <w:t xml:space="preserve"> con el precio de hace 2 meses es prácticamente nula (-0.017). La persistencia temporal de RKLB se concentra en el mes anterior. Los rezagos 3 y 6 de la PACF son marginales: al evaluar 20 rezagos al 5 % se espera ≈ 1 «falso positivo», por lo que no se interpretan como ciclos reales.</w:t>
      </w:r>
    </w:p>
    <w:p>
      <w:pPr>
        <w:keepNext/>
        <w:spacing w:after="20"/>
      </w:pPr>
      <w:r>
        <w:rPr>
          <w:b/>
        </w:rPr>
        <w:t>¿Qué información adicional aporta PACF?</w:t>
      </w:r>
    </w:p>
    <w:p>
      <w:pPr>
        <w:ind w:left="288"/>
      </w:pPr>
      <w:r>
        <w:t xml:space="preserve">Separa la dependencia </w:t>
      </w:r>
      <w:r>
        <w:rPr>
          <w:b/>
        </w:rPr>
        <w:t>directa</w:t>
      </w:r>
      <w:r>
        <w:t xml:space="preserve"> de la acumulada. Aquí sugiere que casi toda la dependencia del nivel es de primer orden con coeficiente cercano a 1, comportamiento parecido a una caminata aleatoria, lo que es una pista para el modelado futuro y no un modelo estimado.</w:t>
      </w:r>
    </w:p>
    <w:p>
      <w:pPr>
        <w:pStyle w:val="Heading1"/>
      </w:pPr>
      <w:r>
        <w:t>13. ACF y PACF de la serie transformada (cambio logarítmico)</w:t>
      </w:r>
    </w:p>
    <w:p>
      <w:r>
        <w:t xml:space="preserve">Se eligió el </w:t>
      </w:r>
      <w:r>
        <w:rPr>
          <w:b/>
        </w:rPr>
        <w:t>cambio logarítmico mensual</w:t>
      </w:r>
      <w:r>
        <w:t xml:space="preserve"> porque elimina la tendencia, expresa los movimientos en términos relativos y es aditivo en el tiempo (secciones 5 a 8).</w:t>
      </w:r>
    </w:p>
    <w:p>
      <w:pPr>
        <w:keepNext/>
        <w:spacing w:after="40"/>
        <w:jc w:val="center"/>
      </w:pPr>
      <w:r>
        <w:drawing>
          <wp:inline xmlns:a="http://schemas.openxmlformats.org/drawingml/2006/main" xmlns:pic="http://schemas.openxmlformats.org/drawingml/2006/picture">
            <wp:extent cx="5943600" cy="3587939"/>
            <wp:docPr id="10" name="Picture 10"/>
            <wp:cNvGraphicFramePr>
              <a:graphicFrameLocks noChangeAspect="1"/>
            </wp:cNvGraphicFramePr>
            <a:graphic>
              <a:graphicData uri="http://schemas.openxmlformats.org/drawingml/2006/picture">
                <pic:pic>
                  <pic:nvPicPr>
                    <pic:cNvPr id="0" name="fig_13_acf_pacf_comparacion.png"/>
                    <pic:cNvPicPr/>
                  </pic:nvPicPr>
                  <pic:blipFill>
                    <a:blip r:embed="rId19"/>
                    <a:stretch>
                      <a:fillRect/>
                    </a:stretch>
                  </pic:blipFill>
                  <pic:spPr>
                    <a:xfrm>
                      <a:off x="0" y="0"/>
                      <a:ext cx="5943600" cy="3587939"/>
                    </a:xfrm>
                    <a:prstGeom prst="rect"/>
                  </pic:spPr>
                </pic:pic>
              </a:graphicData>
            </a:graphic>
          </wp:inline>
        </w:drawing>
      </w:r>
    </w:p>
    <w:p>
      <w:pPr>
        <w:spacing w:after="60"/>
        <w:jc w:val="center"/>
      </w:pPr>
      <w:r>
        <w:rPr>
          <w:i/>
          <w:sz w:val="18"/>
        </w:rPr>
        <w:t>Figura 10. ACF y PACF de RKLB: nivel (fila superior) vs. cambio logarítmico mensual (fila inferior).</w:t>
      </w:r>
    </w:p>
    <w:p>
      <w:r>
        <w:rPr>
          <w:b/>
          <w:sz w:val="20"/>
        </w:rPr>
        <w:t>Interpretación.</w:t>
      </w:r>
      <w:r>
        <w:rPr>
          <w:sz w:val="20"/>
        </w:rPr>
        <w:t xml:space="preserve"> Fila superior: decaimiento lento y barras fuera de bandas. Fila inferior: todas las barras dentro de las bandas, sin patrón de decaimiento. Las más cercanas al límite son los rezagos 11 y 12 (ACF 0.229 y -0.192), que no se pueden distinguir de ruido.</w:t>
      </w:r>
    </w:p>
    <w:p>
      <w:pPr>
        <w:keepNext/>
        <w:spacing w:after="40"/>
        <w:jc w:val="center"/>
      </w:pPr>
      <w:r>
        <w:drawing>
          <wp:inline xmlns:a="http://schemas.openxmlformats.org/drawingml/2006/main" xmlns:pic="http://schemas.openxmlformats.org/drawingml/2006/picture">
            <wp:extent cx="5120640" cy="2052670"/>
            <wp:docPr id="11" name="Picture 11"/>
            <wp:cNvGraphicFramePr>
              <a:graphicFrameLocks noChangeAspect="1"/>
            </wp:cNvGraphicFramePr>
            <a:graphic>
              <a:graphicData uri="http://schemas.openxmlformats.org/drawingml/2006/picture">
                <pic:pic>
                  <pic:nvPicPr>
                    <pic:cNvPr id="0" name="fig_13_acf_retorno.png"/>
                    <pic:cNvPicPr/>
                  </pic:nvPicPr>
                  <pic:blipFill>
                    <a:blip r:embed="rId20"/>
                    <a:stretch>
                      <a:fillRect/>
                    </a:stretch>
                  </pic:blipFill>
                  <pic:spPr>
                    <a:xfrm>
                      <a:off x="0" y="0"/>
                      <a:ext cx="5120640" cy="2052670"/>
                    </a:xfrm>
                    <a:prstGeom prst="rect"/>
                  </pic:spPr>
                </pic:pic>
              </a:graphicData>
            </a:graphic>
          </wp:inline>
        </w:drawing>
      </w:r>
    </w:p>
    <w:p>
      <w:pPr>
        <w:spacing w:after="60"/>
        <w:jc w:val="center"/>
      </w:pPr>
      <w:r>
        <w:rPr>
          <w:i/>
          <w:sz w:val="18"/>
        </w:rPr>
        <w:t>Figura 11. ACF del cambio logarítmico mensual de RKLB (%), 20 rezagos y banda de confianza al 95 %.</w:t>
      </w:r>
    </w:p>
    <w:p>
      <w:r>
        <w:rPr>
          <w:b/>
          <w:sz w:val="20"/>
        </w:rPr>
        <w:t>Interpretación.</w:t>
      </w:r>
      <w:r>
        <w:rPr>
          <w:sz w:val="20"/>
        </w:rPr>
        <w:t xml:space="preserve"> El rezago 1 es 0.034 y el de mayor magnitud entre los tres primeros es el rezago 3 (-0.200), dentro de la banda de ±0.284.</w:t>
      </w:r>
    </w:p>
    <w:p>
      <w:pPr>
        <w:keepNext/>
        <w:spacing w:after="40"/>
        <w:jc w:val="center"/>
      </w:pPr>
      <w:r>
        <w:drawing>
          <wp:inline xmlns:a="http://schemas.openxmlformats.org/drawingml/2006/main" xmlns:pic="http://schemas.openxmlformats.org/drawingml/2006/picture">
            <wp:extent cx="5120640" cy="2052670"/>
            <wp:docPr id="12" name="Picture 12"/>
            <wp:cNvGraphicFramePr>
              <a:graphicFrameLocks noChangeAspect="1"/>
            </wp:cNvGraphicFramePr>
            <a:graphic>
              <a:graphicData uri="http://schemas.openxmlformats.org/drawingml/2006/picture">
                <pic:pic>
                  <pic:nvPicPr>
                    <pic:cNvPr id="0" name="fig_13_pacf_retorno.png"/>
                    <pic:cNvPicPr/>
                  </pic:nvPicPr>
                  <pic:blipFill>
                    <a:blip r:embed="rId21"/>
                    <a:stretch>
                      <a:fillRect/>
                    </a:stretch>
                  </pic:blipFill>
                  <pic:spPr>
                    <a:xfrm>
                      <a:off x="0" y="0"/>
                      <a:ext cx="5120640" cy="2052670"/>
                    </a:xfrm>
                    <a:prstGeom prst="rect"/>
                  </pic:spPr>
                </pic:pic>
              </a:graphicData>
            </a:graphic>
          </wp:inline>
        </w:drawing>
      </w:r>
    </w:p>
    <w:p>
      <w:pPr>
        <w:spacing w:after="60"/>
        <w:jc w:val="center"/>
      </w:pPr>
      <w:r>
        <w:rPr>
          <w:i/>
          <w:sz w:val="18"/>
        </w:rPr>
        <w:t>Figura 12. PACF del cambio logarítmico mensual de RKLB (%), 20 rezagos.</w:t>
      </w:r>
    </w:p>
    <w:p>
      <w:r>
        <w:rPr>
          <w:b/>
          <w:sz w:val="20"/>
        </w:rPr>
        <w:t>Interpretación.</w:t>
      </w:r>
      <w:r>
        <w:rPr>
          <w:sz w:val="20"/>
        </w:rPr>
        <w:t xml:space="preserve"> La PACF repite la lectura de la ACF: no hay rezagos significativos; la dependencia lineal en los cambios logarítmicos mensuales es indistinguible de cero.</w:t>
      </w:r>
    </w:p>
    <w:p>
      <w:pPr>
        <w:keepNext/>
        <w:spacing w:after="60"/>
      </w:pPr>
      <w:r>
        <w:rPr>
          <w:b/>
          <w:sz w:val="19"/>
        </w:rPr>
        <w:t>Tabla 18. ACF y PACF: nivel vs. cambio logarítmico (rezagos 1 a 12)</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val="true"/>
          <w:tblHeader w:val="true"/>
        </w:trPr>
        <w:tc>
          <w:tcPr>
            <w:tcW w:type="dxa" w:w="1872"/>
            <w:shd w:val="clear" w:color="auto" w:fill="1F4E79"/>
          </w:tcPr>
          <w:p>
            <w:pPr>
              <w:keepNext/>
              <w:jc w:val="center"/>
            </w:pPr>
            <w:r/>
            <w:r>
              <w:rPr>
                <w:b/>
                <w:color w:val="FFFFFF"/>
                <w:sz w:val="18"/>
              </w:rPr>
              <w:t>Rezago</w:t>
            </w:r>
          </w:p>
        </w:tc>
        <w:tc>
          <w:tcPr>
            <w:tcW w:type="dxa" w:w="1872"/>
            <w:shd w:val="clear" w:color="auto" w:fill="1F4E79"/>
          </w:tcPr>
          <w:p>
            <w:pPr>
              <w:keepNext/>
              <w:jc w:val="center"/>
            </w:pPr>
            <w:r/>
            <w:r>
              <w:rPr>
                <w:b/>
                <w:color w:val="FFFFFF"/>
                <w:sz w:val="18"/>
              </w:rPr>
              <w:t>ACF nivel</w:t>
            </w:r>
          </w:p>
        </w:tc>
        <w:tc>
          <w:tcPr>
            <w:tcW w:type="dxa" w:w="1872"/>
            <w:shd w:val="clear" w:color="auto" w:fill="1F4E79"/>
          </w:tcPr>
          <w:p>
            <w:pPr>
              <w:keepNext/>
              <w:jc w:val="center"/>
            </w:pPr>
            <w:r/>
            <w:r>
              <w:rPr>
                <w:b/>
                <w:color w:val="FFFFFF"/>
                <w:sz w:val="18"/>
              </w:rPr>
              <w:t>ACF cambio log</w:t>
            </w:r>
          </w:p>
        </w:tc>
        <w:tc>
          <w:tcPr>
            <w:tcW w:type="dxa" w:w="1872"/>
            <w:shd w:val="clear" w:color="auto" w:fill="1F4E79"/>
          </w:tcPr>
          <w:p>
            <w:pPr>
              <w:keepNext/>
              <w:jc w:val="center"/>
            </w:pPr>
            <w:r/>
            <w:r>
              <w:rPr>
                <w:b/>
                <w:color w:val="FFFFFF"/>
                <w:sz w:val="18"/>
              </w:rPr>
              <w:t>PACF nivel</w:t>
            </w:r>
          </w:p>
        </w:tc>
        <w:tc>
          <w:tcPr>
            <w:tcW w:type="dxa" w:w="1872"/>
            <w:shd w:val="clear" w:color="auto" w:fill="1F4E79"/>
          </w:tcPr>
          <w:p>
            <w:pPr>
              <w:keepNext/>
              <w:jc w:val="center"/>
            </w:pPr>
            <w:r/>
            <w:r>
              <w:rPr>
                <w:b/>
                <w:color w:val="FFFFFF"/>
                <w:sz w:val="18"/>
              </w:rPr>
              <w:t>PACF cambio log</w:t>
            </w:r>
          </w:p>
        </w:tc>
      </w:tr>
      <w:tr>
        <w:trPr>
          <w:cantSplit w:val="true"/>
        </w:trPr>
        <w:tc>
          <w:tcPr>
            <w:tcW w:type="dxa" w:w="1872"/>
          </w:tcPr>
          <w:p>
            <w:pPr>
              <w:keepNext/>
              <w:spacing w:after="0"/>
              <w:jc w:val="left"/>
            </w:pPr>
            <w:r/>
            <w:r>
              <w:rPr>
                <w:sz w:val="18"/>
              </w:rPr>
              <w:t>1</w:t>
            </w:r>
          </w:p>
        </w:tc>
        <w:tc>
          <w:tcPr>
            <w:tcW w:type="dxa" w:w="1872"/>
          </w:tcPr>
          <w:p>
            <w:pPr>
              <w:keepNext/>
              <w:spacing w:after="0"/>
              <w:jc w:val="right"/>
            </w:pPr>
            <w:r/>
            <w:r>
              <w:rPr>
                <w:sz w:val="18"/>
              </w:rPr>
              <w:t>0.885</w:t>
            </w:r>
          </w:p>
        </w:tc>
        <w:tc>
          <w:tcPr>
            <w:tcW w:type="dxa" w:w="1872"/>
          </w:tcPr>
          <w:p>
            <w:pPr>
              <w:keepNext/>
              <w:spacing w:after="0"/>
              <w:jc w:val="right"/>
            </w:pPr>
            <w:r/>
            <w:r>
              <w:rPr>
                <w:sz w:val="18"/>
              </w:rPr>
              <w:t>0.034</w:t>
            </w:r>
          </w:p>
        </w:tc>
        <w:tc>
          <w:tcPr>
            <w:tcW w:type="dxa" w:w="1872"/>
          </w:tcPr>
          <w:p>
            <w:pPr>
              <w:keepNext/>
              <w:spacing w:after="0"/>
              <w:jc w:val="right"/>
            </w:pPr>
            <w:r/>
            <w:r>
              <w:rPr>
                <w:sz w:val="18"/>
              </w:rPr>
              <w:t>0.885</w:t>
            </w:r>
          </w:p>
        </w:tc>
        <w:tc>
          <w:tcPr>
            <w:tcW w:type="dxa" w:w="1872"/>
          </w:tcPr>
          <w:p>
            <w:pPr>
              <w:keepNext/>
              <w:spacing w:after="0"/>
              <w:jc w:val="right"/>
            </w:pPr>
            <w:r/>
            <w:r>
              <w:rPr>
                <w:sz w:val="18"/>
              </w:rPr>
              <w:t>0.034</w:t>
            </w:r>
          </w:p>
        </w:tc>
      </w:tr>
      <w:tr>
        <w:trPr>
          <w:cantSplit w:val="true"/>
        </w:trPr>
        <w:tc>
          <w:tcPr>
            <w:tcW w:type="dxa" w:w="1872"/>
            <w:shd w:val="clear" w:color="auto" w:fill="EAF1F8"/>
          </w:tcPr>
          <w:p>
            <w:pPr>
              <w:keepNext/>
              <w:spacing w:after="0"/>
              <w:jc w:val="left"/>
            </w:pPr>
            <w:r/>
            <w:r>
              <w:rPr>
                <w:sz w:val="18"/>
              </w:rPr>
              <w:t>2</w:t>
            </w:r>
          </w:p>
        </w:tc>
        <w:tc>
          <w:tcPr>
            <w:tcW w:type="dxa" w:w="1872"/>
            <w:shd w:val="clear" w:color="auto" w:fill="EAF1F8"/>
          </w:tcPr>
          <w:p>
            <w:pPr>
              <w:keepNext/>
              <w:spacing w:after="0"/>
              <w:jc w:val="right"/>
            </w:pPr>
            <w:r/>
            <w:r>
              <w:rPr>
                <w:sz w:val="18"/>
              </w:rPr>
              <w:t>0.779</w:t>
            </w:r>
          </w:p>
        </w:tc>
        <w:tc>
          <w:tcPr>
            <w:tcW w:type="dxa" w:w="1872"/>
            <w:shd w:val="clear" w:color="auto" w:fill="EAF1F8"/>
          </w:tcPr>
          <w:p>
            <w:pPr>
              <w:keepNext/>
              <w:spacing w:after="0"/>
              <w:jc w:val="right"/>
            </w:pPr>
            <w:r/>
            <w:r>
              <w:rPr>
                <w:sz w:val="18"/>
              </w:rPr>
              <w:t>-0.051</w:t>
            </w:r>
          </w:p>
        </w:tc>
        <w:tc>
          <w:tcPr>
            <w:tcW w:type="dxa" w:w="1872"/>
            <w:shd w:val="clear" w:color="auto" w:fill="EAF1F8"/>
          </w:tcPr>
          <w:p>
            <w:pPr>
              <w:keepNext/>
              <w:spacing w:after="0"/>
              <w:jc w:val="right"/>
            </w:pPr>
            <w:r/>
            <w:r>
              <w:rPr>
                <w:sz w:val="18"/>
              </w:rPr>
              <w:t>-0.017</w:t>
            </w:r>
          </w:p>
        </w:tc>
        <w:tc>
          <w:tcPr>
            <w:tcW w:type="dxa" w:w="1872"/>
            <w:shd w:val="clear" w:color="auto" w:fill="EAF1F8"/>
          </w:tcPr>
          <w:p>
            <w:pPr>
              <w:keepNext/>
              <w:spacing w:after="0"/>
              <w:jc w:val="right"/>
            </w:pPr>
            <w:r/>
            <w:r>
              <w:rPr>
                <w:sz w:val="18"/>
              </w:rPr>
              <w:t>-0.052</w:t>
            </w:r>
          </w:p>
        </w:tc>
      </w:tr>
      <w:tr>
        <w:trPr>
          <w:cantSplit w:val="true"/>
        </w:trPr>
        <w:tc>
          <w:tcPr>
            <w:tcW w:type="dxa" w:w="1872"/>
          </w:tcPr>
          <w:p>
            <w:pPr>
              <w:keepNext/>
              <w:spacing w:after="0"/>
              <w:jc w:val="left"/>
            </w:pPr>
            <w:r/>
            <w:r>
              <w:rPr>
                <w:sz w:val="18"/>
              </w:rPr>
              <w:t>3</w:t>
            </w:r>
          </w:p>
        </w:tc>
        <w:tc>
          <w:tcPr>
            <w:tcW w:type="dxa" w:w="1872"/>
          </w:tcPr>
          <w:p>
            <w:pPr>
              <w:keepNext/>
              <w:spacing w:after="0"/>
              <w:jc w:val="right"/>
            </w:pPr>
            <w:r/>
            <w:r>
              <w:rPr>
                <w:sz w:val="18"/>
              </w:rPr>
              <w:t>0.748</w:t>
            </w:r>
          </w:p>
        </w:tc>
        <w:tc>
          <w:tcPr>
            <w:tcW w:type="dxa" w:w="1872"/>
          </w:tcPr>
          <w:p>
            <w:pPr>
              <w:keepNext/>
              <w:spacing w:after="0"/>
              <w:jc w:val="right"/>
            </w:pPr>
            <w:r/>
            <w:r>
              <w:rPr>
                <w:sz w:val="18"/>
              </w:rPr>
              <w:t>-0.200</w:t>
            </w:r>
          </w:p>
        </w:tc>
        <w:tc>
          <w:tcPr>
            <w:tcW w:type="dxa" w:w="1872"/>
          </w:tcPr>
          <w:p>
            <w:pPr>
              <w:keepNext/>
              <w:spacing w:after="0"/>
              <w:jc w:val="right"/>
            </w:pPr>
            <w:r/>
            <w:r>
              <w:rPr>
                <w:sz w:val="18"/>
              </w:rPr>
              <w:t>0.287</w:t>
            </w:r>
          </w:p>
        </w:tc>
        <w:tc>
          <w:tcPr>
            <w:tcW w:type="dxa" w:w="1872"/>
          </w:tcPr>
          <w:p>
            <w:pPr>
              <w:keepNext/>
              <w:spacing w:after="0"/>
              <w:jc w:val="right"/>
            </w:pPr>
            <w:r/>
            <w:r>
              <w:rPr>
                <w:sz w:val="18"/>
              </w:rPr>
              <w:t>-0.197</w:t>
            </w:r>
          </w:p>
        </w:tc>
      </w:tr>
      <w:tr>
        <w:trPr>
          <w:cantSplit w:val="true"/>
        </w:trPr>
        <w:tc>
          <w:tcPr>
            <w:tcW w:type="dxa" w:w="1872"/>
            <w:shd w:val="clear" w:color="auto" w:fill="EAF1F8"/>
          </w:tcPr>
          <w:p>
            <w:pPr>
              <w:keepNext/>
              <w:spacing w:after="0"/>
              <w:jc w:val="left"/>
            </w:pPr>
            <w:r/>
            <w:r>
              <w:rPr>
                <w:sz w:val="18"/>
              </w:rPr>
              <w:t>4</w:t>
            </w:r>
          </w:p>
        </w:tc>
        <w:tc>
          <w:tcPr>
            <w:tcW w:type="dxa" w:w="1872"/>
            <w:shd w:val="clear" w:color="auto" w:fill="EAF1F8"/>
          </w:tcPr>
          <w:p>
            <w:pPr>
              <w:keepNext/>
              <w:spacing w:after="0"/>
              <w:jc w:val="right"/>
            </w:pPr>
            <w:r/>
            <w:r>
              <w:rPr>
                <w:sz w:val="18"/>
              </w:rPr>
              <w:t>0.739</w:t>
            </w:r>
          </w:p>
        </w:tc>
        <w:tc>
          <w:tcPr>
            <w:tcW w:type="dxa" w:w="1872"/>
            <w:shd w:val="clear" w:color="auto" w:fill="EAF1F8"/>
          </w:tcPr>
          <w:p>
            <w:pPr>
              <w:keepNext/>
              <w:spacing w:after="0"/>
              <w:jc w:val="right"/>
            </w:pPr>
            <w:r/>
            <w:r>
              <w:rPr>
                <w:sz w:val="18"/>
              </w:rPr>
              <w:t>-0.010</w:t>
            </w:r>
          </w:p>
        </w:tc>
        <w:tc>
          <w:tcPr>
            <w:tcW w:type="dxa" w:w="1872"/>
            <w:shd w:val="clear" w:color="auto" w:fill="EAF1F8"/>
          </w:tcPr>
          <w:p>
            <w:pPr>
              <w:keepNext/>
              <w:spacing w:after="0"/>
              <w:jc w:val="right"/>
            </w:pPr>
            <w:r/>
            <w:r>
              <w:rPr>
                <w:sz w:val="18"/>
              </w:rPr>
              <w:t>0.111</w:t>
            </w:r>
          </w:p>
        </w:tc>
        <w:tc>
          <w:tcPr>
            <w:tcW w:type="dxa" w:w="1872"/>
            <w:shd w:val="clear" w:color="auto" w:fill="EAF1F8"/>
          </w:tcPr>
          <w:p>
            <w:pPr>
              <w:keepNext/>
              <w:spacing w:after="0"/>
              <w:jc w:val="right"/>
            </w:pPr>
            <w:r/>
            <w:r>
              <w:rPr>
                <w:sz w:val="18"/>
              </w:rPr>
              <w:t>-0.000</w:t>
            </w:r>
          </w:p>
        </w:tc>
      </w:tr>
      <w:tr>
        <w:trPr>
          <w:cantSplit w:val="true"/>
        </w:trPr>
        <w:tc>
          <w:tcPr>
            <w:tcW w:type="dxa" w:w="1872"/>
          </w:tcPr>
          <w:p>
            <w:pPr>
              <w:keepNext/>
              <w:spacing w:after="0"/>
              <w:jc w:val="left"/>
            </w:pPr>
            <w:r/>
            <w:r>
              <w:rPr>
                <w:sz w:val="18"/>
              </w:rPr>
              <w:t>5</w:t>
            </w:r>
          </w:p>
        </w:tc>
        <w:tc>
          <w:tcPr>
            <w:tcW w:type="dxa" w:w="1872"/>
          </w:tcPr>
          <w:p>
            <w:pPr>
              <w:keepNext/>
              <w:spacing w:after="0"/>
              <w:jc w:val="right"/>
            </w:pPr>
            <w:r/>
            <w:r>
              <w:rPr>
                <w:sz w:val="18"/>
              </w:rPr>
              <w:t>0.662</w:t>
            </w:r>
          </w:p>
        </w:tc>
        <w:tc>
          <w:tcPr>
            <w:tcW w:type="dxa" w:w="1872"/>
          </w:tcPr>
          <w:p>
            <w:pPr>
              <w:keepNext/>
              <w:spacing w:after="0"/>
              <w:jc w:val="right"/>
            </w:pPr>
            <w:r/>
            <w:r>
              <w:rPr>
                <w:sz w:val="18"/>
              </w:rPr>
              <w:t>0.082</w:t>
            </w:r>
          </w:p>
        </w:tc>
        <w:tc>
          <w:tcPr>
            <w:tcW w:type="dxa" w:w="1872"/>
          </w:tcPr>
          <w:p>
            <w:pPr>
              <w:keepNext/>
              <w:spacing w:after="0"/>
              <w:jc w:val="right"/>
            </w:pPr>
            <w:r/>
            <w:r>
              <w:rPr>
                <w:sz w:val="18"/>
              </w:rPr>
              <w:t>-0.217</w:t>
            </w:r>
          </w:p>
        </w:tc>
        <w:tc>
          <w:tcPr>
            <w:tcW w:type="dxa" w:w="1872"/>
          </w:tcPr>
          <w:p>
            <w:pPr>
              <w:keepNext/>
              <w:spacing w:after="0"/>
              <w:jc w:val="right"/>
            </w:pPr>
            <w:r/>
            <w:r>
              <w:rPr>
                <w:sz w:val="18"/>
              </w:rPr>
              <w:t>0.066</w:t>
            </w:r>
          </w:p>
        </w:tc>
      </w:tr>
      <w:tr>
        <w:trPr>
          <w:cantSplit w:val="true"/>
        </w:trPr>
        <w:tc>
          <w:tcPr>
            <w:tcW w:type="dxa" w:w="1872"/>
            <w:shd w:val="clear" w:color="auto" w:fill="EAF1F8"/>
          </w:tcPr>
          <w:p>
            <w:pPr>
              <w:keepNext/>
              <w:spacing w:after="0"/>
              <w:jc w:val="left"/>
            </w:pPr>
            <w:r/>
            <w:r>
              <w:rPr>
                <w:sz w:val="18"/>
              </w:rPr>
              <w:t>6</w:t>
            </w:r>
          </w:p>
        </w:tc>
        <w:tc>
          <w:tcPr>
            <w:tcW w:type="dxa" w:w="1872"/>
            <w:shd w:val="clear" w:color="auto" w:fill="EAF1F8"/>
          </w:tcPr>
          <w:p>
            <w:pPr>
              <w:keepNext/>
              <w:spacing w:after="0"/>
              <w:jc w:val="right"/>
            </w:pPr>
            <w:r/>
            <w:r>
              <w:rPr>
                <w:sz w:val="18"/>
              </w:rPr>
              <w:t>0.523</w:t>
            </w:r>
          </w:p>
        </w:tc>
        <w:tc>
          <w:tcPr>
            <w:tcW w:type="dxa" w:w="1872"/>
            <w:shd w:val="clear" w:color="auto" w:fill="EAF1F8"/>
          </w:tcPr>
          <w:p>
            <w:pPr>
              <w:keepNext/>
              <w:spacing w:after="0"/>
              <w:jc w:val="right"/>
            </w:pPr>
            <w:r/>
            <w:r>
              <w:rPr>
                <w:sz w:val="18"/>
              </w:rPr>
              <w:t>-0.033</w:t>
            </w:r>
          </w:p>
        </w:tc>
        <w:tc>
          <w:tcPr>
            <w:tcW w:type="dxa" w:w="1872"/>
            <w:shd w:val="clear" w:color="auto" w:fill="EAF1F8"/>
          </w:tcPr>
          <w:p>
            <w:pPr>
              <w:keepNext/>
              <w:spacing w:after="0"/>
              <w:jc w:val="right"/>
            </w:pPr>
            <w:r/>
            <w:r>
              <w:rPr>
                <w:sz w:val="18"/>
              </w:rPr>
              <w:t>-0.334</w:t>
            </w:r>
          </w:p>
        </w:tc>
        <w:tc>
          <w:tcPr>
            <w:tcW w:type="dxa" w:w="1872"/>
            <w:shd w:val="clear" w:color="auto" w:fill="EAF1F8"/>
          </w:tcPr>
          <w:p>
            <w:pPr>
              <w:keepNext/>
              <w:spacing w:after="0"/>
              <w:jc w:val="right"/>
            </w:pPr>
            <w:r/>
            <w:r>
              <w:rPr>
                <w:sz w:val="18"/>
              </w:rPr>
              <w:t>-0.080</w:t>
            </w:r>
          </w:p>
        </w:tc>
      </w:tr>
      <w:tr>
        <w:trPr>
          <w:cantSplit w:val="true"/>
        </w:trPr>
        <w:tc>
          <w:tcPr>
            <w:tcW w:type="dxa" w:w="1872"/>
          </w:tcPr>
          <w:p>
            <w:pPr>
              <w:keepNext/>
              <w:spacing w:after="0"/>
              <w:jc w:val="left"/>
            </w:pPr>
            <w:r/>
            <w:r>
              <w:rPr>
                <w:sz w:val="18"/>
              </w:rPr>
              <w:t>7</w:t>
            </w:r>
          </w:p>
        </w:tc>
        <w:tc>
          <w:tcPr>
            <w:tcW w:type="dxa" w:w="1872"/>
          </w:tcPr>
          <w:p>
            <w:pPr>
              <w:keepNext/>
              <w:spacing w:after="0"/>
              <w:jc w:val="right"/>
            </w:pPr>
            <w:r/>
            <w:r>
              <w:rPr>
                <w:sz w:val="18"/>
              </w:rPr>
              <w:t>0.474</w:t>
            </w:r>
          </w:p>
        </w:tc>
        <w:tc>
          <w:tcPr>
            <w:tcW w:type="dxa" w:w="1872"/>
          </w:tcPr>
          <w:p>
            <w:pPr>
              <w:keepNext/>
              <w:spacing w:after="0"/>
              <w:jc w:val="right"/>
            </w:pPr>
            <w:r/>
            <w:r>
              <w:rPr>
                <w:sz w:val="18"/>
              </w:rPr>
              <w:t>0.007</w:t>
            </w:r>
          </w:p>
        </w:tc>
        <w:tc>
          <w:tcPr>
            <w:tcW w:type="dxa" w:w="1872"/>
          </w:tcPr>
          <w:p>
            <w:pPr>
              <w:keepNext/>
              <w:spacing w:after="0"/>
              <w:jc w:val="right"/>
            </w:pPr>
            <w:r/>
            <w:r>
              <w:rPr>
                <w:sz w:val="18"/>
              </w:rPr>
              <w:t>0.227</w:t>
            </w:r>
          </w:p>
        </w:tc>
        <w:tc>
          <w:tcPr>
            <w:tcW w:type="dxa" w:w="1872"/>
          </w:tcPr>
          <w:p>
            <w:pPr>
              <w:keepNext/>
              <w:spacing w:after="0"/>
              <w:jc w:val="right"/>
            </w:pPr>
            <w:r/>
            <w:r>
              <w:rPr>
                <w:sz w:val="18"/>
              </w:rPr>
              <w:t>0.014</w:t>
            </w:r>
          </w:p>
        </w:tc>
      </w:tr>
      <w:tr>
        <w:trPr>
          <w:cantSplit w:val="true"/>
        </w:trPr>
        <w:tc>
          <w:tcPr>
            <w:tcW w:type="dxa" w:w="1872"/>
            <w:shd w:val="clear" w:color="auto" w:fill="EAF1F8"/>
          </w:tcPr>
          <w:p>
            <w:pPr>
              <w:keepNext/>
              <w:spacing w:after="0"/>
              <w:jc w:val="left"/>
            </w:pPr>
            <w:r/>
            <w:r>
              <w:rPr>
                <w:sz w:val="18"/>
              </w:rPr>
              <w:t>8</w:t>
            </w:r>
          </w:p>
        </w:tc>
        <w:tc>
          <w:tcPr>
            <w:tcW w:type="dxa" w:w="1872"/>
            <w:shd w:val="clear" w:color="auto" w:fill="EAF1F8"/>
          </w:tcPr>
          <w:p>
            <w:pPr>
              <w:keepNext/>
              <w:spacing w:after="0"/>
              <w:jc w:val="right"/>
            </w:pPr>
            <w:r/>
            <w:r>
              <w:rPr>
                <w:sz w:val="18"/>
              </w:rPr>
              <w:t>0.424</w:t>
            </w:r>
          </w:p>
        </w:tc>
        <w:tc>
          <w:tcPr>
            <w:tcW w:type="dxa" w:w="1872"/>
            <w:shd w:val="clear" w:color="auto" w:fill="EAF1F8"/>
          </w:tcPr>
          <w:p>
            <w:pPr>
              <w:keepNext/>
              <w:spacing w:after="0"/>
              <w:jc w:val="right"/>
            </w:pPr>
            <w:r/>
            <w:r>
              <w:rPr>
                <w:sz w:val="18"/>
              </w:rPr>
              <w:t>-0.009</w:t>
            </w:r>
          </w:p>
        </w:tc>
        <w:tc>
          <w:tcPr>
            <w:tcW w:type="dxa" w:w="1872"/>
            <w:shd w:val="clear" w:color="auto" w:fill="EAF1F8"/>
          </w:tcPr>
          <w:p>
            <w:pPr>
              <w:keepNext/>
              <w:spacing w:after="0"/>
              <w:jc w:val="right"/>
            </w:pPr>
            <w:r/>
            <w:r>
              <w:rPr>
                <w:sz w:val="18"/>
              </w:rPr>
              <w:t>-0.237</w:t>
            </w:r>
          </w:p>
        </w:tc>
        <w:tc>
          <w:tcPr>
            <w:tcW w:type="dxa" w:w="1872"/>
            <w:shd w:val="clear" w:color="auto" w:fill="EAF1F8"/>
          </w:tcPr>
          <w:p>
            <w:pPr>
              <w:keepNext/>
              <w:spacing w:after="0"/>
              <w:jc w:val="right"/>
            </w:pPr>
            <w:r/>
            <w:r>
              <w:rPr>
                <w:sz w:val="18"/>
              </w:rPr>
              <w:t>0.017</w:t>
            </w:r>
          </w:p>
        </w:tc>
      </w:tr>
      <w:tr>
        <w:trPr>
          <w:cantSplit w:val="true"/>
        </w:trPr>
        <w:tc>
          <w:tcPr>
            <w:tcW w:type="dxa" w:w="1872"/>
          </w:tcPr>
          <w:p>
            <w:pPr>
              <w:keepNext/>
              <w:spacing w:after="0"/>
              <w:jc w:val="left"/>
            </w:pPr>
            <w:r/>
            <w:r>
              <w:rPr>
                <w:sz w:val="18"/>
              </w:rPr>
              <w:t>9</w:t>
            </w:r>
          </w:p>
        </w:tc>
        <w:tc>
          <w:tcPr>
            <w:tcW w:type="dxa" w:w="1872"/>
          </w:tcPr>
          <w:p>
            <w:pPr>
              <w:keepNext/>
              <w:spacing w:after="0"/>
              <w:jc w:val="right"/>
            </w:pPr>
            <w:r/>
            <w:r>
              <w:rPr>
                <w:sz w:val="18"/>
              </w:rPr>
              <w:t>0.366</w:t>
            </w:r>
          </w:p>
        </w:tc>
        <w:tc>
          <w:tcPr>
            <w:tcW w:type="dxa" w:w="1872"/>
          </w:tcPr>
          <w:p>
            <w:pPr>
              <w:keepNext/>
              <w:spacing w:after="0"/>
              <w:jc w:val="right"/>
            </w:pPr>
            <w:r/>
            <w:r>
              <w:rPr>
                <w:sz w:val="18"/>
              </w:rPr>
              <w:t>0.033</w:t>
            </w:r>
          </w:p>
        </w:tc>
        <w:tc>
          <w:tcPr>
            <w:tcW w:type="dxa" w:w="1872"/>
          </w:tcPr>
          <w:p>
            <w:pPr>
              <w:keepNext/>
              <w:spacing w:after="0"/>
              <w:jc w:val="right"/>
            </w:pPr>
            <w:r/>
            <w:r>
              <w:rPr>
                <w:sz w:val="18"/>
              </w:rPr>
              <w:t>0.133</w:t>
            </w:r>
          </w:p>
        </w:tc>
        <w:tc>
          <w:tcPr>
            <w:tcW w:type="dxa" w:w="1872"/>
          </w:tcPr>
          <w:p>
            <w:pPr>
              <w:keepNext/>
              <w:spacing w:after="0"/>
              <w:jc w:val="right"/>
            </w:pPr>
            <w:r/>
            <w:r>
              <w:rPr>
                <w:sz w:val="18"/>
              </w:rPr>
              <w:t>0.012</w:t>
            </w:r>
          </w:p>
        </w:tc>
      </w:tr>
      <w:tr>
        <w:trPr>
          <w:cantSplit w:val="true"/>
        </w:trPr>
        <w:tc>
          <w:tcPr>
            <w:tcW w:type="dxa" w:w="1872"/>
            <w:shd w:val="clear" w:color="auto" w:fill="EAF1F8"/>
          </w:tcPr>
          <w:p>
            <w:pPr>
              <w:keepNext/>
              <w:spacing w:after="0"/>
              <w:jc w:val="left"/>
            </w:pPr>
            <w:r/>
            <w:r>
              <w:rPr>
                <w:sz w:val="18"/>
              </w:rPr>
              <w:t>10</w:t>
            </w:r>
          </w:p>
        </w:tc>
        <w:tc>
          <w:tcPr>
            <w:tcW w:type="dxa" w:w="1872"/>
            <w:shd w:val="clear" w:color="auto" w:fill="EAF1F8"/>
          </w:tcPr>
          <w:p>
            <w:pPr>
              <w:keepNext/>
              <w:spacing w:after="0"/>
              <w:jc w:val="right"/>
            </w:pPr>
            <w:r/>
            <w:r>
              <w:rPr>
                <w:sz w:val="18"/>
              </w:rPr>
              <w:t>0.295</w:t>
            </w:r>
          </w:p>
        </w:tc>
        <w:tc>
          <w:tcPr>
            <w:tcW w:type="dxa" w:w="1872"/>
            <w:shd w:val="clear" w:color="auto" w:fill="EAF1F8"/>
          </w:tcPr>
          <w:p>
            <w:pPr>
              <w:keepNext/>
              <w:spacing w:after="0"/>
              <w:jc w:val="right"/>
            </w:pPr>
            <w:r/>
            <w:r>
              <w:rPr>
                <w:sz w:val="18"/>
              </w:rPr>
              <w:t>-0.060</w:t>
            </w:r>
          </w:p>
        </w:tc>
        <w:tc>
          <w:tcPr>
            <w:tcW w:type="dxa" w:w="1872"/>
            <w:shd w:val="clear" w:color="auto" w:fill="EAF1F8"/>
          </w:tcPr>
          <w:p>
            <w:pPr>
              <w:keepNext/>
              <w:spacing w:after="0"/>
              <w:jc w:val="right"/>
            </w:pPr>
            <w:r/>
            <w:r>
              <w:rPr>
                <w:sz w:val="18"/>
              </w:rPr>
              <w:t>0.049</w:t>
            </w:r>
          </w:p>
        </w:tc>
        <w:tc>
          <w:tcPr>
            <w:tcW w:type="dxa" w:w="1872"/>
            <w:shd w:val="clear" w:color="auto" w:fill="EAF1F8"/>
          </w:tcPr>
          <w:p>
            <w:pPr>
              <w:keepNext/>
              <w:spacing w:after="0"/>
              <w:jc w:val="right"/>
            </w:pPr>
            <w:r/>
            <w:r>
              <w:rPr>
                <w:sz w:val="18"/>
              </w:rPr>
              <w:t>-0.066</w:t>
            </w:r>
          </w:p>
        </w:tc>
      </w:tr>
      <w:tr>
        <w:trPr>
          <w:cantSplit w:val="true"/>
        </w:trPr>
        <w:tc>
          <w:tcPr>
            <w:tcW w:type="dxa" w:w="1872"/>
          </w:tcPr>
          <w:p>
            <w:pPr>
              <w:keepNext/>
              <w:spacing w:after="0"/>
              <w:jc w:val="left"/>
            </w:pPr>
            <w:r/>
            <w:r>
              <w:rPr>
                <w:sz w:val="18"/>
              </w:rPr>
              <w:t>11</w:t>
            </w:r>
          </w:p>
        </w:tc>
        <w:tc>
          <w:tcPr>
            <w:tcW w:type="dxa" w:w="1872"/>
          </w:tcPr>
          <w:p>
            <w:pPr>
              <w:keepNext/>
              <w:spacing w:after="0"/>
              <w:jc w:val="right"/>
            </w:pPr>
            <w:r/>
            <w:r>
              <w:rPr>
                <w:sz w:val="18"/>
              </w:rPr>
              <w:t>0.229</w:t>
            </w:r>
          </w:p>
        </w:tc>
        <w:tc>
          <w:tcPr>
            <w:tcW w:type="dxa" w:w="1872"/>
          </w:tcPr>
          <w:p>
            <w:pPr>
              <w:keepNext/>
              <w:spacing w:after="0"/>
              <w:jc w:val="right"/>
            </w:pPr>
            <w:r/>
            <w:r>
              <w:rPr>
                <w:sz w:val="18"/>
              </w:rPr>
              <w:t>0.229</w:t>
            </w:r>
          </w:p>
        </w:tc>
        <w:tc>
          <w:tcPr>
            <w:tcW w:type="dxa" w:w="1872"/>
          </w:tcPr>
          <w:p>
            <w:pPr>
              <w:keepNext/>
              <w:spacing w:after="0"/>
              <w:jc w:val="right"/>
            </w:pPr>
            <w:r/>
            <w:r>
              <w:rPr>
                <w:sz w:val="18"/>
              </w:rPr>
              <w:t>-0.096</w:t>
            </w:r>
          </w:p>
        </w:tc>
        <w:tc>
          <w:tcPr>
            <w:tcW w:type="dxa" w:w="1872"/>
          </w:tcPr>
          <w:p>
            <w:pPr>
              <w:keepNext/>
              <w:spacing w:after="0"/>
              <w:jc w:val="right"/>
            </w:pPr>
            <w:r/>
            <w:r>
              <w:rPr>
                <w:sz w:val="18"/>
              </w:rPr>
              <w:t>0.260</w:t>
            </w:r>
          </w:p>
        </w:tc>
      </w:tr>
      <w:tr>
        <w:trPr>
          <w:cantSplit w:val="true"/>
        </w:trPr>
        <w:tc>
          <w:tcPr>
            <w:tcW w:type="dxa" w:w="1872"/>
            <w:shd w:val="clear" w:color="auto" w:fill="EAF1F8"/>
          </w:tcPr>
          <w:p>
            <w:pPr>
              <w:spacing w:after="0"/>
              <w:jc w:val="left"/>
            </w:pPr>
            <w:r/>
            <w:r>
              <w:rPr>
                <w:sz w:val="18"/>
              </w:rPr>
              <w:t>12</w:t>
            </w:r>
          </w:p>
        </w:tc>
        <w:tc>
          <w:tcPr>
            <w:tcW w:type="dxa" w:w="1872"/>
            <w:shd w:val="clear" w:color="auto" w:fill="EAF1F8"/>
          </w:tcPr>
          <w:p>
            <w:pPr>
              <w:spacing w:after="0"/>
              <w:jc w:val="right"/>
            </w:pPr>
            <w:r/>
            <w:r>
              <w:rPr>
                <w:sz w:val="18"/>
              </w:rPr>
              <w:t>0.173</w:t>
            </w:r>
          </w:p>
        </w:tc>
        <w:tc>
          <w:tcPr>
            <w:tcW w:type="dxa" w:w="1872"/>
            <w:shd w:val="clear" w:color="auto" w:fill="EAF1F8"/>
          </w:tcPr>
          <w:p>
            <w:pPr>
              <w:spacing w:after="0"/>
              <w:jc w:val="right"/>
            </w:pPr>
            <w:r/>
            <w:r>
              <w:rPr>
                <w:sz w:val="18"/>
              </w:rPr>
              <w:t>-0.192</w:t>
            </w:r>
          </w:p>
        </w:tc>
        <w:tc>
          <w:tcPr>
            <w:tcW w:type="dxa" w:w="1872"/>
            <w:shd w:val="clear" w:color="auto" w:fill="EAF1F8"/>
          </w:tcPr>
          <w:p>
            <w:pPr>
              <w:spacing w:after="0"/>
              <w:jc w:val="right"/>
            </w:pPr>
            <w:r/>
            <w:r>
              <w:rPr>
                <w:sz w:val="18"/>
              </w:rPr>
              <w:t>-0.167</w:t>
            </w:r>
          </w:p>
        </w:tc>
        <w:tc>
          <w:tcPr>
            <w:tcW w:type="dxa" w:w="1872"/>
            <w:shd w:val="clear" w:color="auto" w:fill="EAF1F8"/>
          </w:tcPr>
          <w:p>
            <w:pPr>
              <w:spacing w:after="0"/>
              <w:jc w:val="right"/>
            </w:pPr>
            <w:r/>
            <w:r>
              <w:rPr>
                <w:sz w:val="18"/>
              </w:rPr>
              <w:t>-0.239</w:t>
            </w:r>
          </w:p>
        </w:tc>
      </w:tr>
    </w:tbl>
    <w:p>
      <w:pPr>
        <w:spacing w:after="160"/>
      </w:pPr>
      <w:r>
        <w:rPr>
          <w:i/>
          <w:sz w:val="17"/>
        </w:rPr>
        <w:t>Bandas de confianza al 95 %: nivel ≈ ±0.280 (rezago 1); cambio log ≈ ±0.283. Ljung-Box (10 rezagos): nivel p &lt; 0.0001; cambio log p = 0.980.</w:t>
      </w:r>
    </w:p>
    <w:p>
      <w:pPr>
        <w:pStyle w:val="Heading3"/>
      </w:pPr>
      <w:r>
        <w:t>Respuestas a las preguntas de la sección</w:t>
      </w:r>
    </w:p>
    <w:p>
      <w:pPr>
        <w:keepNext/>
        <w:spacing w:after="20"/>
      </w:pPr>
      <w:r>
        <w:rPr>
          <w:b/>
        </w:rPr>
        <w:t>¿La dependencia temporal se ve igual que en nivel?</w:t>
      </w:r>
    </w:p>
    <w:p>
      <w:pPr>
        <w:ind w:left="288"/>
      </w:pPr>
      <w:r>
        <w:t>No. En nivel la ACF es 0.885 en el rezago 1 y decae lentamente; en el cambio logarítmico es 0.034 en el rezago 1 y las barras son pequeñas y de signo alternante, sin forma. La PACF del nivel tiene una barra dominante (0.885); la del cambio logarítmico no tiene ninguna.</w:t>
      </w:r>
    </w:p>
    <w:p>
      <w:pPr>
        <w:keepNext/>
        <w:spacing w:after="20"/>
      </w:pPr>
      <w:r>
        <w:rPr>
          <w:b/>
        </w:rPr>
        <w:t>¿En cuál hay mayor persistencia?</w:t>
      </w:r>
    </w:p>
    <w:p>
      <w:pPr>
        <w:ind w:left="288"/>
      </w:pPr>
      <w:r>
        <w:t xml:space="preserve">En el </w:t>
      </w:r>
      <w:r>
        <w:rPr>
          <w:b/>
        </w:rPr>
        <w:t>nivel</w:t>
      </w:r>
      <w:r>
        <w:t>. La suma de |ACF| en los 20 rezagos es de 6.92 en nivel y de 2.10 en cambio logarítmico, valor similar al ≈ 2.30 que se esperaría de ruido blanco con 48 datos. Ljung-Box (10 rezagos): p &lt; 0.0001 en nivel y p = 0.980 en cambio logarítmico.</w:t>
      </w:r>
    </w:p>
    <w:p>
      <w:pPr>
        <w:keepNext/>
        <w:spacing w:after="20"/>
      </w:pPr>
      <w:r>
        <w:rPr>
          <w:b/>
        </w:rPr>
        <w:t>¿Cambian las barras que superan las bandas?</w:t>
      </w:r>
    </w:p>
    <w:p>
      <w:pPr>
        <w:ind w:left="288"/>
      </w:pPr>
      <w:r>
        <w:t xml:space="preserve">Sí. En nivel superan las bandas los rezagos 1–4 (ACF) y 1, 3 y 6 (PACF); en el cambio logarítmico </w:t>
      </w:r>
      <w:r>
        <w:rPr>
          <w:b/>
        </w:rPr>
        <w:t>ninguna barra</w:t>
      </w:r>
      <w:r>
        <w:t xml:space="preserve"> supera las bandas (±0.283), ni en ACF ni en PACF. Las más cercanas son el rezago 11 (ACF 0.229; PACF 0.260) y el 12 (ACF -0.192; PACF -0.239), que sugerirían algo anual, pero quedan dentro y no se pueden distinguir de ruido.</w:t>
      </w:r>
    </w:p>
    <w:p>
      <w:pPr>
        <w:keepNext/>
        <w:spacing w:after="20"/>
      </w:pPr>
      <w:r>
        <w:rPr>
          <w:b/>
        </w:rPr>
        <w:t>¿Qué cambia en el patrón general?</w:t>
      </w:r>
    </w:p>
    <w:p>
      <w:pPr>
        <w:ind w:left="288"/>
      </w:pPr>
      <w:r>
        <w:t>Se pasa de un decaimiento lento desde 0.885, con persistencia fuerte, a un patrón de ruido blanco aparente: autocorrelaciones pequeñas alrededor de cero, sin decaimiento ni cortes definidos. Esto es consistente con que el logaritmo del precio se comporte como una caminata aleatoria, aunque el correlograma por sí solo no lo prueba. Los resultados casi no cambian si se excluye el mes parcial (autocorr. rezago 1 de 0.035) o si se usa solo Train (nivel 0.920; cambio logarítmico -0.021).</w:t>
      </w:r>
    </w:p>
    <w:p>
      <w:pPr>
        <w:keepNext/>
        <w:spacing w:after="20"/>
      </w:pPr>
      <w:r>
        <w:rPr>
          <w:b/>
        </w:rPr>
        <w:t>¿El correlograma por sí solo permite afirmar estacionariedad?</w:t>
      </w:r>
    </w:p>
    <w:p>
      <w:pPr>
        <w:ind w:left="288"/>
      </w:pPr>
      <w:r>
        <w:rPr>
          <w:b/>
        </w:rPr>
        <w:t>No.</w:t>
      </w:r>
      <w:r>
        <w:t xml:space="preserve"> (1) El correlograma solo mide dependencia lineal; la estacionariedad también exige media y varianza constantes en el tiempo. (2) En el cambio logarítmico la ACF es casi nula, pero la volatilidad no es constante: su desviación móvil de 6 meses va de 11.1 % (jul-2024) a 44.6 % (abr-2025), y por año de 20.0 % a 30.1 %. (3) Con 48 datos las bandas son amplias. (4) Se necesita además la inspección de la gráfica y pruebas formales (ADF, KPSS, Phillips-Perron); la ADF aquí es solo orientativa (p = 0.840 en nivel y p &lt; 0.001 en cambio logarítmico).</w:t>
      </w:r>
    </w:p>
    <w:p>
      <w:pPr>
        <w:pStyle w:val="Heading1"/>
      </w:pPr>
      <w:r>
        <w:t>14. Observaciones atípicas y episodios</w:t>
      </w:r>
    </w:p>
    <w:p>
      <w:pPr>
        <w:keepNext/>
        <w:spacing w:after="40"/>
        <w:jc w:val="center"/>
      </w:pPr>
      <w:r>
        <w:drawing>
          <wp:inline xmlns:a="http://schemas.openxmlformats.org/drawingml/2006/main" xmlns:pic="http://schemas.openxmlformats.org/drawingml/2006/picture">
            <wp:extent cx="5760720" cy="3822079"/>
            <wp:docPr id="13" name="Picture 13"/>
            <wp:cNvGraphicFramePr>
              <a:graphicFrameLocks noChangeAspect="1"/>
            </wp:cNvGraphicFramePr>
            <a:graphic>
              <a:graphicData uri="http://schemas.openxmlformats.org/drawingml/2006/picture">
                <pic:pic>
                  <pic:nvPicPr>
                    <pic:cNvPr id="0" name="fig_14_episodios.png"/>
                    <pic:cNvPicPr/>
                  </pic:nvPicPr>
                  <pic:blipFill>
                    <a:blip r:embed="rId22"/>
                    <a:stretch>
                      <a:fillRect/>
                    </a:stretch>
                  </pic:blipFill>
                  <pic:spPr>
                    <a:xfrm>
                      <a:off x="0" y="0"/>
                      <a:ext cx="5760720" cy="3822079"/>
                    </a:xfrm>
                    <a:prstGeom prst="rect"/>
                  </pic:spPr>
                </pic:pic>
              </a:graphicData>
            </a:graphic>
          </wp:inline>
        </w:drawing>
      </w:r>
    </w:p>
    <w:p>
      <w:pPr>
        <w:spacing w:after="60"/>
        <w:jc w:val="center"/>
      </w:pPr>
      <w:r>
        <w:rPr>
          <w:i/>
          <w:sz w:val="18"/>
        </w:rPr>
        <w:t>Figura 13. Arriba: cambio logarítmico mensual de RKLB con meses atípicos (|z| &gt; 1.5). Abajo: volatilidad móvil de 6 meses.</w:t>
      </w:r>
    </w:p>
    <w:p>
      <w:r>
        <w:rPr>
          <w:b/>
          <w:sz w:val="20"/>
        </w:rPr>
        <w:t>Interpretación.</w:t>
      </w:r>
      <w:r>
        <w:rPr>
          <w:sz w:val="20"/>
        </w:rPr>
        <w:t xml:space="preserve"> Un único mes supera 2 desviaciones (nov-2024). La volatilidad móvil pasa de 11.1 % (jul-2024) a 44.6 % (abr-2025) y vuelve a subir desde nov-2025: la varianza no es constante.</w:t>
      </w:r>
    </w:p>
    <w:p>
      <w:pPr>
        <w:keepNext/>
        <w:spacing w:after="60"/>
      </w:pPr>
      <w:r>
        <w:rPr>
          <w:b/>
          <w:sz w:val="19"/>
        </w:rPr>
        <w:t>Tabla 19. Meses con |z| &gt; 1.5 en el cambio logarítmico</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val="true"/>
          <w:tblHeader w:val="true"/>
        </w:trPr>
        <w:tc>
          <w:tcPr>
            <w:tcW w:type="dxa" w:w="1560"/>
            <w:shd w:val="clear" w:color="auto" w:fill="1F4E79"/>
          </w:tcPr>
          <w:p>
            <w:pPr>
              <w:keepNext/>
              <w:jc w:val="center"/>
            </w:pPr>
            <w:r/>
            <w:r>
              <w:rPr>
                <w:b/>
                <w:color w:val="FFFFFF"/>
                <w:sz w:val="17"/>
              </w:rPr>
              <w:t>Mes</w:t>
            </w:r>
          </w:p>
        </w:tc>
        <w:tc>
          <w:tcPr>
            <w:tcW w:type="dxa" w:w="1560"/>
            <w:shd w:val="clear" w:color="auto" w:fill="1F4E79"/>
          </w:tcPr>
          <w:p>
            <w:pPr>
              <w:keepNext/>
              <w:jc w:val="center"/>
            </w:pPr>
            <w:r/>
            <w:r>
              <w:rPr>
                <w:b/>
                <w:color w:val="FFFFFF"/>
                <w:sz w:val="17"/>
              </w:rPr>
              <w:t>Cierre (USD)</w:t>
            </w:r>
          </w:p>
        </w:tc>
        <w:tc>
          <w:tcPr>
            <w:tcW w:type="dxa" w:w="1560"/>
            <w:shd w:val="clear" w:color="auto" w:fill="1F4E79"/>
          </w:tcPr>
          <w:p>
            <w:pPr>
              <w:keepNext/>
              <w:jc w:val="center"/>
            </w:pPr>
            <w:r/>
            <w:r>
              <w:rPr>
                <w:b/>
                <w:color w:val="FFFFFF"/>
                <w:sz w:val="17"/>
              </w:rPr>
              <w:t>Cambio simple (%)</w:t>
            </w:r>
          </w:p>
        </w:tc>
        <w:tc>
          <w:tcPr>
            <w:tcW w:type="dxa" w:w="1560"/>
            <w:shd w:val="clear" w:color="auto" w:fill="1F4E79"/>
          </w:tcPr>
          <w:p>
            <w:pPr>
              <w:keepNext/>
              <w:jc w:val="center"/>
            </w:pPr>
            <w:r/>
            <w:r>
              <w:rPr>
                <w:b/>
                <w:color w:val="FFFFFF"/>
                <w:sz w:val="17"/>
              </w:rPr>
              <w:t>Cambio log (%)</w:t>
            </w:r>
          </w:p>
        </w:tc>
        <w:tc>
          <w:tcPr>
            <w:tcW w:type="dxa" w:w="1560"/>
            <w:shd w:val="clear" w:color="auto" w:fill="1F4E79"/>
          </w:tcPr>
          <w:p>
            <w:pPr>
              <w:keepNext/>
              <w:jc w:val="center"/>
            </w:pPr>
            <w:r/>
            <w:r>
              <w:rPr>
                <w:b/>
                <w:color w:val="FFFFFF"/>
                <w:sz w:val="17"/>
              </w:rPr>
              <w:t>z</w:t>
            </w:r>
          </w:p>
        </w:tc>
        <w:tc>
          <w:tcPr>
            <w:tcW w:type="dxa" w:w="1560"/>
            <w:shd w:val="clear" w:color="auto" w:fill="1F4E79"/>
          </w:tcPr>
          <w:p>
            <w:pPr>
              <w:keepNext/>
              <w:jc w:val="center"/>
            </w:pPr>
            <w:r/>
            <w:r>
              <w:rPr>
                <w:b/>
                <w:color w:val="FFFFFF"/>
                <w:sz w:val="17"/>
              </w:rPr>
              <w:t>Volumen (M acc.)</w:t>
            </w:r>
          </w:p>
        </w:tc>
      </w:tr>
      <w:tr>
        <w:trPr>
          <w:cantSplit w:val="true"/>
        </w:trPr>
        <w:tc>
          <w:tcPr>
            <w:tcW w:type="dxa" w:w="1560"/>
          </w:tcPr>
          <w:p>
            <w:pPr>
              <w:keepNext/>
              <w:spacing w:after="0"/>
              <w:jc w:val="left"/>
            </w:pPr>
            <w:r/>
            <w:r>
              <w:rPr>
                <w:sz w:val="17"/>
              </w:rPr>
              <w:t>nov-2024</w:t>
            </w:r>
          </w:p>
        </w:tc>
        <w:tc>
          <w:tcPr>
            <w:tcW w:type="dxa" w:w="1560"/>
          </w:tcPr>
          <w:p>
            <w:pPr>
              <w:keepNext/>
              <w:spacing w:after="0"/>
              <w:jc w:val="right"/>
            </w:pPr>
            <w:r/>
            <w:r>
              <w:rPr>
                <w:sz w:val="17"/>
              </w:rPr>
              <w:t>27.28</w:t>
            </w:r>
          </w:p>
        </w:tc>
        <w:tc>
          <w:tcPr>
            <w:tcW w:type="dxa" w:w="1560"/>
          </w:tcPr>
          <w:p>
            <w:pPr>
              <w:keepNext/>
              <w:spacing w:after="0"/>
              <w:jc w:val="right"/>
            </w:pPr>
            <w:r/>
            <w:r>
              <w:rPr>
                <w:sz w:val="17"/>
              </w:rPr>
              <w:t>+154.95</w:t>
            </w:r>
          </w:p>
        </w:tc>
        <w:tc>
          <w:tcPr>
            <w:tcW w:type="dxa" w:w="1560"/>
          </w:tcPr>
          <w:p>
            <w:pPr>
              <w:keepNext/>
              <w:spacing w:after="0"/>
              <w:jc w:val="right"/>
            </w:pPr>
            <w:r/>
            <w:r>
              <w:rPr>
                <w:sz w:val="17"/>
              </w:rPr>
              <w:t>+93.59</w:t>
            </w:r>
          </w:p>
        </w:tc>
        <w:tc>
          <w:tcPr>
            <w:tcW w:type="dxa" w:w="1560"/>
          </w:tcPr>
          <w:p>
            <w:pPr>
              <w:keepNext/>
              <w:spacing w:after="0"/>
              <w:jc w:val="right"/>
            </w:pPr>
            <w:r/>
            <w:r>
              <w:rPr>
                <w:sz w:val="17"/>
              </w:rPr>
              <w:t>+3.39</w:t>
            </w:r>
          </w:p>
        </w:tc>
        <w:tc>
          <w:tcPr>
            <w:tcW w:type="dxa" w:w="1560"/>
          </w:tcPr>
          <w:p>
            <w:pPr>
              <w:keepNext/>
              <w:spacing w:after="0"/>
              <w:jc w:val="right"/>
            </w:pPr>
            <w:r/>
            <w:r>
              <w:rPr>
                <w:sz w:val="17"/>
              </w:rPr>
              <w:t>600.43</w:t>
            </w:r>
          </w:p>
        </w:tc>
      </w:tr>
      <w:tr>
        <w:trPr>
          <w:cantSplit w:val="true"/>
        </w:trPr>
        <w:tc>
          <w:tcPr>
            <w:tcW w:type="dxa" w:w="1560"/>
            <w:shd w:val="clear" w:color="auto" w:fill="EAF1F8"/>
          </w:tcPr>
          <w:p>
            <w:pPr>
              <w:keepNext/>
              <w:spacing w:after="0"/>
              <w:jc w:val="left"/>
            </w:pPr>
            <w:r/>
            <w:r>
              <w:rPr>
                <w:sz w:val="17"/>
              </w:rPr>
              <w:t>jul-2026</w:t>
            </w:r>
          </w:p>
        </w:tc>
        <w:tc>
          <w:tcPr>
            <w:tcW w:type="dxa" w:w="1560"/>
            <w:shd w:val="clear" w:color="auto" w:fill="EAF1F8"/>
          </w:tcPr>
          <w:p>
            <w:pPr>
              <w:keepNext/>
              <w:spacing w:after="0"/>
              <w:jc w:val="right"/>
            </w:pPr>
            <w:r/>
            <w:r>
              <w:rPr>
                <w:sz w:val="17"/>
              </w:rPr>
              <w:t>64.95</w:t>
            </w:r>
          </w:p>
        </w:tc>
        <w:tc>
          <w:tcPr>
            <w:tcW w:type="dxa" w:w="1560"/>
            <w:shd w:val="clear" w:color="auto" w:fill="EAF1F8"/>
          </w:tcPr>
          <w:p>
            <w:pPr>
              <w:keepNext/>
              <w:spacing w:after="0"/>
              <w:jc w:val="right"/>
            </w:pPr>
            <w:r/>
            <w:r>
              <w:rPr>
                <w:sz w:val="17"/>
              </w:rPr>
              <w:t>-36.10</w:t>
            </w:r>
          </w:p>
        </w:tc>
        <w:tc>
          <w:tcPr>
            <w:tcW w:type="dxa" w:w="1560"/>
            <w:shd w:val="clear" w:color="auto" w:fill="EAF1F8"/>
          </w:tcPr>
          <w:p>
            <w:pPr>
              <w:keepNext/>
              <w:spacing w:after="0"/>
              <w:jc w:val="right"/>
            </w:pPr>
            <w:r/>
            <w:r>
              <w:rPr>
                <w:sz w:val="17"/>
              </w:rPr>
              <w:t>-44.79</w:t>
            </w:r>
          </w:p>
        </w:tc>
        <w:tc>
          <w:tcPr>
            <w:tcW w:type="dxa" w:w="1560"/>
            <w:shd w:val="clear" w:color="auto" w:fill="EAF1F8"/>
          </w:tcPr>
          <w:p>
            <w:pPr>
              <w:keepNext/>
              <w:spacing w:after="0"/>
              <w:jc w:val="right"/>
            </w:pPr>
            <w:r/>
            <w:r>
              <w:rPr>
                <w:sz w:val="17"/>
              </w:rPr>
              <w:t>-1.93</w:t>
            </w:r>
          </w:p>
        </w:tc>
        <w:tc>
          <w:tcPr>
            <w:tcW w:type="dxa" w:w="1560"/>
            <w:shd w:val="clear" w:color="auto" w:fill="EAF1F8"/>
          </w:tcPr>
          <w:p>
            <w:pPr>
              <w:keepNext/>
              <w:spacing w:after="0"/>
              <w:jc w:val="right"/>
            </w:pPr>
            <w:r/>
            <w:r>
              <w:rPr>
                <w:sz w:val="17"/>
              </w:rPr>
              <w:t>423.37</w:t>
            </w:r>
          </w:p>
        </w:tc>
      </w:tr>
      <w:tr>
        <w:trPr>
          <w:cantSplit w:val="true"/>
        </w:trPr>
        <w:tc>
          <w:tcPr>
            <w:tcW w:type="dxa" w:w="1560"/>
          </w:tcPr>
          <w:p>
            <w:pPr>
              <w:keepNext/>
              <w:spacing w:after="0"/>
              <w:jc w:val="left"/>
            </w:pPr>
            <w:r/>
            <w:r>
              <w:rPr>
                <w:sz w:val="17"/>
              </w:rPr>
              <w:t>may-2026</w:t>
            </w:r>
          </w:p>
        </w:tc>
        <w:tc>
          <w:tcPr>
            <w:tcW w:type="dxa" w:w="1560"/>
          </w:tcPr>
          <w:p>
            <w:pPr>
              <w:keepNext/>
              <w:spacing w:after="0"/>
              <w:jc w:val="right"/>
            </w:pPr>
            <w:r/>
            <w:r>
              <w:rPr>
                <w:sz w:val="17"/>
              </w:rPr>
              <w:t>143.48</w:t>
            </w:r>
          </w:p>
        </w:tc>
        <w:tc>
          <w:tcPr>
            <w:tcW w:type="dxa" w:w="1560"/>
          </w:tcPr>
          <w:p>
            <w:pPr>
              <w:keepNext/>
              <w:spacing w:after="0"/>
              <w:jc w:val="right"/>
            </w:pPr>
            <w:r/>
            <w:r>
              <w:rPr>
                <w:sz w:val="17"/>
              </w:rPr>
              <w:t>+73.89</w:t>
            </w:r>
          </w:p>
        </w:tc>
        <w:tc>
          <w:tcPr>
            <w:tcW w:type="dxa" w:w="1560"/>
          </w:tcPr>
          <w:p>
            <w:pPr>
              <w:keepNext/>
              <w:spacing w:after="0"/>
              <w:jc w:val="right"/>
            </w:pPr>
            <w:r/>
            <w:r>
              <w:rPr>
                <w:sz w:val="17"/>
              </w:rPr>
              <w:t>+55.33</w:t>
            </w:r>
          </w:p>
        </w:tc>
        <w:tc>
          <w:tcPr>
            <w:tcW w:type="dxa" w:w="1560"/>
          </w:tcPr>
          <w:p>
            <w:pPr>
              <w:keepNext/>
              <w:spacing w:after="0"/>
              <w:jc w:val="right"/>
            </w:pPr>
            <w:r/>
            <w:r>
              <w:rPr>
                <w:sz w:val="17"/>
              </w:rPr>
              <w:t>+1.92</w:t>
            </w:r>
          </w:p>
        </w:tc>
        <w:tc>
          <w:tcPr>
            <w:tcW w:type="dxa" w:w="1560"/>
          </w:tcPr>
          <w:p>
            <w:pPr>
              <w:keepNext/>
              <w:spacing w:after="0"/>
              <w:jc w:val="right"/>
            </w:pPr>
            <w:r/>
            <w:r>
              <w:rPr>
                <w:sz w:val="17"/>
              </w:rPr>
              <w:t>603.74</w:t>
            </w:r>
          </w:p>
        </w:tc>
      </w:tr>
      <w:tr>
        <w:trPr>
          <w:cantSplit w:val="true"/>
        </w:trPr>
        <w:tc>
          <w:tcPr>
            <w:tcW w:type="dxa" w:w="1560"/>
            <w:shd w:val="clear" w:color="auto" w:fill="EAF1F8"/>
          </w:tcPr>
          <w:p>
            <w:pPr>
              <w:keepNext/>
              <w:spacing w:after="0"/>
              <w:jc w:val="left"/>
            </w:pPr>
            <w:r/>
            <w:r>
              <w:rPr>
                <w:sz w:val="17"/>
              </w:rPr>
              <w:t>nov-2025</w:t>
            </w:r>
          </w:p>
        </w:tc>
        <w:tc>
          <w:tcPr>
            <w:tcW w:type="dxa" w:w="1560"/>
            <w:shd w:val="clear" w:color="auto" w:fill="EAF1F8"/>
          </w:tcPr>
          <w:p>
            <w:pPr>
              <w:keepNext/>
              <w:spacing w:after="0"/>
              <w:jc w:val="right"/>
            </w:pPr>
            <w:r/>
            <w:r>
              <w:rPr>
                <w:sz w:val="17"/>
              </w:rPr>
              <w:t>42.14</w:t>
            </w:r>
          </w:p>
        </w:tc>
        <w:tc>
          <w:tcPr>
            <w:tcW w:type="dxa" w:w="1560"/>
            <w:shd w:val="clear" w:color="auto" w:fill="EAF1F8"/>
          </w:tcPr>
          <w:p>
            <w:pPr>
              <w:keepNext/>
              <w:spacing w:after="0"/>
              <w:jc w:val="right"/>
            </w:pPr>
            <w:r/>
            <w:r>
              <w:rPr>
                <w:sz w:val="17"/>
              </w:rPr>
              <w:t>-33.09</w:t>
            </w:r>
          </w:p>
        </w:tc>
        <w:tc>
          <w:tcPr>
            <w:tcW w:type="dxa" w:w="1560"/>
            <w:shd w:val="clear" w:color="auto" w:fill="EAF1F8"/>
          </w:tcPr>
          <w:p>
            <w:pPr>
              <w:keepNext/>
              <w:spacing w:after="0"/>
              <w:jc w:val="right"/>
            </w:pPr>
            <w:r/>
            <w:r>
              <w:rPr>
                <w:sz w:val="17"/>
              </w:rPr>
              <w:t>-40.18</w:t>
            </w:r>
          </w:p>
        </w:tc>
        <w:tc>
          <w:tcPr>
            <w:tcW w:type="dxa" w:w="1560"/>
            <w:shd w:val="clear" w:color="auto" w:fill="EAF1F8"/>
          </w:tcPr>
          <w:p>
            <w:pPr>
              <w:keepNext/>
              <w:spacing w:after="0"/>
              <w:jc w:val="right"/>
            </w:pPr>
            <w:r/>
            <w:r>
              <w:rPr>
                <w:sz w:val="17"/>
              </w:rPr>
              <w:t>-1.76</w:t>
            </w:r>
          </w:p>
        </w:tc>
        <w:tc>
          <w:tcPr>
            <w:tcW w:type="dxa" w:w="1560"/>
            <w:shd w:val="clear" w:color="auto" w:fill="EAF1F8"/>
          </w:tcPr>
          <w:p>
            <w:pPr>
              <w:keepNext/>
              <w:spacing w:after="0"/>
              <w:jc w:val="right"/>
            </w:pPr>
            <w:r/>
            <w:r>
              <w:rPr>
                <w:sz w:val="17"/>
              </w:rPr>
              <w:t>351.50</w:t>
            </w:r>
          </w:p>
        </w:tc>
      </w:tr>
      <w:tr>
        <w:trPr>
          <w:cantSplit w:val="true"/>
        </w:trPr>
        <w:tc>
          <w:tcPr>
            <w:tcW w:type="dxa" w:w="1560"/>
          </w:tcPr>
          <w:p>
            <w:pPr>
              <w:keepNext/>
              <w:spacing w:after="0"/>
              <w:jc w:val="left"/>
            </w:pPr>
            <w:r/>
            <w:r>
              <w:rPr>
                <w:sz w:val="17"/>
              </w:rPr>
              <w:t>dic-2025</w:t>
            </w:r>
          </w:p>
        </w:tc>
        <w:tc>
          <w:tcPr>
            <w:tcW w:type="dxa" w:w="1560"/>
          </w:tcPr>
          <w:p>
            <w:pPr>
              <w:keepNext/>
              <w:spacing w:after="0"/>
              <w:jc w:val="right"/>
            </w:pPr>
            <w:r/>
            <w:r>
              <w:rPr>
                <w:sz w:val="17"/>
              </w:rPr>
              <w:t>69.76</w:t>
            </w:r>
          </w:p>
        </w:tc>
        <w:tc>
          <w:tcPr>
            <w:tcW w:type="dxa" w:w="1560"/>
          </w:tcPr>
          <w:p>
            <w:pPr>
              <w:keepNext/>
              <w:spacing w:after="0"/>
              <w:jc w:val="right"/>
            </w:pPr>
            <w:r/>
            <w:r>
              <w:rPr>
                <w:sz w:val="17"/>
              </w:rPr>
              <w:t>+65.54</w:t>
            </w:r>
          </w:p>
        </w:tc>
        <w:tc>
          <w:tcPr>
            <w:tcW w:type="dxa" w:w="1560"/>
          </w:tcPr>
          <w:p>
            <w:pPr>
              <w:keepNext/>
              <w:spacing w:after="0"/>
              <w:jc w:val="right"/>
            </w:pPr>
            <w:r/>
            <w:r>
              <w:rPr>
                <w:sz w:val="17"/>
              </w:rPr>
              <w:t>+50.41</w:t>
            </w:r>
          </w:p>
        </w:tc>
        <w:tc>
          <w:tcPr>
            <w:tcW w:type="dxa" w:w="1560"/>
          </w:tcPr>
          <w:p>
            <w:pPr>
              <w:keepNext/>
              <w:spacing w:after="0"/>
              <w:jc w:val="right"/>
            </w:pPr>
            <w:r/>
            <w:r>
              <w:rPr>
                <w:sz w:val="17"/>
              </w:rPr>
              <w:t>+1.73</w:t>
            </w:r>
          </w:p>
        </w:tc>
        <w:tc>
          <w:tcPr>
            <w:tcW w:type="dxa" w:w="1560"/>
          </w:tcPr>
          <w:p>
            <w:pPr>
              <w:keepNext/>
              <w:spacing w:after="0"/>
              <w:jc w:val="right"/>
            </w:pPr>
            <w:r/>
            <w:r>
              <w:rPr>
                <w:sz w:val="17"/>
              </w:rPr>
              <w:t>576.79</w:t>
            </w:r>
          </w:p>
        </w:tc>
      </w:tr>
      <w:tr>
        <w:trPr>
          <w:cantSplit w:val="true"/>
        </w:trPr>
        <w:tc>
          <w:tcPr>
            <w:tcW w:type="dxa" w:w="1560"/>
            <w:shd w:val="clear" w:color="auto" w:fill="EAF1F8"/>
          </w:tcPr>
          <w:p>
            <w:pPr>
              <w:keepNext/>
              <w:spacing w:after="0"/>
              <w:jc w:val="left"/>
            </w:pPr>
            <w:r/>
            <w:r>
              <w:rPr>
                <w:sz w:val="17"/>
              </w:rPr>
              <w:t>sep-2023</w:t>
            </w:r>
          </w:p>
        </w:tc>
        <w:tc>
          <w:tcPr>
            <w:tcW w:type="dxa" w:w="1560"/>
            <w:shd w:val="clear" w:color="auto" w:fill="EAF1F8"/>
          </w:tcPr>
          <w:p>
            <w:pPr>
              <w:keepNext/>
              <w:spacing w:after="0"/>
              <w:jc w:val="right"/>
            </w:pPr>
            <w:r/>
            <w:r>
              <w:rPr>
                <w:sz w:val="17"/>
              </w:rPr>
              <w:t>4.38</w:t>
            </w:r>
          </w:p>
        </w:tc>
        <w:tc>
          <w:tcPr>
            <w:tcW w:type="dxa" w:w="1560"/>
            <w:shd w:val="clear" w:color="auto" w:fill="EAF1F8"/>
          </w:tcPr>
          <w:p>
            <w:pPr>
              <w:keepNext/>
              <w:spacing w:after="0"/>
              <w:jc w:val="right"/>
            </w:pPr>
            <w:r/>
            <w:r>
              <w:rPr>
                <w:sz w:val="17"/>
              </w:rPr>
              <w:t>-30.59</w:t>
            </w:r>
          </w:p>
        </w:tc>
        <w:tc>
          <w:tcPr>
            <w:tcW w:type="dxa" w:w="1560"/>
            <w:shd w:val="clear" w:color="auto" w:fill="EAF1F8"/>
          </w:tcPr>
          <w:p>
            <w:pPr>
              <w:keepNext/>
              <w:spacing w:after="0"/>
              <w:jc w:val="right"/>
            </w:pPr>
            <w:r/>
            <w:r>
              <w:rPr>
                <w:sz w:val="17"/>
              </w:rPr>
              <w:t>-36.51</w:t>
            </w:r>
          </w:p>
        </w:tc>
        <w:tc>
          <w:tcPr>
            <w:tcW w:type="dxa" w:w="1560"/>
            <w:shd w:val="clear" w:color="auto" w:fill="EAF1F8"/>
          </w:tcPr>
          <w:p>
            <w:pPr>
              <w:keepNext/>
              <w:spacing w:after="0"/>
              <w:jc w:val="right"/>
            </w:pPr>
            <w:r/>
            <w:r>
              <w:rPr>
                <w:sz w:val="17"/>
              </w:rPr>
              <w:t>-1.62</w:t>
            </w:r>
          </w:p>
        </w:tc>
        <w:tc>
          <w:tcPr>
            <w:tcW w:type="dxa" w:w="1560"/>
            <w:shd w:val="clear" w:color="auto" w:fill="EAF1F8"/>
          </w:tcPr>
          <w:p>
            <w:pPr>
              <w:keepNext/>
              <w:spacing w:after="0"/>
              <w:jc w:val="right"/>
            </w:pPr>
            <w:r/>
            <w:r>
              <w:rPr>
                <w:sz w:val="17"/>
              </w:rPr>
              <w:t>106.73</w:t>
            </w:r>
          </w:p>
        </w:tc>
      </w:tr>
      <w:tr>
        <w:trPr>
          <w:cantSplit w:val="true"/>
        </w:trPr>
        <w:tc>
          <w:tcPr>
            <w:tcW w:type="dxa" w:w="1560"/>
          </w:tcPr>
          <w:p>
            <w:pPr>
              <w:keepNext/>
              <w:spacing w:after="0"/>
              <w:jc w:val="left"/>
            </w:pPr>
            <w:r/>
            <w:r>
              <w:rPr>
                <w:sz w:val="17"/>
              </w:rPr>
              <w:t>feb-2025</w:t>
            </w:r>
          </w:p>
        </w:tc>
        <w:tc>
          <w:tcPr>
            <w:tcW w:type="dxa" w:w="1560"/>
          </w:tcPr>
          <w:p>
            <w:pPr>
              <w:keepNext/>
              <w:spacing w:after="0"/>
              <w:jc w:val="right"/>
            </w:pPr>
            <w:r/>
            <w:r>
              <w:rPr>
                <w:sz w:val="17"/>
              </w:rPr>
              <w:t>20.49</w:t>
            </w:r>
          </w:p>
        </w:tc>
        <w:tc>
          <w:tcPr>
            <w:tcW w:type="dxa" w:w="1560"/>
          </w:tcPr>
          <w:p>
            <w:pPr>
              <w:keepNext/>
              <w:spacing w:after="0"/>
              <w:jc w:val="right"/>
            </w:pPr>
            <w:r/>
            <w:r>
              <w:rPr>
                <w:sz w:val="17"/>
              </w:rPr>
              <w:t>-29.47</w:t>
            </w:r>
          </w:p>
        </w:tc>
        <w:tc>
          <w:tcPr>
            <w:tcW w:type="dxa" w:w="1560"/>
          </w:tcPr>
          <w:p>
            <w:pPr>
              <w:keepNext/>
              <w:spacing w:after="0"/>
              <w:jc w:val="right"/>
            </w:pPr>
            <w:r/>
            <w:r>
              <w:rPr>
                <w:sz w:val="17"/>
              </w:rPr>
              <w:t>-34.91</w:t>
            </w:r>
          </w:p>
        </w:tc>
        <w:tc>
          <w:tcPr>
            <w:tcW w:type="dxa" w:w="1560"/>
          </w:tcPr>
          <w:p>
            <w:pPr>
              <w:keepNext/>
              <w:spacing w:after="0"/>
              <w:jc w:val="right"/>
            </w:pPr>
            <w:r/>
            <w:r>
              <w:rPr>
                <w:sz w:val="17"/>
              </w:rPr>
              <w:t>-1.55</w:t>
            </w:r>
          </w:p>
        </w:tc>
        <w:tc>
          <w:tcPr>
            <w:tcW w:type="dxa" w:w="1560"/>
          </w:tcPr>
          <w:p>
            <w:pPr>
              <w:keepNext/>
              <w:spacing w:after="0"/>
              <w:jc w:val="right"/>
            </w:pPr>
            <w:r/>
            <w:r>
              <w:rPr>
                <w:sz w:val="17"/>
              </w:rPr>
              <w:t>388.40</w:t>
            </w:r>
          </w:p>
        </w:tc>
      </w:tr>
      <w:tr>
        <w:trPr>
          <w:cantSplit w:val="true"/>
        </w:trPr>
        <w:tc>
          <w:tcPr>
            <w:tcW w:type="dxa" w:w="1560"/>
            <w:shd w:val="clear" w:color="auto" w:fill="EAF1F8"/>
          </w:tcPr>
          <w:p>
            <w:pPr>
              <w:spacing w:after="0"/>
              <w:jc w:val="left"/>
            </w:pPr>
            <w:r/>
            <w:r>
              <w:rPr>
                <w:sz w:val="17"/>
              </w:rPr>
              <w:t>jun-2026</w:t>
            </w:r>
          </w:p>
        </w:tc>
        <w:tc>
          <w:tcPr>
            <w:tcW w:type="dxa" w:w="1560"/>
            <w:shd w:val="clear" w:color="auto" w:fill="EAF1F8"/>
          </w:tcPr>
          <w:p>
            <w:pPr>
              <w:spacing w:after="0"/>
              <w:jc w:val="right"/>
            </w:pPr>
            <w:r/>
            <w:r>
              <w:rPr>
                <w:sz w:val="17"/>
              </w:rPr>
              <w:t>101.65</w:t>
            </w:r>
          </w:p>
        </w:tc>
        <w:tc>
          <w:tcPr>
            <w:tcW w:type="dxa" w:w="1560"/>
            <w:shd w:val="clear" w:color="auto" w:fill="EAF1F8"/>
          </w:tcPr>
          <w:p>
            <w:pPr>
              <w:spacing w:after="0"/>
              <w:jc w:val="right"/>
            </w:pPr>
            <w:r/>
            <w:r>
              <w:rPr>
                <w:sz w:val="17"/>
              </w:rPr>
              <w:t>-29.15</w:t>
            </w:r>
          </w:p>
        </w:tc>
        <w:tc>
          <w:tcPr>
            <w:tcW w:type="dxa" w:w="1560"/>
            <w:shd w:val="clear" w:color="auto" w:fill="EAF1F8"/>
          </w:tcPr>
          <w:p>
            <w:pPr>
              <w:spacing w:after="0"/>
              <w:jc w:val="right"/>
            </w:pPr>
            <w:r/>
            <w:r>
              <w:rPr>
                <w:sz w:val="17"/>
              </w:rPr>
              <w:t>-34.47</w:t>
            </w:r>
          </w:p>
        </w:tc>
        <w:tc>
          <w:tcPr>
            <w:tcW w:type="dxa" w:w="1560"/>
            <w:shd w:val="clear" w:color="auto" w:fill="EAF1F8"/>
          </w:tcPr>
          <w:p>
            <w:pPr>
              <w:spacing w:after="0"/>
              <w:jc w:val="right"/>
            </w:pPr>
            <w:r/>
            <w:r>
              <w:rPr>
                <w:sz w:val="17"/>
              </w:rPr>
              <w:t>-1.54</w:t>
            </w:r>
          </w:p>
        </w:tc>
        <w:tc>
          <w:tcPr>
            <w:tcW w:type="dxa" w:w="1560"/>
            <w:shd w:val="clear" w:color="auto" w:fill="EAF1F8"/>
          </w:tcPr>
          <w:p>
            <w:pPr>
              <w:spacing w:after="0"/>
              <w:jc w:val="right"/>
            </w:pPr>
            <w:r/>
            <w:r>
              <w:rPr>
                <w:sz w:val="17"/>
              </w:rPr>
              <w:t>634.08</w:t>
            </w:r>
          </w:p>
        </w:tc>
      </w:tr>
    </w:tbl>
    <w:p>
      <w:pPr>
        <w:spacing w:after="40"/>
      </w:pPr>
    </w:p>
    <w:p>
      <w:pPr>
        <w:keepNext/>
        <w:spacing w:after="60"/>
      </w:pPr>
      <w:r>
        <w:rPr>
          <w:b/>
          <w:sz w:val="19"/>
        </w:rPr>
        <w:t>Tabla 20. Cambio logarítmico mensual por año (%)</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val="true"/>
          <w:tblHeader w:val="true"/>
        </w:trPr>
        <w:tc>
          <w:tcPr>
            <w:tcW w:type="dxa" w:w="1560"/>
            <w:shd w:val="clear" w:color="auto" w:fill="1F4E79"/>
          </w:tcPr>
          <w:p>
            <w:pPr>
              <w:keepNext/>
              <w:jc w:val="center"/>
            </w:pPr>
            <w:r/>
            <w:r>
              <w:rPr>
                <w:b/>
                <w:color w:val="FFFFFF"/>
                <w:sz w:val="18"/>
              </w:rPr>
              <w:t>Año</w:t>
            </w:r>
          </w:p>
        </w:tc>
        <w:tc>
          <w:tcPr>
            <w:tcW w:type="dxa" w:w="1560"/>
            <w:shd w:val="clear" w:color="auto" w:fill="1F4E79"/>
          </w:tcPr>
          <w:p>
            <w:pPr>
              <w:keepNext/>
              <w:jc w:val="center"/>
            </w:pPr>
            <w:r/>
            <w:r>
              <w:rPr>
                <w:b/>
                <w:color w:val="FFFFFF"/>
                <w:sz w:val="18"/>
              </w:rPr>
              <w:t>n</w:t>
            </w:r>
          </w:p>
        </w:tc>
        <w:tc>
          <w:tcPr>
            <w:tcW w:type="dxa" w:w="1560"/>
            <w:shd w:val="clear" w:color="auto" w:fill="1F4E79"/>
          </w:tcPr>
          <w:p>
            <w:pPr>
              <w:keepNext/>
              <w:jc w:val="center"/>
            </w:pPr>
            <w:r/>
            <w:r>
              <w:rPr>
                <w:b/>
                <w:color w:val="FFFFFF"/>
                <w:sz w:val="18"/>
              </w:rPr>
              <w:t>Media (%)</w:t>
            </w:r>
          </w:p>
        </w:tc>
        <w:tc>
          <w:tcPr>
            <w:tcW w:type="dxa" w:w="1560"/>
            <w:shd w:val="clear" w:color="auto" w:fill="1F4E79"/>
          </w:tcPr>
          <w:p>
            <w:pPr>
              <w:keepNext/>
              <w:jc w:val="center"/>
            </w:pPr>
            <w:r/>
            <w:r>
              <w:rPr>
                <w:b/>
                <w:color w:val="FFFFFF"/>
                <w:sz w:val="18"/>
              </w:rPr>
              <w:t>Desv. est. (%)</w:t>
            </w:r>
          </w:p>
        </w:tc>
        <w:tc>
          <w:tcPr>
            <w:tcW w:type="dxa" w:w="1560"/>
            <w:shd w:val="clear" w:color="auto" w:fill="1F4E79"/>
          </w:tcPr>
          <w:p>
            <w:pPr>
              <w:keepNext/>
              <w:jc w:val="center"/>
            </w:pPr>
            <w:r/>
            <w:r>
              <w:rPr>
                <w:b/>
                <w:color w:val="FFFFFF"/>
                <w:sz w:val="18"/>
              </w:rPr>
              <w:t>Máx. (%)</w:t>
            </w:r>
          </w:p>
        </w:tc>
        <w:tc>
          <w:tcPr>
            <w:tcW w:type="dxa" w:w="1560"/>
            <w:shd w:val="clear" w:color="auto" w:fill="1F4E79"/>
          </w:tcPr>
          <w:p>
            <w:pPr>
              <w:keepNext/>
              <w:jc w:val="center"/>
            </w:pPr>
            <w:r/>
            <w:r>
              <w:rPr>
                <w:b/>
                <w:color w:val="FFFFFF"/>
                <w:sz w:val="18"/>
              </w:rPr>
              <w:t>Mín. (%)</w:t>
            </w:r>
          </w:p>
        </w:tc>
      </w:tr>
      <w:tr>
        <w:trPr>
          <w:cantSplit w:val="true"/>
        </w:trPr>
        <w:tc>
          <w:tcPr>
            <w:tcW w:type="dxa" w:w="1560"/>
          </w:tcPr>
          <w:p>
            <w:pPr>
              <w:keepNext/>
              <w:spacing w:after="0"/>
              <w:jc w:val="left"/>
            </w:pPr>
            <w:r/>
            <w:r>
              <w:rPr>
                <w:sz w:val="18"/>
              </w:rPr>
              <w:t>2022</w:t>
            </w:r>
          </w:p>
        </w:tc>
        <w:tc>
          <w:tcPr>
            <w:tcW w:type="dxa" w:w="1560"/>
          </w:tcPr>
          <w:p>
            <w:pPr>
              <w:keepNext/>
              <w:spacing w:after="0"/>
              <w:jc w:val="right"/>
            </w:pPr>
            <w:r/>
            <w:r>
              <w:rPr>
                <w:sz w:val="18"/>
              </w:rPr>
              <w:t>2</w:t>
            </w:r>
          </w:p>
        </w:tc>
        <w:tc>
          <w:tcPr>
            <w:tcW w:type="dxa" w:w="1560"/>
          </w:tcPr>
          <w:p>
            <w:pPr>
              <w:keepNext/>
              <w:spacing w:after="0"/>
              <w:jc w:val="right"/>
            </w:pPr>
            <w:r/>
            <w:r>
              <w:rPr>
                <w:sz w:val="18"/>
              </w:rPr>
              <w:t>-15.01</w:t>
            </w:r>
          </w:p>
        </w:tc>
        <w:tc>
          <w:tcPr>
            <w:tcW w:type="dxa" w:w="1560"/>
          </w:tcPr>
          <w:p>
            <w:pPr>
              <w:keepNext/>
              <w:spacing w:after="0"/>
              <w:jc w:val="right"/>
            </w:pPr>
            <w:r/>
            <w:r>
              <w:rPr>
                <w:sz w:val="18"/>
              </w:rPr>
              <w:t>6.29</w:t>
            </w:r>
          </w:p>
        </w:tc>
        <w:tc>
          <w:tcPr>
            <w:tcW w:type="dxa" w:w="1560"/>
          </w:tcPr>
          <w:p>
            <w:pPr>
              <w:keepNext/>
              <w:spacing w:after="0"/>
              <w:jc w:val="right"/>
            </w:pPr>
            <w:r/>
            <w:r>
              <w:rPr>
                <w:sz w:val="18"/>
              </w:rPr>
              <w:t>-10.56</w:t>
            </w:r>
          </w:p>
        </w:tc>
        <w:tc>
          <w:tcPr>
            <w:tcW w:type="dxa" w:w="1560"/>
          </w:tcPr>
          <w:p>
            <w:pPr>
              <w:keepNext/>
              <w:spacing w:after="0"/>
              <w:jc w:val="right"/>
            </w:pPr>
            <w:r/>
            <w:r>
              <w:rPr>
                <w:sz w:val="18"/>
              </w:rPr>
              <w:t>-19.46</w:t>
            </w:r>
          </w:p>
        </w:tc>
      </w:tr>
      <w:tr>
        <w:trPr>
          <w:cantSplit w:val="true"/>
        </w:trPr>
        <w:tc>
          <w:tcPr>
            <w:tcW w:type="dxa" w:w="1560"/>
            <w:shd w:val="clear" w:color="auto" w:fill="EAF1F8"/>
          </w:tcPr>
          <w:p>
            <w:pPr>
              <w:keepNext/>
              <w:spacing w:after="0"/>
              <w:jc w:val="left"/>
            </w:pPr>
            <w:r/>
            <w:r>
              <w:rPr>
                <w:sz w:val="18"/>
              </w:rPr>
              <w:t>2023</w:t>
            </w:r>
          </w:p>
        </w:tc>
        <w:tc>
          <w:tcPr>
            <w:tcW w:type="dxa" w:w="1560"/>
            <w:shd w:val="clear" w:color="auto" w:fill="EAF1F8"/>
          </w:tcPr>
          <w:p>
            <w:pPr>
              <w:keepNext/>
              <w:spacing w:after="0"/>
              <w:jc w:val="right"/>
            </w:pPr>
            <w:r/>
            <w:r>
              <w:rPr>
                <w:sz w:val="18"/>
              </w:rPr>
              <w:t>12</w:t>
            </w:r>
          </w:p>
        </w:tc>
        <w:tc>
          <w:tcPr>
            <w:tcW w:type="dxa" w:w="1560"/>
            <w:shd w:val="clear" w:color="auto" w:fill="EAF1F8"/>
          </w:tcPr>
          <w:p>
            <w:pPr>
              <w:keepNext/>
              <w:spacing w:after="0"/>
              <w:jc w:val="right"/>
            </w:pPr>
            <w:r/>
            <w:r>
              <w:rPr>
                <w:sz w:val="18"/>
              </w:rPr>
              <w:t>3.19</w:t>
            </w:r>
          </w:p>
        </w:tc>
        <w:tc>
          <w:tcPr>
            <w:tcW w:type="dxa" w:w="1560"/>
            <w:shd w:val="clear" w:color="auto" w:fill="EAF1F8"/>
          </w:tcPr>
          <w:p>
            <w:pPr>
              <w:keepNext/>
              <w:spacing w:after="0"/>
              <w:jc w:val="right"/>
            </w:pPr>
            <w:r/>
            <w:r>
              <w:rPr>
                <w:sz w:val="18"/>
              </w:rPr>
              <w:t>20.00</w:t>
            </w:r>
          </w:p>
        </w:tc>
        <w:tc>
          <w:tcPr>
            <w:tcW w:type="dxa" w:w="1560"/>
            <w:shd w:val="clear" w:color="auto" w:fill="EAF1F8"/>
          </w:tcPr>
          <w:p>
            <w:pPr>
              <w:keepNext/>
              <w:spacing w:after="0"/>
              <w:jc w:val="right"/>
            </w:pPr>
            <w:r/>
            <w:r>
              <w:rPr>
                <w:sz w:val="18"/>
              </w:rPr>
              <w:t>27.63</w:t>
            </w:r>
          </w:p>
        </w:tc>
        <w:tc>
          <w:tcPr>
            <w:tcW w:type="dxa" w:w="1560"/>
            <w:shd w:val="clear" w:color="auto" w:fill="EAF1F8"/>
          </w:tcPr>
          <w:p>
            <w:pPr>
              <w:keepNext/>
              <w:spacing w:after="0"/>
              <w:jc w:val="right"/>
            </w:pPr>
            <w:r/>
            <w:r>
              <w:rPr>
                <w:sz w:val="18"/>
              </w:rPr>
              <w:t>-36.51</w:t>
            </w:r>
          </w:p>
        </w:tc>
      </w:tr>
      <w:tr>
        <w:trPr>
          <w:cantSplit w:val="true"/>
        </w:trPr>
        <w:tc>
          <w:tcPr>
            <w:tcW w:type="dxa" w:w="1560"/>
          </w:tcPr>
          <w:p>
            <w:pPr>
              <w:keepNext/>
              <w:spacing w:after="0"/>
              <w:jc w:val="left"/>
            </w:pPr>
            <w:r/>
            <w:r>
              <w:rPr>
                <w:sz w:val="18"/>
              </w:rPr>
              <w:t>2024</w:t>
            </w:r>
          </w:p>
        </w:tc>
        <w:tc>
          <w:tcPr>
            <w:tcW w:type="dxa" w:w="1560"/>
          </w:tcPr>
          <w:p>
            <w:pPr>
              <w:keepNext/>
              <w:spacing w:after="0"/>
              <w:jc w:val="right"/>
            </w:pPr>
            <w:r/>
            <w:r>
              <w:rPr>
                <w:sz w:val="18"/>
              </w:rPr>
              <w:t>12</w:t>
            </w:r>
          </w:p>
        </w:tc>
        <w:tc>
          <w:tcPr>
            <w:tcW w:type="dxa" w:w="1560"/>
          </w:tcPr>
          <w:p>
            <w:pPr>
              <w:keepNext/>
              <w:spacing w:after="0"/>
              <w:jc w:val="right"/>
            </w:pPr>
            <w:r/>
            <w:r>
              <w:rPr>
                <w:sz w:val="18"/>
              </w:rPr>
              <w:t>12.73</w:t>
            </w:r>
          </w:p>
        </w:tc>
        <w:tc>
          <w:tcPr>
            <w:tcW w:type="dxa" w:w="1560"/>
          </w:tcPr>
          <w:p>
            <w:pPr>
              <w:keepNext/>
              <w:spacing w:after="0"/>
              <w:jc w:val="right"/>
            </w:pPr>
            <w:r/>
            <w:r>
              <w:rPr>
                <w:sz w:val="18"/>
              </w:rPr>
              <w:t>30.15</w:t>
            </w:r>
          </w:p>
        </w:tc>
        <w:tc>
          <w:tcPr>
            <w:tcW w:type="dxa" w:w="1560"/>
          </w:tcPr>
          <w:p>
            <w:pPr>
              <w:keepNext/>
              <w:spacing w:after="0"/>
              <w:jc w:val="right"/>
            </w:pPr>
            <w:r/>
            <w:r>
              <w:rPr>
                <w:sz w:val="18"/>
              </w:rPr>
              <w:t>93.59</w:t>
            </w:r>
          </w:p>
        </w:tc>
        <w:tc>
          <w:tcPr>
            <w:tcW w:type="dxa" w:w="1560"/>
          </w:tcPr>
          <w:p>
            <w:pPr>
              <w:keepNext/>
              <w:spacing w:after="0"/>
              <w:jc w:val="right"/>
            </w:pPr>
            <w:r/>
            <w:r>
              <w:rPr>
                <w:sz w:val="18"/>
              </w:rPr>
              <w:t>-13.12</w:t>
            </w:r>
          </w:p>
        </w:tc>
      </w:tr>
      <w:tr>
        <w:trPr>
          <w:cantSplit w:val="true"/>
        </w:trPr>
        <w:tc>
          <w:tcPr>
            <w:tcW w:type="dxa" w:w="1560"/>
            <w:shd w:val="clear" w:color="auto" w:fill="EAF1F8"/>
          </w:tcPr>
          <w:p>
            <w:pPr>
              <w:keepNext/>
              <w:spacing w:after="0"/>
              <w:jc w:val="left"/>
            </w:pPr>
            <w:r/>
            <w:r>
              <w:rPr>
                <w:sz w:val="18"/>
              </w:rPr>
              <w:t>2025</w:t>
            </w:r>
          </w:p>
        </w:tc>
        <w:tc>
          <w:tcPr>
            <w:tcW w:type="dxa" w:w="1560"/>
            <w:shd w:val="clear" w:color="auto" w:fill="EAF1F8"/>
          </w:tcPr>
          <w:p>
            <w:pPr>
              <w:keepNext/>
              <w:spacing w:after="0"/>
              <w:jc w:val="right"/>
            </w:pPr>
            <w:r/>
            <w:r>
              <w:rPr>
                <w:sz w:val="18"/>
              </w:rPr>
              <w:t>12</w:t>
            </w:r>
          </w:p>
        </w:tc>
        <w:tc>
          <w:tcPr>
            <w:tcW w:type="dxa" w:w="1560"/>
            <w:shd w:val="clear" w:color="auto" w:fill="EAF1F8"/>
          </w:tcPr>
          <w:p>
            <w:pPr>
              <w:keepNext/>
              <w:spacing w:after="0"/>
              <w:jc w:val="right"/>
            </w:pPr>
            <w:r/>
            <w:r>
              <w:rPr>
                <w:sz w:val="18"/>
              </w:rPr>
              <w:t>8.40</w:t>
            </w:r>
          </w:p>
        </w:tc>
        <w:tc>
          <w:tcPr>
            <w:tcW w:type="dxa" w:w="1560"/>
            <w:shd w:val="clear" w:color="auto" w:fill="EAF1F8"/>
          </w:tcPr>
          <w:p>
            <w:pPr>
              <w:keepNext/>
              <w:spacing w:after="0"/>
              <w:jc w:val="right"/>
            </w:pPr>
            <w:r/>
            <w:r>
              <w:rPr>
                <w:sz w:val="18"/>
              </w:rPr>
              <w:t>26.88</w:t>
            </w:r>
          </w:p>
        </w:tc>
        <w:tc>
          <w:tcPr>
            <w:tcW w:type="dxa" w:w="1560"/>
            <w:shd w:val="clear" w:color="auto" w:fill="EAF1F8"/>
          </w:tcPr>
          <w:p>
            <w:pPr>
              <w:keepNext/>
              <w:spacing w:after="0"/>
              <w:jc w:val="right"/>
            </w:pPr>
            <w:r/>
            <w:r>
              <w:rPr>
                <w:sz w:val="18"/>
              </w:rPr>
              <w:t>50.41</w:t>
            </w:r>
          </w:p>
        </w:tc>
        <w:tc>
          <w:tcPr>
            <w:tcW w:type="dxa" w:w="1560"/>
            <w:shd w:val="clear" w:color="auto" w:fill="EAF1F8"/>
          </w:tcPr>
          <w:p>
            <w:pPr>
              <w:keepNext/>
              <w:spacing w:after="0"/>
              <w:jc w:val="right"/>
            </w:pPr>
            <w:r/>
            <w:r>
              <w:rPr>
                <w:sz w:val="18"/>
              </w:rPr>
              <w:t>-40.18</w:t>
            </w:r>
          </w:p>
        </w:tc>
      </w:tr>
      <w:tr>
        <w:trPr>
          <w:cantSplit w:val="true"/>
        </w:trPr>
        <w:tc>
          <w:tcPr>
            <w:tcW w:type="dxa" w:w="1560"/>
          </w:tcPr>
          <w:p>
            <w:pPr>
              <w:spacing w:after="0"/>
              <w:jc w:val="left"/>
            </w:pPr>
            <w:r/>
            <w:r>
              <w:rPr>
                <w:sz w:val="18"/>
              </w:rPr>
              <w:t>2026</w:t>
            </w:r>
          </w:p>
        </w:tc>
        <w:tc>
          <w:tcPr>
            <w:tcW w:type="dxa" w:w="1560"/>
          </w:tcPr>
          <w:p>
            <w:pPr>
              <w:spacing w:after="0"/>
              <w:jc w:val="right"/>
            </w:pPr>
            <w:r/>
            <w:r>
              <w:rPr>
                <w:sz w:val="18"/>
              </w:rPr>
              <w:t>10</w:t>
            </w:r>
          </w:p>
        </w:tc>
        <w:tc>
          <w:tcPr>
            <w:tcW w:type="dxa" w:w="1560"/>
          </w:tcPr>
          <w:p>
            <w:pPr>
              <w:spacing w:after="0"/>
              <w:jc w:val="right"/>
            </w:pPr>
            <w:r/>
            <w:r>
              <w:rPr>
                <w:sz w:val="18"/>
              </w:rPr>
              <w:t>0.10</w:t>
            </w:r>
          </w:p>
        </w:tc>
        <w:tc>
          <w:tcPr>
            <w:tcW w:type="dxa" w:w="1560"/>
          </w:tcPr>
          <w:p>
            <w:pPr>
              <w:spacing w:after="0"/>
              <w:jc w:val="right"/>
            </w:pPr>
            <w:r/>
            <w:r>
              <w:rPr>
                <w:sz w:val="18"/>
              </w:rPr>
              <w:t>28.72</w:t>
            </w:r>
          </w:p>
        </w:tc>
        <w:tc>
          <w:tcPr>
            <w:tcW w:type="dxa" w:w="1560"/>
          </w:tcPr>
          <w:p>
            <w:pPr>
              <w:spacing w:after="0"/>
              <w:jc w:val="right"/>
            </w:pPr>
            <w:r/>
            <w:r>
              <w:rPr>
                <w:sz w:val="18"/>
              </w:rPr>
              <w:t>55.33</w:t>
            </w:r>
          </w:p>
        </w:tc>
        <w:tc>
          <w:tcPr>
            <w:tcW w:type="dxa" w:w="1560"/>
          </w:tcPr>
          <w:p>
            <w:pPr>
              <w:spacing w:after="0"/>
              <w:jc w:val="right"/>
            </w:pPr>
            <w:r/>
            <w:r>
              <w:rPr>
                <w:sz w:val="18"/>
              </w:rPr>
              <w:t>-44.79</w:t>
            </w:r>
          </w:p>
        </w:tc>
      </w:tr>
    </w:tbl>
    <w:p>
      <w:pPr>
        <w:spacing w:after="160"/>
      </w:pPr>
      <w:r>
        <w:rPr>
          <w:i/>
          <w:sz w:val="17"/>
        </w:rPr>
        <w:t>La desviación mensual pasa de ≈ 20 % (2023) a ≈ 27–30 % (2024–2026).</w:t>
      </w:r>
    </w:p>
    <w:p>
      <w:pPr>
        <w:pStyle w:val="Heading3"/>
      </w:pPr>
      <w:r>
        <w:t>Respuestas a las preguntas de la sección</w:t>
      </w:r>
    </w:p>
    <w:p>
      <w:pPr>
        <w:keepNext/>
        <w:spacing w:after="20"/>
      </w:pPr>
      <w:r>
        <w:rPr>
          <w:b/>
        </w:rPr>
        <w:t>¿Observan uno o varios movimientos que sobresalgan claramente?</w:t>
      </w:r>
    </w:p>
    <w:p>
      <w:pPr>
        <w:ind w:left="288"/>
      </w:pPr>
      <w:r>
        <w:t xml:space="preserve">Sobresale </w:t>
      </w:r>
      <w:r>
        <w:rPr>
          <w:b/>
        </w:rPr>
        <w:t>nov-2024</w:t>
      </w:r>
      <w:r>
        <w:t xml:space="preserve"> (+93.59 % logarítmico; z = 3.39), el único mes con |z| &gt; 2. Siguen jul-2026 (-44.8 %, z = -1.93), may-2026 (+55.3 %, z = 1.92), nov-2025 (-40.2 %), dic-2025 (+50.4 %), sep-2023 (-36.5 %), feb-2025 (-34.9 %) y jun-2026 (-34.5 %): 8 de 48 meses tienen |z| &gt; 1.5.</w:t>
      </w:r>
    </w:p>
    <w:p>
      <w:pPr>
        <w:keepNext/>
        <w:spacing w:after="20"/>
      </w:pPr>
      <w:r>
        <w:rPr>
          <w:b/>
        </w:rPr>
        <w:t>¿Parece un solo punto atípico o un episodio de varios periodos?</w:t>
      </w:r>
    </w:p>
    <w:p>
      <w:pPr>
        <w:ind w:left="288"/>
      </w:pPr>
      <w:r>
        <w:t xml:space="preserve">Ambos. </w:t>
      </w:r>
      <w:r>
        <w:rPr>
          <w:b/>
        </w:rPr>
        <w:t>nov-2024</w:t>
      </w:r>
      <w:r>
        <w:t xml:space="preserve"> es un punto extremo aislado, pero forma parte de un episodio mayor: 7 alzas consecutivas entre may-2024 y nov-2024 (+198.2 % logarítmico acumulado), tras el cual el precio se instaló en un rango más alto (nunca bajó de 17.88 USD): es un </w:t>
      </w:r>
      <w:r>
        <w:rPr>
          <w:b/>
        </w:rPr>
        <w:t>posible cambio de nivel o de régimen</w:t>
      </w:r>
      <w:r>
        <w:t>. Otros episodios: abr–ago-2025 (5 alzas, +100.0 %) y el ciclo may–jul-2026 (máximo de 143.48 USD y luego dos caídas seguidas, −50.9 % desde el pico). La volatilidad móvil muestra regímenes: calma en jul-2024 (11.1 %), pico en abr-2025 (44.6 %) y nivel alto (26–38 %) desde nov-2025.</w:t>
      </w:r>
    </w:p>
    <w:p>
      <w:pPr>
        <w:keepNext/>
        <w:spacing w:after="20"/>
      </w:pPr>
      <w:r>
        <w:rPr>
          <w:b/>
        </w:rPr>
        <w:t>¿Eliminarían automáticamente esa observación? ¿Por qué?</w:t>
      </w:r>
    </w:p>
    <w:p>
      <w:pPr>
        <w:ind w:left="288"/>
      </w:pPr>
      <w:r>
        <w:t>No. Son precios reales, no errores de captura: el «% var.» de la fuente coincide con el cálculo y los cierres están dentro del rango del mes. Además, los meses extremos coinciden con volumen alto (nov-2024: 600.43 M; may-2026: 603.74 M; jun-2026: 634.08 M, frente a una mediana de 308.4 M; correlación entre |cambio logarítmico| y volumen = 0.44), consistente con eventos de mercado reales. Eliminarlos ocultaría justamente el riesgo de la acción. Antes de cualquier tratamiento habría que investigar la causa (noticias, resultados, lanzamientos), algo que esta base no permite identificar.</w:t>
      </w:r>
    </w:p>
    <w:p>
      <w:pPr>
        <w:pStyle w:val="Heading1"/>
      </w:pPr>
      <w:r>
        <w:t>15. Conclusión diagnóstica integradora</w:t>
      </w:r>
    </w:p>
    <w:p>
      <w:pPr>
        <w:keepNext/>
        <w:spacing w:after="20"/>
      </w:pPr>
      <w:r>
        <w:rPr>
          <w:b/>
        </w:rPr>
        <w:t>1. ¿Cuáles son las principales características temporales de la serie?</w:t>
      </w:r>
    </w:p>
    <w:p>
      <w:pPr>
        <w:ind w:left="288"/>
      </w:pPr>
      <w:r>
        <w:t xml:space="preserve">RKLB tiene (a) </w:t>
      </w:r>
      <w:r>
        <w:rPr>
          <w:b/>
        </w:rPr>
        <w:t>tendencia ascendente muy fuerte y casi exponencial</w:t>
      </w:r>
      <w:r>
        <w:t xml:space="preserve"> (de 5.09 a 70.46 USD; ≈ 8.2 % mensual compuesto en la tendencia log-lineal), con un máximo de 143.48 USD en may-2026 y una corrección posterior de 51 %; (b) </w:t>
      </w:r>
      <w:r>
        <w:rPr>
          <w:b/>
        </w:rPr>
        <w:t>variabilidad creciente</w:t>
      </w:r>
      <w:r>
        <w:t xml:space="preserve"> con el nivel (desviación del precio de 1.07 USD en 2023 a 24.82 USD en 2026); (c) </w:t>
      </w:r>
      <w:r>
        <w:rPr>
          <w:b/>
        </w:rPr>
        <w:t>alta persistencia en nivel</w:t>
      </w:r>
      <w:r>
        <w:t xml:space="preserve"> (autocorrelación de rezago 1 = 0.906); (d) </w:t>
      </w:r>
      <w:r>
        <w:rPr>
          <w:b/>
        </w:rPr>
        <w:t>cambios mensuales muy grandes</w:t>
      </w:r>
      <w:r>
        <w:t xml:space="preserve"> (desviación del cambio logarítmico de 26.0 %); y (e) un </w:t>
      </w:r>
      <w:r>
        <w:rPr>
          <w:b/>
        </w:rPr>
        <w:t>cambio de régimen</w:t>
      </w:r>
      <w:r>
        <w:t xml:space="preserve"> hacia precios altos desde nov-2024. No se observó estacionalidad.</w:t>
      </w:r>
    </w:p>
    <w:p>
      <w:pPr>
        <w:keepNext/>
        <w:spacing w:after="20"/>
      </w:pPr>
      <w:r>
        <w:rPr>
          <w:b/>
        </w:rPr>
        <w:t>2. ¿Qué transformación modifica de manera más clara su comportamiento y por qué?</w:t>
      </w:r>
    </w:p>
    <w:p>
      <w:pPr>
        <w:ind w:left="288"/>
      </w:pPr>
      <w:r>
        <w:t xml:space="preserve">El </w:t>
      </w:r>
      <w:r>
        <w:rPr>
          <w:b/>
        </w:rPr>
        <w:t>cambio logarítmico mensual</w:t>
      </w:r>
      <w:r>
        <w:t xml:space="preserve"> (el cambio simple se comporta casi igual, pero es asimétrico y no aditivo). Convierte una serie con tendencia en una que oscila alrededor de cero: la autocorrelación de rezago 1 cae de 0.906 a 0.034 y ADF (orientativa) pasa de p = 0.840 a p &lt; 0.001. Además, expresa los movimientos en términos relativos, comparables entre 2023 y 2026. ln(Y) solo cambia la escala (autocorr. 0.977) y ΔY quita la tendencia pero conserva la heterocedasticidad (1.10 → 20.12 USD).</w:t>
      </w:r>
    </w:p>
    <w:p>
      <w:pPr>
        <w:keepNext/>
        <w:spacing w:after="20"/>
      </w:pPr>
      <w:r>
        <w:rPr>
          <w:b/>
        </w:rPr>
        <w:t>3. ¿Qué revelan ACF y PACF sobre la dependencia temporal?</w:t>
      </w:r>
    </w:p>
    <w:p>
      <w:pPr>
        <w:ind w:left="288"/>
      </w:pPr>
      <w:r>
        <w:t xml:space="preserve">En nivel, la ACF muestra una dependencia fuerte y persistente: 0.885 en el rezago 1, rezagos 1–4 fuera de bandas y decaimiento lento hasta ≈ 0 en el rezago 15. La PACF revela que casi toda esa dependencia es </w:t>
      </w:r>
      <w:r>
        <w:rPr>
          <w:b/>
        </w:rPr>
        <w:t>directa del mes anterior</w:t>
      </w:r>
      <w:r>
        <w:t xml:space="preserve"> (0.885); el efecto de rezagos 2–4 en la ACF es en cadena (PACF en el rezago 2 = -0.017). Esto es típico de una serie que se comporta como una caminata aleatoria: el mejor predictor del precio de un mes es el del mes anterior.</w:t>
      </w:r>
    </w:p>
    <w:p>
      <w:pPr>
        <w:keepNext/>
        <w:spacing w:after="20"/>
      </w:pPr>
      <w:r>
        <w:rPr>
          <w:b/>
        </w:rPr>
        <w:t>4. ¿Cómo cambia esa dependencia al pasar del nivel a la serie transformada?</w:t>
      </w:r>
    </w:p>
    <w:p>
      <w:pPr>
        <w:ind w:left="288"/>
      </w:pPr>
      <w:r>
        <w:t>Desaparece casi por completo: el rezago 1 pasa de 0.885 a 0.034; de 4 barras de ACF y 3 de PACF fuera de bandas se pasa a ninguna; la suma de |ACF| baja de 6.92 a 2.10 (≈ ruido blanco) y Ljung-Box pasa de p &lt; 0.0001 a p = 0.980. La dependencia lineal que quedaba era la de la tendencia, no un comportamiento predecible en los cambios.</w:t>
      </w:r>
    </w:p>
    <w:p>
      <w:pPr>
        <w:keepNext/>
        <w:spacing w:after="20"/>
      </w:pPr>
      <w:r>
        <w:rPr>
          <w:b/>
        </w:rPr>
        <w:t>5. ¿Existen observaciones atípicas, episodios o posibles cambios importantes?</w:t>
      </w:r>
    </w:p>
    <w:p>
      <w:pPr>
        <w:ind w:left="288"/>
      </w:pPr>
      <w:r>
        <w:t xml:space="preserve">Sí. El mes atípico principal es </w:t>
      </w:r>
      <w:r>
        <w:rPr>
          <w:b/>
        </w:rPr>
        <w:t>nov-2024</w:t>
      </w:r>
      <w:r>
        <w:t xml:space="preserve"> (+154.95 % simple; +93.59 % logarítmico; z = 3.39); también destacan may-2026 (+73.9 %), dic-2025 (+65.5 %), nov-2025 (−33.1 %), jun-2026 (−29.2 %) y jul-2026 (−36.1 %). Hay episodios de alzas consecutivas (may–nov-2024 y abr–ago-2025), un posible </w:t>
      </w:r>
      <w:r>
        <w:rPr>
          <w:b/>
        </w:rPr>
        <w:t>cambio de nivel</w:t>
      </w:r>
      <w:r>
        <w:t xml:space="preserve"> tras nov-2024 y regímenes de volatilidad (calma en jul-2024 con 11.1 % y picos de hasta 44.6 % en abr-2025). Los meses extremos coinciden con volúmenes altos, por lo que parecen eventos reales y no errores.</w:t>
      </w:r>
    </w:p>
    <w:p>
      <w:pPr>
        <w:keepNext/>
        <w:spacing w:after="20"/>
      </w:pPr>
      <w:r>
        <w:rPr>
          <w:b/>
        </w:rPr>
        <w:t>6. ¿Qué representación consideran más adecuada para continuar posteriormente con el modelado y por qué?</w:t>
      </w:r>
    </w:p>
    <w:p>
      <w:pPr>
        <w:ind w:left="288"/>
      </w:pPr>
      <w:r>
        <w:t xml:space="preserve">El </w:t>
      </w:r>
      <w:r>
        <w:rPr>
          <w:b/>
        </w:rPr>
        <w:t>cambio logarítmico mensual</w:t>
      </w:r>
      <w:r>
        <w:t>, 100·[ln(Yt) − ln(Yt−1)]: (i) elimina la tendencia sin perder interpretación económica (variación porcentual continua); (ii) su ACF/PACF no muestra dependencia significativa, lo que es apropiado como punto de partida; (iii) es aditivo, así que los pronósticos acumulados se convierten de vuelta a precio con la exponencial; y (iv) hace comparables 2023 y 2026. Dos advertencias para la siguiente etapa: la media mensual (5.47 %) no es distinguible de cero (t ≈ 1.46), así que la predicción de la media será difícil; y como la volatilidad cambia (11.1 %–44.6 %), conviene considerar un modelo de volatilidad condicional. Debe estimarse solo con Train (oct-2022–dic-2025) y evaluarse en Test.</w:t>
      </w:r>
    </w:p>
    <w:p>
      <w:pPr>
        <w:keepNext/>
        <w:spacing w:after="20"/>
      </w:pPr>
      <w:r>
        <w:rPr>
          <w:b/>
        </w:rPr>
        <w:t>7. ¿Cuáles son las principales limitaciones de su diagnóstico?</w:t>
      </w:r>
    </w:p>
    <w:p>
      <w:pPr>
        <w:ind w:left="288"/>
      </w:pPr>
      <w:r>
        <w:t xml:space="preserve">(a) </w:t>
      </w:r>
      <w:r>
        <w:rPr>
          <w:b/>
        </w:rPr>
        <w:t>Muestra corta</w:t>
      </w:r>
      <w:r>
        <w:t xml:space="preserve">: 49 meses (48 cambios); las bandas de confianza son anchas (±0.28 a ±0.83) y los rezagos lejanos se estiman con pocos pares. (b) </w:t>
      </w:r>
      <w:r>
        <w:rPr>
          <w:b/>
        </w:rPr>
        <w:t>20 rezagos evaluados al 5 %</w:t>
      </w:r>
      <w:r>
        <w:t xml:space="preserve">: se espera ≈ 1 barra fuera por azar. (c) El último mes (oct-2026) es </w:t>
      </w:r>
      <w:r>
        <w:rPr>
          <w:b/>
        </w:rPr>
        <w:t>parcial</w:t>
      </w:r>
      <w:r>
        <w:t>. (d) Se usan datos de cierre mensual: se pierde la variación dentro del mes (por ejemplo, jul-2026 abrió en 101.2 y tocó 107.6 y 58.2 USD). (e) El diagnóstico es descriptivo: ADF y Ljung-Box son orientativas, sin pruebas formales de cambio estructural, KPSS ni heterocedasticidad (ARCH). (f) No se investigaron las causas de los episodios atípicos. (g) Train y Test pertenecen a regímenes de precio muy distintos (16.76 vs 81.00 USD) y Test tiene solo 10 meses. (h) El ACF se calculó con toda la muestra con fines de diagnóstico; en el modelado debe calcularse solo con Train. (i) Los resultados describen a RKLB en este periodo y no son generalizables.</w:t>
      </w:r>
    </w:p>
    <w:p>
      <w:pPr>
        <w:pStyle w:val="Heading1"/>
      </w:pPr>
      <w:r>
        <w:t>Fuentes</w:t>
      </w:r>
    </w:p>
    <w:p>
      <w:pPr>
        <w:pStyle w:val="ListBullet"/>
      </w:pPr>
      <w:r>
        <w:rPr>
          <w:b/>
        </w:rPr>
        <w:t>Datos:</w:t>
      </w:r>
      <w:r>
        <w:t xml:space="preserve"> archivo «Datos históricos RKLB» (CSV), precio mensual de Rocket Lab USA, Inc. (Nasdaq: RKLB), oct-2022 a oct-2026, con formato de exportación tipo Investing.com; proporcionado por el equipo; fecha de consulta: 2 de octubre de 2026. Enlace: [completar].</w:t>
      </w:r>
    </w:p>
    <w:p>
      <w:pPr>
        <w:pStyle w:val="ListBullet"/>
      </w:pPr>
      <w:r>
        <w:rPr>
          <w:b/>
        </w:rPr>
        <w:t>Indicaciones y rúbrica:</w:t>
      </w:r>
      <w:r>
        <w:t xml:space="preserve"> «Trabajo Final · Unidad 1 — Diagnóstico y preparación de una serie de tiempo» y Rúbrica de evaluación; Actividad 2 y Actividad 2-Parte II (Google Colab), Series de Tiempo Aplicadas a las Finanzas.</w:t>
      </w:r>
    </w:p>
    <w:p>
      <w:pPr>
        <w:pStyle w:val="ListBullet"/>
      </w:pPr>
      <w:r>
        <w:rPr>
          <w:b/>
        </w:rPr>
        <w:t>Software:</w:t>
      </w:r>
      <w:r>
        <w:t xml:space="preserve"> Python; pandas; NumPy; statsmodels (Seabold, S. y Perktold, J. (2010). </w:t>
      </w:r>
      <w:r>
        <w:rPr>
          <w:i/>
        </w:rPr>
        <w:t>statsmodels: Econometric and statistical modeling with Python</w:t>
      </w:r>
      <w:r>
        <w:t>, Proceedings of the 9th Python in Science Conference); matplotlib; seaborn; python-docx.</w:t>
      </w:r>
    </w:p>
    <w:p>
      <w:pPr>
        <w:pStyle w:val="ListBullet"/>
      </w:pPr>
      <w:r>
        <w:t>No se consultó información externa para explicar los episodios atípicos; la base no permite identificar sus causas.</w:t>
      </w:r>
    </w:p>
    <w:p>
      <w:pPr>
        <w:pStyle w:val="Heading2"/>
      </w:pPr>
      <w:r>
        <w:t>Entregables</w:t>
      </w:r>
    </w:p>
    <w:p>
      <w:pPr>
        <w:pStyle w:val="ListBullet"/>
      </w:pPr>
      <w:r>
        <w:t>RKLB_Trabajo_Final_Unidad1.ipynb: notebook ejecutado, con tablas, gráficas y respuestas.</w:t>
      </w:r>
    </w:p>
    <w:p>
      <w:pPr>
        <w:pStyle w:val="ListBullet"/>
      </w:pPr>
      <w:r>
        <w:t>Reporte_Ejecutivo_RKLB_Unidad1.docx: este reporte.</w:t>
      </w:r>
    </w:p>
    <w:p>
      <w:pPr>
        <w:pStyle w:val="ListBullet"/>
      </w:pPr>
      <w:r>
        <w:t>Datos_historicos_RKLB.csv (original) y RKLB_base_limpia.csv (limpia y ordenada): base de datos utilizada.</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Series de Tiempo Aplicadas a las Finanzas · Trabajo Final Unidad 1 · Rocket Lab (RKLB) · Página </w:t>
    </w:r>
    <w:r>
      <w:rPr>
        <w:color w:val="595959"/>
        <w:sz w:val="17"/>
      </w:rPr>
      <w:fldChar w:fldCharType="begin"/>
    </w:r>
    <w:r>
      <w:rPr>
        <w:color w:val="595959"/>
        <w:sz w:val="17"/>
      </w:rPr>
      <w:instrText xml:space="preserve"> PAGE </w:instrText>
    </w:r>
    <w:r>
      <w:rPr>
        <w:color w:val="595959"/>
        <w:sz w:val="17"/>
      </w:rPr>
      <w:fldChar w:fldCharType="separate"/>
    </w:r>
    <w:r>
      <w:rPr>
        <w:color w:val="595959"/>
        <w:sz w:val="17"/>
      </w:rPr>
      <w:t>1</w:t>
    </w:r>
    <w:r>
      <w:rPr>
        <w:color w:val="595959"/>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