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A9" w:rsidRPr="001155C7" w:rsidRDefault="005D5AA9" w:rsidP="001155C7">
      <w:pPr>
        <w:spacing w:line="240" w:lineRule="auto"/>
      </w:pPr>
      <w:r w:rsidRPr="001155C7">
        <w:rPr>
          <w:b/>
        </w:rPr>
        <w:t>Regresión logística</w:t>
      </w:r>
      <w:r w:rsidR="007F02D0">
        <w:rPr>
          <w:b/>
        </w:rPr>
        <w:t xml:space="preserve"> (Regresión </w:t>
      </w:r>
      <w:proofErr w:type="spellStart"/>
      <w:r w:rsidR="007F02D0">
        <w:rPr>
          <w:b/>
        </w:rPr>
        <w:t>logística.sav</w:t>
      </w:r>
      <w:proofErr w:type="spellEnd"/>
      <w:r w:rsidR="007F02D0">
        <w:rPr>
          <w:b/>
        </w:rPr>
        <w:t>)</w:t>
      </w:r>
      <w:bookmarkStart w:id="0" w:name="_GoBack"/>
      <w:bookmarkEnd w:id="0"/>
      <w:r w:rsidRPr="001155C7">
        <w:br/>
      </w:r>
    </w:p>
    <w:p w:rsidR="00304B42" w:rsidRPr="001155C7" w:rsidRDefault="005D5AA9" w:rsidP="001155C7">
      <w:pPr>
        <w:spacing w:line="240" w:lineRule="auto"/>
      </w:pPr>
      <w:r w:rsidRPr="001155C7">
        <w:t xml:space="preserve">Tomando como punto de partida </w:t>
      </w:r>
      <w:r w:rsidR="00304B42" w:rsidRPr="001155C7">
        <w:t>el creciente aumento en la tasa de suicidio adolescente</w:t>
      </w:r>
      <w:r w:rsidRPr="001155C7">
        <w:t xml:space="preserve">, un grupo de investigadores </w:t>
      </w:r>
      <w:r w:rsidR="00304B42" w:rsidRPr="001155C7">
        <w:t xml:space="preserve">japoneses </w:t>
      </w:r>
      <w:r w:rsidRPr="001155C7">
        <w:t xml:space="preserve">decide investigar las variables psicológicas de riesgo y protección </w:t>
      </w:r>
      <w:r w:rsidR="00304B42" w:rsidRPr="001155C7">
        <w:t>ante el suicidio en adolescentes de 3ro a 5to de secundaria de colegios de varios distritos de la Tokio.</w:t>
      </w:r>
      <w:r w:rsidRPr="001155C7">
        <w:t xml:space="preserve"> </w:t>
      </w:r>
      <w:r w:rsidR="00304B42" w:rsidRPr="001155C7">
        <w:t xml:space="preserve">Los investigadores tenían particular interés en estudiar la probable conexión directa entre la depresión (medida con el Inventario de Depresión de Beck) y el haber tenido al menos algún intento de suicido. </w:t>
      </w:r>
    </w:p>
    <w:p w:rsidR="00304B42" w:rsidRPr="001155C7" w:rsidRDefault="00304B42" w:rsidP="001155C7">
      <w:pPr>
        <w:spacing w:line="240" w:lineRule="auto"/>
      </w:pPr>
      <w:r w:rsidRPr="001155C7">
        <w:t>Utilice</w:t>
      </w:r>
      <w:r w:rsidR="005D5AA9" w:rsidRPr="001155C7">
        <w:t xml:space="preserve"> la variable “</w:t>
      </w:r>
      <w:r w:rsidRPr="001155C7">
        <w:t>Depresión” y determine</w:t>
      </w:r>
      <w:r w:rsidR="005D5AA9" w:rsidRPr="001155C7">
        <w:t xml:space="preserve"> si es que la hipótesis de los investigadores es</w:t>
      </w:r>
      <w:r w:rsidRPr="001155C7">
        <w:t xml:space="preserve"> </w:t>
      </w:r>
      <w:r w:rsidR="005D5AA9" w:rsidRPr="001155C7">
        <w:t xml:space="preserve">estadísticamente probable. </w:t>
      </w:r>
      <w:r w:rsidRPr="001155C7">
        <w:t>Al ser una variable dicotómica,</w:t>
      </w:r>
      <w:r w:rsidR="005D5AA9" w:rsidRPr="001155C7">
        <w:t xml:space="preserve"> los adolescente</w:t>
      </w:r>
      <w:r w:rsidRPr="001155C7">
        <w:t>s</w:t>
      </w:r>
      <w:r w:rsidR="005D5AA9" w:rsidRPr="001155C7">
        <w:t xml:space="preserve"> sólo podían responder si habían</w:t>
      </w:r>
      <w:r w:rsidRPr="001155C7">
        <w:t xml:space="preserve"> intentado suicidarse o no.</w:t>
      </w:r>
      <w:r w:rsidR="005D5AA9" w:rsidRPr="001155C7">
        <w:t xml:space="preserve"> Para aquellos casos en los que la variable dependiente es dicotómica debes utilizar una Regresión</w:t>
      </w:r>
      <w:r w:rsidRPr="001155C7">
        <w:t xml:space="preserve"> </w:t>
      </w:r>
      <w:r w:rsidR="005D5AA9" w:rsidRPr="001155C7">
        <w:t>con un modelo logístico. Estos</w:t>
      </w:r>
      <w:r w:rsidRPr="001155C7">
        <w:t xml:space="preserve"> son los pasos que debes seguir:</w:t>
      </w:r>
    </w:p>
    <w:p w:rsidR="00EC6D9C" w:rsidRPr="001155C7" w:rsidRDefault="005D5AA9" w:rsidP="001155C7">
      <w:pPr>
        <w:pStyle w:val="Prrafodelista"/>
        <w:numPr>
          <w:ilvl w:val="0"/>
          <w:numId w:val="1"/>
        </w:numPr>
        <w:spacing w:line="240" w:lineRule="auto"/>
        <w:rPr>
          <w:rFonts w:cs="Times New Roman"/>
        </w:rPr>
      </w:pPr>
      <w:r w:rsidRPr="001155C7">
        <w:t>Para corroborar el funcionamiento global del model</w:t>
      </w:r>
      <w:r w:rsidR="00304B42" w:rsidRPr="001155C7">
        <w:t xml:space="preserve">o se utiliza la prueba ómnibus. Revisa la significación y </w:t>
      </w:r>
      <w:r w:rsidRPr="001155C7">
        <w:t>evalúa la calidad del modelo.</w:t>
      </w:r>
      <w:r w:rsidRPr="001155C7">
        <w:br/>
      </w:r>
    </w:p>
    <w:p w:rsidR="00E3567E" w:rsidRPr="001155C7" w:rsidRDefault="00E3567E" w:rsidP="001155C7">
      <w:pPr>
        <w:spacing w:after="0" w:line="240" w:lineRule="auto"/>
        <w:ind w:left="60"/>
        <w:rPr>
          <w:rFonts w:cs="Times New Roman"/>
        </w:rPr>
      </w:pPr>
      <w:r w:rsidRPr="001155C7">
        <w:rPr>
          <w:rFonts w:cs="Times New Roman"/>
        </w:rPr>
        <w:t>LOGISTIC REGRESSION VARIABLES Suicidio</w:t>
      </w:r>
    </w:p>
    <w:p w:rsidR="00E3567E" w:rsidRPr="001155C7" w:rsidRDefault="00E3567E" w:rsidP="001155C7">
      <w:pPr>
        <w:spacing w:after="0" w:line="240" w:lineRule="auto"/>
        <w:ind w:left="60"/>
        <w:rPr>
          <w:rFonts w:cs="Times New Roman"/>
        </w:rPr>
      </w:pPr>
      <w:r w:rsidRPr="001155C7">
        <w:rPr>
          <w:rFonts w:cs="Times New Roman"/>
        </w:rPr>
        <w:t xml:space="preserve">  /METHOD=ENTER Depresión </w:t>
      </w:r>
    </w:p>
    <w:p w:rsidR="00E3567E" w:rsidRPr="007F02D0" w:rsidRDefault="00E3567E" w:rsidP="001155C7">
      <w:pPr>
        <w:spacing w:after="0" w:line="240" w:lineRule="auto"/>
        <w:ind w:left="60"/>
        <w:rPr>
          <w:rFonts w:cs="Times New Roman"/>
          <w:lang w:val="en-US"/>
        </w:rPr>
      </w:pPr>
      <w:r w:rsidRPr="007F02D0">
        <w:rPr>
          <w:rFonts w:cs="Times New Roman"/>
          <w:lang w:val="en-US"/>
        </w:rPr>
        <w:t xml:space="preserve">  /CRITERIA=</w:t>
      </w:r>
      <w:proofErr w:type="gramStart"/>
      <w:r w:rsidRPr="007F02D0">
        <w:rPr>
          <w:rFonts w:cs="Times New Roman"/>
          <w:lang w:val="en-US"/>
        </w:rPr>
        <w:t>PIN(</w:t>
      </w:r>
      <w:proofErr w:type="gramEnd"/>
      <w:r w:rsidRPr="007F02D0">
        <w:rPr>
          <w:rFonts w:cs="Times New Roman"/>
          <w:lang w:val="en-US"/>
        </w:rPr>
        <w:t>.05) POUT(.10) ITERATE(20) CUT(.5).</w:t>
      </w:r>
    </w:p>
    <w:p w:rsidR="00E3567E" w:rsidRPr="007F02D0" w:rsidRDefault="00E3567E" w:rsidP="001155C7">
      <w:pPr>
        <w:spacing w:after="0" w:line="240" w:lineRule="auto"/>
        <w:ind w:left="60"/>
        <w:rPr>
          <w:rFonts w:cs="Times New Roman"/>
          <w:lang w:val="en-US"/>
        </w:rPr>
      </w:pPr>
    </w:p>
    <w:tbl>
      <w:tblPr>
        <w:tblW w:w="5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2"/>
        <w:gridCol w:w="887"/>
        <w:gridCol w:w="1408"/>
        <w:gridCol w:w="1009"/>
        <w:gridCol w:w="1009"/>
      </w:tblGrid>
      <w:tr w:rsidR="00EC6D9C" w:rsidRPr="00EC6D9C">
        <w:trPr>
          <w:cantSplit/>
        </w:trPr>
        <w:tc>
          <w:tcPr>
            <w:tcW w:w="51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b/>
                <w:bCs/>
                <w:color w:val="000000"/>
              </w:rPr>
              <w:t xml:space="preserve">Pruebas </w:t>
            </w:r>
            <w:proofErr w:type="spellStart"/>
            <w:r w:rsidRPr="00EC6D9C">
              <w:rPr>
                <w:rFonts w:cs="Arial"/>
                <w:b/>
                <w:bCs/>
                <w:color w:val="000000"/>
              </w:rPr>
              <w:t>omnibus</w:t>
            </w:r>
            <w:proofErr w:type="spellEnd"/>
            <w:r w:rsidRPr="00EC6D9C">
              <w:rPr>
                <w:rFonts w:cs="Arial"/>
                <w:b/>
                <w:bCs/>
                <w:color w:val="000000"/>
              </w:rPr>
              <w:t xml:space="preserve"> sobre los coeficientes del modelo</w:t>
            </w:r>
          </w:p>
        </w:tc>
      </w:tr>
      <w:tr w:rsidR="00EC6D9C" w:rsidRPr="00EC6D9C">
        <w:trPr>
          <w:cantSplit/>
        </w:trPr>
        <w:tc>
          <w:tcPr>
            <w:tcW w:w="175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Chi cuadrado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proofErr w:type="spellStart"/>
            <w:r w:rsidRPr="00EC6D9C">
              <w:rPr>
                <w:rFonts w:cs="Arial"/>
                <w:color w:val="000000"/>
              </w:rPr>
              <w:t>gl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Sig.</w:t>
            </w:r>
          </w:p>
        </w:tc>
      </w:tr>
      <w:tr w:rsidR="00EC6D9C" w:rsidRPr="00EC6D9C">
        <w:trPr>
          <w:cantSplit/>
        </w:trPr>
        <w:tc>
          <w:tcPr>
            <w:tcW w:w="87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Paso 1</w:t>
            </w:r>
          </w:p>
        </w:tc>
        <w:tc>
          <w:tcPr>
            <w:tcW w:w="88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Paso</w:t>
            </w:r>
          </w:p>
        </w:tc>
        <w:tc>
          <w:tcPr>
            <w:tcW w:w="140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8,858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,003</w:t>
            </w:r>
          </w:p>
        </w:tc>
      </w:tr>
      <w:tr w:rsidR="00EC6D9C" w:rsidRPr="00EC6D9C">
        <w:trPr>
          <w:cantSplit/>
        </w:trPr>
        <w:tc>
          <w:tcPr>
            <w:tcW w:w="87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Bloque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8,858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,003</w:t>
            </w:r>
          </w:p>
        </w:tc>
      </w:tr>
      <w:tr w:rsidR="00EC6D9C" w:rsidRPr="00EC6D9C">
        <w:trPr>
          <w:cantSplit/>
        </w:trPr>
        <w:tc>
          <w:tcPr>
            <w:tcW w:w="87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Modelo</w:t>
            </w:r>
          </w:p>
        </w:tc>
        <w:tc>
          <w:tcPr>
            <w:tcW w:w="140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8,858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C6D9C" w:rsidRPr="007F02D0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C6D9C" w:rsidRPr="007F02D0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,003</w:t>
            </w:r>
          </w:p>
        </w:tc>
      </w:tr>
    </w:tbl>
    <w:p w:rsidR="00EC6D9C" w:rsidRPr="00EC6D9C" w:rsidRDefault="00EC6D9C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C6D9C" w:rsidRPr="001155C7" w:rsidRDefault="00EC6D9C" w:rsidP="001155C7">
      <w:pPr>
        <w:spacing w:line="240" w:lineRule="auto"/>
      </w:pPr>
      <w:r w:rsidRPr="001155C7">
        <w:t>La significación es menor a .05 (p = .003). El modelo es, por tanto, significativo.</w:t>
      </w:r>
    </w:p>
    <w:p w:rsidR="00EF2940" w:rsidRPr="001155C7" w:rsidRDefault="00EF2940" w:rsidP="001155C7">
      <w:pPr>
        <w:spacing w:line="240" w:lineRule="auto"/>
      </w:pPr>
      <w:r w:rsidRPr="001155C7">
        <w:t xml:space="preserve">b) La regresión logística tiene una forma de medir ajuste similar a la de la regresión lineal. Sin embargo, en el caso de la regresión logística los estadísticos que miden ajuste son llamados </w:t>
      </w:r>
      <w:proofErr w:type="spellStart"/>
      <w:r w:rsidRPr="001155C7">
        <w:t>Pseudo</w:t>
      </w:r>
      <w:proofErr w:type="spellEnd"/>
      <w:r w:rsidRPr="001155C7">
        <w:t xml:space="preserve"> R2 y no se interpretan exactamente de la misma manera. Para este curso utilizaremos el R cuadrado de </w:t>
      </w:r>
      <w:proofErr w:type="spellStart"/>
      <w:r w:rsidRPr="001155C7">
        <w:t>Nagelkerke</w:t>
      </w:r>
      <w:proofErr w:type="spellEnd"/>
      <w:r w:rsidRPr="001155C7">
        <w:t>. Utilizando los cuadros de “Ajuste del modelo” responde ¿Cuál es el ajuste del Modelo?</w:t>
      </w:r>
    </w:p>
    <w:p w:rsidR="00EC6D9C" w:rsidRPr="00EC6D9C" w:rsidRDefault="00EC6D9C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tbl>
      <w:tblPr>
        <w:tblW w:w="5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468"/>
        <w:gridCol w:w="1468"/>
        <w:gridCol w:w="1468"/>
      </w:tblGrid>
      <w:tr w:rsidR="00EC6D9C" w:rsidRPr="00EC6D9C">
        <w:trPr>
          <w:cantSplit/>
        </w:trPr>
        <w:tc>
          <w:tcPr>
            <w:tcW w:w="5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b/>
                <w:bCs/>
                <w:color w:val="000000"/>
              </w:rPr>
              <w:t>Resumen del modelo</w:t>
            </w:r>
          </w:p>
        </w:tc>
      </w:tr>
      <w:tr w:rsidR="00EC6D9C" w:rsidRPr="00EC6D9C">
        <w:trPr>
          <w:cantSplit/>
        </w:trPr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Paso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-2 log de la verosimilitud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R cuadrado de Cox y Snell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 xml:space="preserve">R cuadrado de </w:t>
            </w:r>
            <w:proofErr w:type="spellStart"/>
            <w:r w:rsidRPr="00EC6D9C">
              <w:rPr>
                <w:rFonts w:cs="Arial"/>
                <w:color w:val="000000"/>
              </w:rPr>
              <w:t>Nagelkerke</w:t>
            </w:r>
            <w:proofErr w:type="spellEnd"/>
          </w:p>
        </w:tc>
      </w:tr>
      <w:tr w:rsidR="00EC6D9C" w:rsidRPr="00EC6D9C">
        <w:trPr>
          <w:cantSplit/>
        </w:trPr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1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220,287</w:t>
            </w:r>
            <w:r w:rsidRPr="00EC6D9C">
              <w:rPr>
                <w:rFonts w:cs="Arial"/>
                <w:color w:val="000000"/>
                <w:vertAlign w:val="superscript"/>
              </w:rPr>
              <w:t>a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C6D9C" w:rsidRPr="007F02D0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,048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C6D9C" w:rsidRPr="007F02D0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,067</w:t>
            </w:r>
          </w:p>
        </w:tc>
      </w:tr>
      <w:tr w:rsidR="00EC6D9C" w:rsidRPr="00EC6D9C">
        <w:trPr>
          <w:cantSplit/>
        </w:trPr>
        <w:tc>
          <w:tcPr>
            <w:tcW w:w="5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C6D9C" w:rsidRPr="00EC6D9C" w:rsidRDefault="00EC6D9C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EC6D9C">
              <w:rPr>
                <w:rFonts w:cs="Arial"/>
                <w:color w:val="000000"/>
              </w:rPr>
              <w:t>a. La estimación ha finalizado en el número de iteración 4 porque las estimaciones de los parámetros han cambiado en menos de ,001.</w:t>
            </w:r>
          </w:p>
        </w:tc>
      </w:tr>
    </w:tbl>
    <w:p w:rsidR="00EC6D9C" w:rsidRPr="001155C7" w:rsidRDefault="00EC6D9C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C6D9C" w:rsidRPr="00EC6D9C" w:rsidRDefault="00EC6D9C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155C7">
        <w:rPr>
          <w:rFonts w:cs="Times New Roman"/>
        </w:rPr>
        <w:t>Asimismo, podemos concluir que hay una verosimilitud de 6,7% en este modelo en comparación con un modelo en el que no se postula ninguna VI como asociada a la tentativa de suicidio.</w:t>
      </w:r>
      <w:r w:rsidR="00EF2940" w:rsidRPr="001155C7">
        <w:rPr>
          <w:rFonts w:cs="Times New Roman"/>
        </w:rPr>
        <w:t xml:space="preserve"> El modelo es prácticamente irrelevante.</w:t>
      </w:r>
    </w:p>
    <w:p w:rsidR="00256F07" w:rsidRPr="001155C7" w:rsidRDefault="005D5AA9" w:rsidP="001155C7">
      <w:pPr>
        <w:spacing w:line="240" w:lineRule="auto"/>
      </w:pPr>
      <w:r w:rsidRPr="001155C7">
        <w:br/>
        <w:t xml:space="preserve">c) Recuerda que una de las funciones de la Regresión es predecir. Extrae la Tabla de </w:t>
      </w:r>
      <w:r w:rsidRPr="001155C7">
        <w:lastRenderedPageBreak/>
        <w:t>clasificación (o Matriz de</w:t>
      </w:r>
      <w:r w:rsidR="00EF2940" w:rsidRPr="001155C7">
        <w:t xml:space="preserve"> </w:t>
      </w:r>
      <w:r w:rsidRPr="001155C7">
        <w:t>confusión) y determina qué tan adecuado es el pronóstico resultado del modelo ¿Qué se pronostica mejor?</w:t>
      </w:r>
      <w:r w:rsidR="00EF2940" w:rsidRPr="001155C7">
        <w:t xml:space="preserve"> </w:t>
      </w:r>
      <w:r w:rsidRPr="001155C7">
        <w:t>¿</w:t>
      </w:r>
      <w:r w:rsidR="00EF2940" w:rsidRPr="001155C7">
        <w:t>La presencia o ausencia de tentativa de suicidio</w:t>
      </w:r>
      <w:r w:rsidRPr="001155C7">
        <w:t>?</w:t>
      </w:r>
    </w:p>
    <w:p w:rsidR="00256F07" w:rsidRPr="00256F07" w:rsidRDefault="00256F07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tbl>
      <w:tblPr>
        <w:tblW w:w="77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2"/>
        <w:gridCol w:w="2280"/>
        <w:gridCol w:w="871"/>
        <w:gridCol w:w="1147"/>
        <w:gridCol w:w="1147"/>
        <w:gridCol w:w="1469"/>
      </w:tblGrid>
      <w:tr w:rsidR="00256F07" w:rsidRPr="00256F07">
        <w:trPr>
          <w:cantSplit/>
        </w:trPr>
        <w:tc>
          <w:tcPr>
            <w:tcW w:w="77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b/>
                <w:bCs/>
                <w:color w:val="000000"/>
              </w:rPr>
              <w:t xml:space="preserve">Tabla de </w:t>
            </w:r>
            <w:proofErr w:type="spellStart"/>
            <w:r w:rsidRPr="00256F07">
              <w:rPr>
                <w:rFonts w:cs="Arial"/>
                <w:b/>
                <w:bCs/>
                <w:color w:val="000000"/>
              </w:rPr>
              <w:t>clasificación</w:t>
            </w:r>
            <w:r w:rsidRPr="00256F07">
              <w:rPr>
                <w:rFonts w:cs="Arial"/>
                <w:b/>
                <w:bCs/>
                <w:color w:val="000000"/>
                <w:vertAlign w:val="superscript"/>
              </w:rPr>
              <w:t>a</w:t>
            </w:r>
            <w:proofErr w:type="spellEnd"/>
          </w:p>
        </w:tc>
      </w:tr>
      <w:tr w:rsidR="00256F07" w:rsidRPr="00256F07">
        <w:trPr>
          <w:cantSplit/>
        </w:trPr>
        <w:tc>
          <w:tcPr>
            <w:tcW w:w="871" w:type="dxa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150" w:type="dxa"/>
            <w:gridSpan w:val="2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Observado</w:t>
            </w:r>
          </w:p>
        </w:tc>
        <w:tc>
          <w:tcPr>
            <w:tcW w:w="376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Pronosticado</w:t>
            </w:r>
          </w:p>
        </w:tc>
      </w:tr>
      <w:tr w:rsidR="00256F07" w:rsidRPr="00256F07">
        <w:trPr>
          <w:cantSplit/>
        </w:trPr>
        <w:tc>
          <w:tcPr>
            <w:tcW w:w="871" w:type="dxa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150" w:type="dxa"/>
            <w:gridSpan w:val="2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294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Ha intentado suicidarse</w:t>
            </w:r>
          </w:p>
        </w:tc>
        <w:tc>
          <w:tcPr>
            <w:tcW w:w="1468" w:type="dxa"/>
            <w:vMerge w:val="restart"/>
            <w:tcBorders>
              <w:right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Porcentaje correcto</w:t>
            </w:r>
          </w:p>
        </w:tc>
      </w:tr>
      <w:tr w:rsidR="00256F07" w:rsidRPr="00256F07">
        <w:trPr>
          <w:cantSplit/>
        </w:trPr>
        <w:tc>
          <w:tcPr>
            <w:tcW w:w="871" w:type="dxa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150" w:type="dxa"/>
            <w:gridSpan w:val="2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11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No</w:t>
            </w:r>
          </w:p>
        </w:tc>
        <w:tc>
          <w:tcPr>
            <w:tcW w:w="1147" w:type="dxa"/>
            <w:tcBorders>
              <w:bottom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Si</w:t>
            </w:r>
          </w:p>
        </w:tc>
        <w:tc>
          <w:tcPr>
            <w:tcW w:w="1468" w:type="dxa"/>
            <w:vMerge/>
            <w:tcBorders>
              <w:right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  <w:tr w:rsidR="00256F07" w:rsidRPr="00256F07">
        <w:trPr>
          <w:cantSplit/>
        </w:trPr>
        <w:tc>
          <w:tcPr>
            <w:tcW w:w="87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Paso 1</w:t>
            </w:r>
          </w:p>
        </w:tc>
        <w:tc>
          <w:tcPr>
            <w:tcW w:w="227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Ha intentado suicidarse</w:t>
            </w:r>
          </w:p>
        </w:tc>
        <w:tc>
          <w:tcPr>
            <w:tcW w:w="8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No</w:t>
            </w:r>
          </w:p>
        </w:tc>
        <w:tc>
          <w:tcPr>
            <w:tcW w:w="11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108</w:t>
            </w:r>
          </w:p>
        </w:tc>
        <w:tc>
          <w:tcPr>
            <w:tcW w:w="114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12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56F07" w:rsidRPr="007F02D0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90,0</w:t>
            </w:r>
          </w:p>
        </w:tc>
      </w:tr>
      <w:tr w:rsidR="00256F07" w:rsidRPr="00256F07">
        <w:trPr>
          <w:cantSplit/>
        </w:trPr>
        <w:tc>
          <w:tcPr>
            <w:tcW w:w="87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227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Si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55</w:t>
            </w:r>
          </w:p>
        </w:tc>
        <w:tc>
          <w:tcPr>
            <w:tcW w:w="1147" w:type="dxa"/>
            <w:tcBorders>
              <w:top w:val="nil"/>
              <w:bottom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256F07" w:rsidRPr="007F02D0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8,3</w:t>
            </w:r>
          </w:p>
        </w:tc>
      </w:tr>
      <w:tr w:rsidR="00256F07" w:rsidRPr="00256F07">
        <w:trPr>
          <w:cantSplit/>
        </w:trPr>
        <w:tc>
          <w:tcPr>
            <w:tcW w:w="87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Porcentaje global</w:t>
            </w:r>
          </w:p>
        </w:tc>
        <w:tc>
          <w:tcPr>
            <w:tcW w:w="11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14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56F07" w:rsidRPr="007F02D0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62,8</w:t>
            </w:r>
          </w:p>
        </w:tc>
      </w:tr>
      <w:tr w:rsidR="00256F07" w:rsidRPr="00256F07">
        <w:trPr>
          <w:cantSplit/>
        </w:trPr>
        <w:tc>
          <w:tcPr>
            <w:tcW w:w="77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F07" w:rsidRPr="00256F07" w:rsidRDefault="00256F07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56F07">
              <w:rPr>
                <w:rFonts w:cs="Arial"/>
                <w:color w:val="000000"/>
              </w:rPr>
              <w:t>a. El valor de corte es ,500</w:t>
            </w:r>
          </w:p>
        </w:tc>
      </w:tr>
    </w:tbl>
    <w:p w:rsidR="00256F07" w:rsidRPr="00256F07" w:rsidRDefault="00256F07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01E9B" w:rsidRPr="001155C7" w:rsidRDefault="00201E9B" w:rsidP="001155C7">
      <w:pPr>
        <w:spacing w:line="240" w:lineRule="auto"/>
      </w:pPr>
      <w:r w:rsidRPr="001155C7">
        <w:t>Se concluye que el modelo clasifica bien el 90% de los casos en los que no hubo intento de suicidio y sólo el 8,3% de casos donde sí hubo. E</w:t>
      </w:r>
      <w:r w:rsidR="00695291" w:rsidRPr="001155C7">
        <w:t xml:space="preserve">l modelo no es del todo adecuado, al no predecir adecuadamente a los que sí han tenido al menos un intento de suicidio. </w:t>
      </w:r>
    </w:p>
    <w:p w:rsidR="00201E9B" w:rsidRPr="001155C7" w:rsidRDefault="005D5AA9" w:rsidP="001155C7">
      <w:pPr>
        <w:spacing w:line="240" w:lineRule="auto"/>
      </w:pPr>
      <w:r w:rsidRPr="001155C7">
        <w:br/>
        <w:t>d) Para evaluar el “sentido” de cada una de las variables del modelo revisa el Beta y su sig</w:t>
      </w:r>
      <w:r w:rsidR="00201E9B" w:rsidRPr="001155C7">
        <w:t xml:space="preserve">nificación en el cuadro </w:t>
      </w:r>
      <w:r w:rsidRPr="001155C7">
        <w:t xml:space="preserve">de </w:t>
      </w:r>
      <w:r w:rsidR="00201E9B" w:rsidRPr="001155C7">
        <w:t>v</w:t>
      </w:r>
      <w:r w:rsidRPr="001155C7">
        <w:t>ariables en la ecuación ¿Es significativa la variable identificada? ¿La relación es directa o inversa?</w:t>
      </w:r>
    </w:p>
    <w:p w:rsidR="00201E9B" w:rsidRPr="00201E9B" w:rsidRDefault="00201E9B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tbl>
      <w:tblPr>
        <w:tblW w:w="8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162"/>
        <w:gridCol w:w="1009"/>
        <w:gridCol w:w="1010"/>
        <w:gridCol w:w="1010"/>
        <w:gridCol w:w="1010"/>
        <w:gridCol w:w="1010"/>
        <w:gridCol w:w="1010"/>
      </w:tblGrid>
      <w:tr w:rsidR="00201E9B" w:rsidRPr="00201E9B">
        <w:trPr>
          <w:cantSplit/>
        </w:trPr>
        <w:tc>
          <w:tcPr>
            <w:tcW w:w="81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b/>
                <w:bCs/>
                <w:color w:val="000000"/>
              </w:rPr>
              <w:t>Variables en la ecuación</w:t>
            </w:r>
          </w:p>
        </w:tc>
      </w:tr>
      <w:tr w:rsidR="00201E9B" w:rsidRPr="00201E9B">
        <w:trPr>
          <w:cantSplit/>
        </w:trPr>
        <w:tc>
          <w:tcPr>
            <w:tcW w:w="21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B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E.T.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proofErr w:type="spellStart"/>
            <w:r w:rsidRPr="00201E9B">
              <w:rPr>
                <w:rFonts w:cs="Arial"/>
                <w:color w:val="000000"/>
              </w:rPr>
              <w:t>Wald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proofErr w:type="spellStart"/>
            <w:r w:rsidRPr="00201E9B">
              <w:rPr>
                <w:rFonts w:cs="Arial"/>
                <w:color w:val="000000"/>
              </w:rPr>
              <w:t>gl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Sig.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proofErr w:type="spellStart"/>
            <w:r w:rsidRPr="00201E9B">
              <w:rPr>
                <w:rFonts w:cs="Arial"/>
                <w:color w:val="000000"/>
              </w:rPr>
              <w:t>Exp</w:t>
            </w:r>
            <w:proofErr w:type="spellEnd"/>
            <w:r w:rsidRPr="00201E9B">
              <w:rPr>
                <w:rFonts w:cs="Arial"/>
                <w:color w:val="000000"/>
              </w:rPr>
              <w:t>(B)</w:t>
            </w:r>
          </w:p>
        </w:tc>
      </w:tr>
      <w:tr w:rsidR="00201E9B" w:rsidRPr="00201E9B">
        <w:trPr>
          <w:cantSplit/>
        </w:trPr>
        <w:tc>
          <w:tcPr>
            <w:tcW w:w="96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Paso 1</w:t>
            </w:r>
            <w:r w:rsidRPr="00201E9B">
              <w:rPr>
                <w:rFonts w:cs="Arial"/>
                <w:color w:val="000000"/>
                <w:vertAlign w:val="superscript"/>
              </w:rPr>
              <w:t>a</w:t>
            </w:r>
          </w:p>
        </w:tc>
        <w:tc>
          <w:tcPr>
            <w:tcW w:w="116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Depresión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201E9B" w:rsidRPr="007F02D0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-,040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01E9B" w:rsidRPr="007F02D0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,014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01E9B" w:rsidRPr="007F02D0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8,504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01E9B" w:rsidRPr="007F02D0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01E9B" w:rsidRPr="007F02D0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,004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01E9B" w:rsidRPr="007F02D0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7F02D0">
              <w:rPr>
                <w:rFonts w:cs="Arial"/>
                <w:color w:val="000000"/>
              </w:rPr>
              <w:t>,961</w:t>
            </w:r>
          </w:p>
        </w:tc>
      </w:tr>
      <w:tr w:rsidR="00201E9B" w:rsidRPr="00201E9B">
        <w:trPr>
          <w:cantSplit/>
        </w:trPr>
        <w:tc>
          <w:tcPr>
            <w:tcW w:w="96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Constante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1,279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,686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3,475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,062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3,593</w:t>
            </w:r>
          </w:p>
        </w:tc>
      </w:tr>
      <w:tr w:rsidR="00201E9B" w:rsidRPr="00201E9B">
        <w:trPr>
          <w:cantSplit/>
        </w:trPr>
        <w:tc>
          <w:tcPr>
            <w:tcW w:w="81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E9B" w:rsidRPr="00201E9B" w:rsidRDefault="00201E9B" w:rsidP="001155C7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="Arial"/>
                <w:color w:val="000000"/>
              </w:rPr>
            </w:pPr>
            <w:r w:rsidRPr="00201E9B">
              <w:rPr>
                <w:rFonts w:cs="Arial"/>
                <w:color w:val="000000"/>
              </w:rPr>
              <w:t>a. Variable(s) introducida(s) en el paso 1: Depresión.</w:t>
            </w:r>
          </w:p>
        </w:tc>
      </w:tr>
    </w:tbl>
    <w:p w:rsidR="00201E9B" w:rsidRPr="001155C7" w:rsidRDefault="00201E9B" w:rsidP="001155C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01E9B" w:rsidRPr="001155C7" w:rsidRDefault="00201E9B" w:rsidP="001155C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 w:rsidRPr="001155C7">
        <w:rPr>
          <w:rFonts w:cs="Times New Roman"/>
        </w:rPr>
        <w:t xml:space="preserve">Depresión tiene B1 = </w:t>
      </w:r>
      <w:r w:rsidRPr="00201E9B">
        <w:rPr>
          <w:rFonts w:cs="Arial"/>
          <w:color w:val="000000"/>
        </w:rPr>
        <w:t>-,040</w:t>
      </w:r>
      <w:r w:rsidRPr="001155C7">
        <w:rPr>
          <w:rFonts w:cs="Arial"/>
          <w:color w:val="000000"/>
        </w:rPr>
        <w:t>. Es decir, a mayor depresión, menor probabilidad de haber intentado suicidarse.</w:t>
      </w:r>
    </w:p>
    <w:p w:rsidR="00084510" w:rsidRPr="001155C7" w:rsidRDefault="005D5AA9" w:rsidP="001155C7">
      <w:pPr>
        <w:spacing w:line="240" w:lineRule="auto"/>
      </w:pPr>
      <w:r w:rsidRPr="001155C7">
        <w:t xml:space="preserve">e) Finalmente, para evaluar la importancia relativa de la(s) variables significativas utilizarás </w:t>
      </w:r>
      <w:proofErr w:type="spellStart"/>
      <w:proofErr w:type="gramStart"/>
      <w:r w:rsidRPr="001155C7">
        <w:t>Exp</w:t>
      </w:r>
      <w:proofErr w:type="spellEnd"/>
      <w:r w:rsidRPr="001155C7">
        <w:t>(</w:t>
      </w:r>
      <w:proofErr w:type="gramEnd"/>
      <w:r w:rsidRPr="001155C7">
        <w:t>B). Este</w:t>
      </w:r>
      <w:r w:rsidR="00E3567E" w:rsidRPr="001155C7">
        <w:t xml:space="preserve"> </w:t>
      </w:r>
      <w:r w:rsidRPr="001155C7">
        <w:t>indicador se interpreta de la siguiente manera:</w:t>
      </w:r>
      <w:r w:rsidR="00E3567E" w:rsidRPr="001155C7">
        <w:t xml:space="preserve"> </w:t>
      </w:r>
      <w:r w:rsidRPr="001155C7">
        <w:t>Por cada punto adicional en la variable “</w:t>
      </w:r>
      <w:r w:rsidR="00E3567E" w:rsidRPr="001155C7">
        <w:t>Depresión</w:t>
      </w:r>
      <w:r w:rsidRPr="001155C7">
        <w:t xml:space="preserve">” la nueva probabilidad de </w:t>
      </w:r>
      <w:r w:rsidR="00E3567E" w:rsidRPr="001155C7">
        <w:t>haber intentado suicidarse</w:t>
      </w:r>
      <w:r w:rsidRPr="001155C7">
        <w:t xml:space="preserve"> (Recuerda que la variable interés es dicotómica, donde 1=No y 2=Si) es igual a </w:t>
      </w:r>
      <w:proofErr w:type="spellStart"/>
      <w:proofErr w:type="gramStart"/>
      <w:r w:rsidRPr="001155C7">
        <w:t>Exp</w:t>
      </w:r>
      <w:proofErr w:type="spellEnd"/>
      <w:r w:rsidRPr="001155C7">
        <w:t>(</w:t>
      </w:r>
      <w:proofErr w:type="gramEnd"/>
      <w:r w:rsidRPr="001155C7">
        <w:t>B) veces más</w:t>
      </w:r>
      <w:r w:rsidR="00E3567E" w:rsidRPr="001155C7">
        <w:t xml:space="preserve"> </w:t>
      </w:r>
      <w:r w:rsidRPr="001155C7">
        <w:t xml:space="preserve">que la anterior ¿Cuál es el puntaje </w:t>
      </w:r>
      <w:proofErr w:type="spellStart"/>
      <w:r w:rsidRPr="001155C7">
        <w:t>Exp</w:t>
      </w:r>
      <w:proofErr w:type="spellEnd"/>
      <w:r w:rsidRPr="001155C7">
        <w:t xml:space="preserve"> (B) en nuestro caso?</w:t>
      </w:r>
    </w:p>
    <w:p w:rsidR="00E3567E" w:rsidRPr="001155C7" w:rsidRDefault="00E3567E" w:rsidP="001155C7">
      <w:pPr>
        <w:spacing w:line="240" w:lineRule="auto"/>
      </w:pPr>
      <w:r w:rsidRPr="001155C7">
        <w:t>En nuestro caso, por cada punto adicional en la variable depresión, la nueva probabilidad de haber intentado suicidarse es de .961.</w:t>
      </w:r>
    </w:p>
    <w:sectPr w:rsidR="00E3567E" w:rsidRPr="0011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145" w:rsidRDefault="000B6145" w:rsidP="003D7950">
      <w:pPr>
        <w:spacing w:after="0" w:line="240" w:lineRule="auto"/>
      </w:pPr>
      <w:r>
        <w:separator/>
      </w:r>
    </w:p>
  </w:endnote>
  <w:endnote w:type="continuationSeparator" w:id="0">
    <w:p w:rsidR="000B6145" w:rsidRDefault="000B6145" w:rsidP="003D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145" w:rsidRDefault="000B6145" w:rsidP="003D7950">
      <w:pPr>
        <w:spacing w:after="0" w:line="240" w:lineRule="auto"/>
      </w:pPr>
      <w:r>
        <w:separator/>
      </w:r>
    </w:p>
  </w:footnote>
  <w:footnote w:type="continuationSeparator" w:id="0">
    <w:p w:rsidR="000B6145" w:rsidRDefault="000B6145" w:rsidP="003D7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4364E"/>
    <w:multiLevelType w:val="hybridMultilevel"/>
    <w:tmpl w:val="C1F8D4AA"/>
    <w:lvl w:ilvl="0" w:tplc="01BC0914">
      <w:start w:val="1"/>
      <w:numFmt w:val="lowerLetter"/>
      <w:lvlText w:val="%1)"/>
      <w:lvlJc w:val="left"/>
      <w:pPr>
        <w:ind w:left="420" w:hanging="360"/>
      </w:pPr>
      <w:rPr>
        <w:rFonts w:asciiTheme="minorHAnsi" w:hAnsiTheme="minorHAnsi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B5"/>
    <w:rsid w:val="00010912"/>
    <w:rsid w:val="00084510"/>
    <w:rsid w:val="000B6145"/>
    <w:rsid w:val="001155C7"/>
    <w:rsid w:val="00201E9B"/>
    <w:rsid w:val="002238B5"/>
    <w:rsid w:val="00256F07"/>
    <w:rsid w:val="00304B42"/>
    <w:rsid w:val="003D7950"/>
    <w:rsid w:val="005D5AA9"/>
    <w:rsid w:val="00695291"/>
    <w:rsid w:val="007F02D0"/>
    <w:rsid w:val="00E3567E"/>
    <w:rsid w:val="00EC6D9C"/>
    <w:rsid w:val="00E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D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79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950"/>
  </w:style>
  <w:style w:type="paragraph" w:styleId="Piedepgina">
    <w:name w:val="footer"/>
    <w:basedOn w:val="Normal"/>
    <w:link w:val="PiedepginaCar"/>
    <w:uiPriority w:val="99"/>
    <w:unhideWhenUsed/>
    <w:rsid w:val="003D79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9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D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79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950"/>
  </w:style>
  <w:style w:type="paragraph" w:styleId="Piedepgina">
    <w:name w:val="footer"/>
    <w:basedOn w:val="Normal"/>
    <w:link w:val="PiedepginaCar"/>
    <w:uiPriority w:val="99"/>
    <w:unhideWhenUsed/>
    <w:rsid w:val="003D79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Darcourt Márquez</dc:creator>
  <cp:keywords/>
  <dc:description/>
  <cp:lastModifiedBy>Aulas Psicología</cp:lastModifiedBy>
  <cp:revision>8</cp:revision>
  <dcterms:created xsi:type="dcterms:W3CDTF">2015-10-18T22:25:00Z</dcterms:created>
  <dcterms:modified xsi:type="dcterms:W3CDTF">2015-10-29T17:25:00Z</dcterms:modified>
</cp:coreProperties>
</file>