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C6EC" w14:textId="77777777" w:rsidR="004B5540" w:rsidRDefault="00000000">
      <w:pPr>
        <w:spacing w:after="20"/>
      </w:pPr>
      <w:r>
        <w:rPr>
          <w:b/>
          <w:bCs/>
          <w:color w:val="253D4A"/>
          <w:sz w:val="30"/>
          <w:szCs w:val="30"/>
        </w:rPr>
        <w:t>NOTA TÉCNICA DE ALINHAMENTO ESTRATÉGICO</w:t>
      </w:r>
    </w:p>
    <w:p w14:paraId="470EFC23" w14:textId="77777777" w:rsidR="004B5540" w:rsidRDefault="00000000">
      <w:pPr>
        <w:spacing w:after="60"/>
      </w:pPr>
      <w:r>
        <w:rPr>
          <w:i/>
          <w:iCs/>
          <w:color w:val="20808D"/>
          <w:sz w:val="20"/>
          <w:szCs w:val="20"/>
        </w:rPr>
        <w:t>Análise Cruzada — Parecer sobre Emissão de Carteira Estudantil (Acre) e Compliance Contratual</w:t>
      </w:r>
    </w:p>
    <w:p w14:paraId="24EBB198" w14:textId="77777777" w:rsidR="004B5540" w:rsidRDefault="004B5540">
      <w:pPr>
        <w:pBdr>
          <w:bottom w:val="single" w:sz="1" w:space="0" w:color="B0B0B0"/>
        </w:pBdr>
        <w:spacing w:before="120" w:after="120"/>
      </w:pPr>
    </w:p>
    <w:p w14:paraId="0108D6C2" w14:textId="77777777" w:rsidR="004B5540" w:rsidRDefault="00000000">
      <w:pPr>
        <w:spacing w:after="40" w:line="276" w:lineRule="auto"/>
      </w:pPr>
      <w:r>
        <w:rPr>
          <w:b/>
          <w:bCs/>
          <w:color w:val="335980"/>
        </w:rPr>
        <w:t xml:space="preserve">De: </w:t>
      </w:r>
      <w:r>
        <w:rPr>
          <w:color w:val="333333"/>
        </w:rPr>
        <w:t>Consultoria Estratégica e Governança</w:t>
      </w:r>
    </w:p>
    <w:p w14:paraId="4B238F57" w14:textId="123462A5" w:rsidR="004B5540" w:rsidRDefault="00000000">
      <w:pPr>
        <w:spacing w:after="40" w:line="276" w:lineRule="auto"/>
      </w:pPr>
      <w:r>
        <w:rPr>
          <w:b/>
          <w:bCs/>
          <w:color w:val="335980"/>
        </w:rPr>
        <w:t xml:space="preserve">Para: </w:t>
      </w:r>
      <w:r>
        <w:rPr>
          <w:color w:val="333333"/>
        </w:rPr>
        <w:t xml:space="preserve">Assessoria Jurídica Dra. </w:t>
      </w:r>
      <w:r w:rsidR="001650AA">
        <w:rPr>
          <w:color w:val="333333"/>
        </w:rPr>
        <w:t>Rayssa Lira</w:t>
      </w:r>
    </w:p>
    <w:p w14:paraId="2E3EE5A8" w14:textId="77777777" w:rsidR="004B5540" w:rsidRDefault="00000000">
      <w:pPr>
        <w:spacing w:after="40" w:line="276" w:lineRule="auto"/>
      </w:pPr>
      <w:r>
        <w:rPr>
          <w:b/>
          <w:bCs/>
          <w:color w:val="335980"/>
        </w:rPr>
        <w:t xml:space="preserve">Ref.: </w:t>
      </w:r>
      <w:r>
        <w:rPr>
          <w:color w:val="333333"/>
        </w:rPr>
        <w:t>Análise Cruzada — Parecer sobre Emissão de Carteira Estudantil (Acre) e Compliance Contratual</w:t>
      </w:r>
    </w:p>
    <w:p w14:paraId="3DFD364C" w14:textId="77777777" w:rsidR="004B5540" w:rsidRDefault="00000000">
      <w:pPr>
        <w:spacing w:after="40" w:line="276" w:lineRule="auto"/>
      </w:pPr>
      <w:r>
        <w:rPr>
          <w:b/>
          <w:bCs/>
          <w:color w:val="335980"/>
        </w:rPr>
        <w:t xml:space="preserve">Data: </w:t>
      </w:r>
      <w:r>
        <w:rPr>
          <w:color w:val="333333"/>
        </w:rPr>
        <w:t>26 de março de 2026</w:t>
      </w:r>
    </w:p>
    <w:p w14:paraId="3618DA66" w14:textId="77777777" w:rsidR="004B5540" w:rsidRDefault="004B5540">
      <w:pPr>
        <w:pBdr>
          <w:bottom w:val="single" w:sz="1" w:space="0" w:color="B0B0B0"/>
        </w:pBdr>
        <w:spacing w:before="120" w:after="120"/>
      </w:pPr>
    </w:p>
    <w:p w14:paraId="727F5E42" w14:textId="6ACCC2AF" w:rsidR="004B5540" w:rsidRDefault="00000000">
      <w:pPr>
        <w:spacing w:before="120" w:after="160" w:line="276" w:lineRule="auto"/>
        <w:jc w:val="both"/>
      </w:pPr>
      <w:r>
        <w:rPr>
          <w:color w:val="333333"/>
        </w:rPr>
        <w:t xml:space="preserve">Prezada Dra. </w:t>
      </w:r>
      <w:r w:rsidR="00B15737">
        <w:rPr>
          <w:color w:val="333333"/>
        </w:rPr>
        <w:t>Rayssa</w:t>
      </w:r>
    </w:p>
    <w:p w14:paraId="1B4FF6B3" w14:textId="77777777" w:rsidR="004B5540" w:rsidRDefault="00000000">
      <w:pPr>
        <w:spacing w:after="120" w:line="276" w:lineRule="auto"/>
        <w:jc w:val="both"/>
      </w:pPr>
      <w:r>
        <w:rPr>
          <w:color w:val="333333"/>
        </w:rPr>
        <w:t xml:space="preserve">Gostaria de agradecer </w:t>
      </w:r>
      <w:proofErr w:type="gramStart"/>
      <w:r>
        <w:rPr>
          <w:color w:val="333333"/>
        </w:rPr>
        <w:t>pelo</w:t>
      </w:r>
      <w:proofErr w:type="gramEnd"/>
      <w:r>
        <w:rPr>
          <w:color w:val="333333"/>
        </w:rPr>
        <w:t xml:space="preserve"> excelente e célere levantamento jurisprudencial apresentado no seu parecer. A sua leitura sobre a ADI 5.108 do STF é irretocável no que tange à quebra do monopólio da UNE e UBES, demonstrando um acompanhamento afiado das decisões das cortes superiores.</w:t>
      </w:r>
    </w:p>
    <w:p w14:paraId="65B7FA15" w14:textId="77777777" w:rsidR="004B5540" w:rsidRDefault="00000000">
      <w:pPr>
        <w:spacing w:after="120" w:line="276" w:lineRule="auto"/>
        <w:jc w:val="both"/>
      </w:pPr>
      <w:r>
        <w:rPr>
          <w:color w:val="333333"/>
        </w:rPr>
        <w:t>Como atuo na interface entre a estruturação jurídica e a execução financeira/contratual do Instituto, cruzei o seu parecer com as exigências do Termo de Fomento/Convênio e com o nosso enquadramento estatutário (CNAE). Trago aqui algumas variáveis operacionais para alinharmos a melhor estratégia de mitigação de risco para a Diretoria:</w:t>
      </w:r>
    </w:p>
    <w:p w14:paraId="5E01D54A" w14:textId="77777777" w:rsidR="004B5540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1. A Natureza Estatutária</w:t>
      </w:r>
    </w:p>
    <w:p w14:paraId="076053AC" w14:textId="77777777" w:rsidR="004B5540" w:rsidRDefault="00000000">
      <w:pPr>
        <w:spacing w:after="100" w:line="276" w:lineRule="auto"/>
      </w:pPr>
      <w:r>
        <w:rPr>
          <w:i/>
          <w:iCs/>
          <w:color w:val="7A7974"/>
          <w:sz w:val="20"/>
          <w:szCs w:val="20"/>
        </w:rPr>
        <w:t>A diferença entre OSC e Entidade Estudantil</w:t>
      </w:r>
    </w:p>
    <w:p w14:paraId="1576B485" w14:textId="77777777" w:rsidR="004B5540" w:rsidRDefault="00000000">
      <w:pPr>
        <w:spacing w:after="120" w:line="276" w:lineRule="auto"/>
        <w:jc w:val="both"/>
      </w:pPr>
      <w:r>
        <w:rPr>
          <w:color w:val="333333"/>
        </w:rPr>
        <w:t>Embora o STF tenha democratizado a emissão, ele o fez para outras entidades de representação estudantil (DCEs, Grêmios, Associações de Alunos). O nosso Instituto atua como uma Organização da Sociedade Civil (OSC) executora de projetos. Como não possuímos natureza jurídica de representação estudantil, emitir um documento com força de Lei 12.933/2013 sem o certificado padrão ICP-Brasil (ITI) pode atrair interpretações punitivas de órgãos locais (Procon-AC e MPAC) por desvio de finalidade ou propaganda enganosa, caso um beneficiário tenha a meia-entrada negada na porta de um evento.</w:t>
      </w:r>
    </w:p>
    <w:p w14:paraId="05F80D4A" w14:textId="77777777" w:rsidR="004B5540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2. O Escopo Estrito do Convênio</w:t>
      </w:r>
    </w:p>
    <w:p w14:paraId="1822817D" w14:textId="77777777" w:rsidR="004B5540" w:rsidRDefault="00000000">
      <w:pPr>
        <w:spacing w:after="100" w:line="276" w:lineRule="auto"/>
      </w:pPr>
      <w:r>
        <w:rPr>
          <w:i/>
          <w:iCs/>
          <w:color w:val="7A7974"/>
          <w:sz w:val="20"/>
          <w:szCs w:val="20"/>
        </w:rPr>
        <w:t>Direito Administrativo vs. Consumidor</w:t>
      </w:r>
    </w:p>
    <w:p w14:paraId="7ECE5553" w14:textId="77777777" w:rsidR="004B5540" w:rsidRDefault="00000000">
      <w:pPr>
        <w:spacing w:after="120" w:line="276" w:lineRule="auto"/>
        <w:jc w:val="both"/>
      </w:pPr>
      <w:r>
        <w:rPr>
          <w:color w:val="333333"/>
        </w:rPr>
        <w:t>Analisando a matriz do contrato (Termo de Apostilamento/Extratos), a exigência do Estado é puramente de identificação visual e controle do beneficiário (SLA físico). O órgão repassador não exige que o Instituto forneça benefícios de meia-entrada. Portanto, assumir o ônus da Lei 12.933/2013 é um “</w:t>
      </w:r>
      <w:proofErr w:type="spellStart"/>
      <w:r>
        <w:rPr>
          <w:color w:val="333333"/>
        </w:rPr>
        <w:t>overcompliance</w:t>
      </w:r>
      <w:proofErr w:type="spellEnd"/>
      <w:r>
        <w:rPr>
          <w:color w:val="333333"/>
        </w:rPr>
        <w:t>” que cria um passivo jurídico e solidário desnecessário para o Instituto e para a nossa própria retaguarda jurídica.</w:t>
      </w:r>
    </w:p>
    <w:p w14:paraId="4CAC44D7" w14:textId="77777777" w:rsidR="004B5540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3. Proposta de Encaminhamento Conjunto</w:t>
      </w:r>
    </w:p>
    <w:p w14:paraId="07D9D755" w14:textId="77777777" w:rsidR="004B5540" w:rsidRDefault="00000000">
      <w:pPr>
        <w:spacing w:after="100" w:line="276" w:lineRule="auto"/>
      </w:pPr>
      <w:r>
        <w:rPr>
          <w:i/>
          <w:iCs/>
          <w:color w:val="7A7974"/>
          <w:sz w:val="20"/>
          <w:szCs w:val="20"/>
        </w:rPr>
        <w:t>Solução de Compliance</w:t>
      </w:r>
    </w:p>
    <w:p w14:paraId="4B268895" w14:textId="77777777" w:rsidR="004B5540" w:rsidRDefault="00000000">
      <w:pPr>
        <w:spacing w:after="120" w:line="276" w:lineRule="auto"/>
        <w:jc w:val="both"/>
      </w:pPr>
      <w:r>
        <w:rPr>
          <w:color w:val="333333"/>
        </w:rPr>
        <w:lastRenderedPageBreak/>
        <w:t xml:space="preserve">Para garantirmos a entrega da </w:t>
      </w:r>
      <w:proofErr w:type="gramStart"/>
      <w:r>
        <w:rPr>
          <w:color w:val="333333"/>
        </w:rPr>
        <w:t>meta física</w:t>
      </w:r>
      <w:proofErr w:type="gramEnd"/>
      <w:r>
        <w:rPr>
          <w:color w:val="333333"/>
        </w:rPr>
        <w:t xml:space="preserve"> ao Governo sem expor o CNPJ da entidade a riscos de judicialização consumerista, sugiro que recomendemos conjuntamente à Diretoria a seguinte adaptação de layout:</w:t>
      </w:r>
    </w:p>
    <w:p w14:paraId="20529885" w14:textId="77777777" w:rsidR="004B5540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Alteração de Nomenclatura: </w:t>
      </w:r>
      <w:r>
        <w:rPr>
          <w:color w:val="333333"/>
        </w:rPr>
        <w:t>Substituir “Carteira de Estudante” por “Cartão de Identificação de Beneficiário” ou “Identidade Desportiva”.</w:t>
      </w:r>
    </w:p>
    <w:p w14:paraId="1BB1D85F" w14:textId="77777777" w:rsidR="004B5540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Cláusula de Salvaguarda: </w:t>
      </w:r>
      <w:r>
        <w:rPr>
          <w:color w:val="333333"/>
        </w:rPr>
        <w:t>Inserir no verso do documento a seguinte trava de segurança elaborada em conformidade com a sua tese de proteção:</w:t>
      </w:r>
    </w:p>
    <w:p w14:paraId="10C674E1" w14:textId="77777777" w:rsidR="004B5540" w:rsidRDefault="00000000">
      <w:pPr>
        <w:pBdr>
          <w:left w:val="single" w:sz="6" w:space="0" w:color="20808D"/>
        </w:pBdr>
        <w:spacing w:before="100" w:after="100" w:line="276" w:lineRule="auto"/>
        <w:ind w:left="720" w:right="720"/>
        <w:jc w:val="both"/>
      </w:pPr>
      <w:r>
        <w:rPr>
          <w:b/>
          <w:bCs/>
          <w:i/>
          <w:iCs/>
          <w:color w:val="20808D"/>
        </w:rPr>
        <w:t>“</w:t>
      </w:r>
      <w:r>
        <w:rPr>
          <w:i/>
          <w:iCs/>
          <w:color w:val="444444"/>
          <w:sz w:val="21"/>
          <w:szCs w:val="21"/>
        </w:rPr>
        <w:t>Documento de uso estritamente interno para controle de acesso ao Projeto. Não substitui a Carteira de Identificação Estudantil (CIE) e não confere direito à meia-entrada prevista na Lei Federal nº 12.933/2013.</w:t>
      </w:r>
      <w:r>
        <w:rPr>
          <w:b/>
          <w:bCs/>
          <w:i/>
          <w:iCs/>
          <w:color w:val="20808D"/>
        </w:rPr>
        <w:t>”</w:t>
      </w:r>
    </w:p>
    <w:p w14:paraId="287E9057" w14:textId="77777777" w:rsidR="004B5540" w:rsidRDefault="00000000">
      <w:pPr>
        <w:spacing w:before="80" w:after="120" w:line="276" w:lineRule="auto"/>
        <w:jc w:val="both"/>
      </w:pPr>
      <w:r>
        <w:rPr>
          <w:color w:val="333333"/>
        </w:rPr>
        <w:t>Essa manobra nos permite aprovar a prestação de contas com louvor junto ao Estado e, simultaneamente, blinda a entidade contra qualquer questionamento do Ministério Público local.</w:t>
      </w:r>
    </w:p>
    <w:p w14:paraId="1A7420B7" w14:textId="77777777" w:rsidR="004B5540" w:rsidRDefault="004B5540">
      <w:pPr>
        <w:pBdr>
          <w:bottom w:val="single" w:sz="1" w:space="0" w:color="B0B0B0"/>
        </w:pBdr>
        <w:spacing w:before="120" w:after="120"/>
      </w:pPr>
    </w:p>
    <w:p w14:paraId="7417CE6A" w14:textId="77777777" w:rsidR="004B5540" w:rsidRDefault="00000000">
      <w:pPr>
        <w:spacing w:before="120" w:after="120" w:line="276" w:lineRule="auto"/>
        <w:jc w:val="both"/>
      </w:pPr>
      <w:r>
        <w:rPr>
          <w:color w:val="333333"/>
        </w:rPr>
        <w:t>Parabéns mais uma vez pela fundamentação do documento. Fico à total disposição para uma breve ligação caso queira debatermos essa sintonia entre o jurídico e a prestação de contas.</w:t>
      </w:r>
    </w:p>
    <w:p w14:paraId="5056B2B7" w14:textId="77777777" w:rsidR="004B5540" w:rsidRDefault="00000000">
      <w:pPr>
        <w:spacing w:before="300" w:after="200" w:line="276" w:lineRule="auto"/>
        <w:jc w:val="both"/>
      </w:pPr>
      <w:r>
        <w:rPr>
          <w:color w:val="333333"/>
        </w:rPr>
        <w:t>Um abraço,</w:t>
      </w:r>
    </w:p>
    <w:p w14:paraId="2912FA36" w14:textId="77777777" w:rsidR="004B5540" w:rsidRDefault="004B5540">
      <w:pPr>
        <w:pBdr>
          <w:bottom w:val="single" w:sz="1" w:space="0" w:color="253D4A"/>
        </w:pBdr>
        <w:ind w:right="5000"/>
      </w:pPr>
    </w:p>
    <w:p w14:paraId="5815BA64" w14:textId="77777777" w:rsidR="004B5540" w:rsidRDefault="00000000">
      <w:pPr>
        <w:spacing w:before="80" w:after="20" w:line="276" w:lineRule="auto"/>
      </w:pPr>
      <w:r>
        <w:rPr>
          <w:b/>
          <w:bCs/>
          <w:color w:val="253D4A"/>
          <w:sz w:val="24"/>
          <w:szCs w:val="24"/>
        </w:rPr>
        <w:t>Pedro Paulo Henrichs Neto</w:t>
      </w:r>
    </w:p>
    <w:p w14:paraId="549C60D3" w14:textId="77777777" w:rsidR="004B5540" w:rsidRDefault="00000000">
      <w:pPr>
        <w:spacing w:after="120" w:line="276" w:lineRule="auto"/>
      </w:pPr>
      <w:r>
        <w:rPr>
          <w:i/>
          <w:iCs/>
          <w:color w:val="7A7974"/>
          <w:sz w:val="20"/>
          <w:szCs w:val="20"/>
        </w:rPr>
        <w:t>Consultoria Estratégica de Projetos</w:t>
      </w:r>
    </w:p>
    <w:sectPr w:rsidR="004B5540">
      <w:headerReference w:type="default" r:id="rId7"/>
      <w:footerReference w:type="default" r:id="rId8"/>
      <w:pgSz w:w="11906" w:h="16838"/>
      <w:pgMar w:top="1800" w:right="1134" w:bottom="160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8A5D" w14:textId="77777777" w:rsidR="004C562B" w:rsidRDefault="004C562B">
      <w:r>
        <w:separator/>
      </w:r>
    </w:p>
  </w:endnote>
  <w:endnote w:type="continuationSeparator" w:id="0">
    <w:p w14:paraId="6BEFFC11" w14:textId="77777777" w:rsidR="004C562B" w:rsidRDefault="004C5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3CF4" w14:textId="77777777" w:rsidR="004B5540" w:rsidRDefault="004B5540">
    <w:pPr>
      <w:pBdr>
        <w:top w:val="single" w:sz="1" w:space="0" w:color="B0B0B0"/>
      </w:pBdr>
      <w:spacing w:after="40"/>
    </w:pPr>
  </w:p>
  <w:p w14:paraId="7DF94696" w14:textId="77777777" w:rsidR="004B5540" w:rsidRDefault="00000000">
    <w:pPr>
      <w:jc w:val="center"/>
    </w:pPr>
    <w:r>
      <w:rPr>
        <w:color w:val="7A7974"/>
        <w:sz w:val="14"/>
        <w:szCs w:val="14"/>
      </w:rPr>
      <w:t xml:space="preserve">Henrichs Consultoria </w:t>
    </w:r>
    <w:proofErr w:type="gramStart"/>
    <w:r>
      <w:rPr>
        <w:color w:val="7A7974"/>
        <w:sz w:val="14"/>
        <w:szCs w:val="14"/>
      </w:rPr>
      <w:t>Ltda  |</w:t>
    </w:r>
    <w:proofErr w:type="gramEnd"/>
    <w:r>
      <w:rPr>
        <w:color w:val="7A7974"/>
        <w:sz w:val="14"/>
        <w:szCs w:val="14"/>
      </w:rPr>
      <w:t xml:space="preserve">  CNPJ 42.092.121/0001-50</w:t>
    </w:r>
  </w:p>
  <w:p w14:paraId="5F15E28C" w14:textId="77777777" w:rsidR="004B5540" w:rsidRDefault="00000000">
    <w:pPr>
      <w:spacing w:before="20"/>
      <w:jc w:val="center"/>
    </w:pPr>
    <w:r>
      <w:rPr>
        <w:color w:val="7A7974"/>
        <w:sz w:val="14"/>
        <w:szCs w:val="14"/>
      </w:rPr>
      <w:t>SRTVS Quadra 701, Conj. L, Bloco 1, Sala 132, Ed. Assis Chateaubriand, Asa Sul, Brasília/DF</w:t>
    </w:r>
  </w:p>
  <w:p w14:paraId="65A11103" w14:textId="77777777" w:rsidR="004B5540" w:rsidRDefault="00000000">
    <w:pPr>
      <w:spacing w:before="40"/>
      <w:jc w:val="right"/>
    </w:pPr>
    <w:r>
      <w:rPr>
        <w:color w:val="B0B0B0"/>
        <w:sz w:val="14"/>
        <w:szCs w:val="14"/>
      </w:rPr>
      <w:t xml:space="preserve">Página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PAGE</w:instrText>
    </w:r>
    <w:r>
      <w:rPr>
        <w:color w:val="B0B0B0"/>
        <w:sz w:val="14"/>
        <w:szCs w:val="14"/>
      </w:rPr>
      <w:fldChar w:fldCharType="separate"/>
    </w:r>
    <w:r w:rsidR="001650AA">
      <w:rPr>
        <w:noProof/>
        <w:color w:val="B0B0B0"/>
        <w:sz w:val="14"/>
        <w:szCs w:val="14"/>
      </w:rPr>
      <w:t>1</w:t>
    </w:r>
    <w:r>
      <w:rPr>
        <w:color w:val="B0B0B0"/>
        <w:sz w:val="14"/>
        <w:szCs w:val="14"/>
      </w:rPr>
      <w:fldChar w:fldCharType="end"/>
    </w:r>
    <w:r>
      <w:rPr>
        <w:color w:val="B0B0B0"/>
        <w:sz w:val="14"/>
        <w:szCs w:val="14"/>
      </w:rPr>
      <w:t xml:space="preserve"> de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NUMPAGES</w:instrText>
    </w:r>
    <w:r>
      <w:rPr>
        <w:color w:val="B0B0B0"/>
        <w:sz w:val="14"/>
        <w:szCs w:val="14"/>
      </w:rPr>
      <w:fldChar w:fldCharType="separate"/>
    </w:r>
    <w:r w:rsidR="001650AA">
      <w:rPr>
        <w:noProof/>
        <w:color w:val="B0B0B0"/>
        <w:sz w:val="14"/>
        <w:szCs w:val="14"/>
      </w:rPr>
      <w:t>2</w:t>
    </w:r>
    <w:r>
      <w:rPr>
        <w:color w:val="B0B0B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FF85" w14:textId="77777777" w:rsidR="004C562B" w:rsidRDefault="004C562B">
      <w:r>
        <w:separator/>
      </w:r>
    </w:p>
  </w:footnote>
  <w:footnote w:type="continuationSeparator" w:id="0">
    <w:p w14:paraId="510C29B3" w14:textId="77777777" w:rsidR="004C562B" w:rsidRDefault="004C5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C2E0" w14:textId="77777777" w:rsidR="004B5540" w:rsidRDefault="00000000">
    <w:pPr>
      <w:jc w:val="right"/>
    </w:pPr>
    <w:r>
      <w:rPr>
        <w:noProof/>
      </w:rPr>
      <w:drawing>
        <wp:inline distT="0" distB="0" distL="0" distR="0" wp14:anchorId="14DE3A0B" wp14:editId="2C6562B5">
          <wp:extent cx="1524000" cy="762000"/>
          <wp:effectExtent l="0" t="0" r="0" b="0"/>
          <wp:docPr id="1" name="logo-header" descr="Logo" title="Henrichs Consulto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62C17A" w14:textId="77777777" w:rsidR="004B5540" w:rsidRDefault="00000000">
    <w:pPr>
      <w:spacing w:before="40"/>
      <w:jc w:val="right"/>
    </w:pPr>
    <w:proofErr w:type="gramStart"/>
    <w:r>
      <w:rPr>
        <w:i/>
        <w:iCs/>
        <w:color w:val="7A7974"/>
        <w:sz w:val="14"/>
        <w:szCs w:val="14"/>
      </w:rPr>
      <w:t>www.henrichsconsultoria.com.br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proofErr w:type="gramStart"/>
    <w:r>
      <w:rPr>
        <w:i/>
        <w:iCs/>
        <w:color w:val="7A7974"/>
        <w:sz w:val="14"/>
        <w:szCs w:val="14"/>
      </w:rPr>
      <w:t>contato@henrichsconsultoria.com.br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r>
      <w:rPr>
        <w:i/>
        <w:iCs/>
        <w:color w:val="7A7974"/>
        <w:sz w:val="14"/>
        <w:szCs w:val="14"/>
      </w:rPr>
      <w:t>+55 61 98108-3124</w:t>
    </w:r>
  </w:p>
  <w:p w14:paraId="71A51E57" w14:textId="77777777" w:rsidR="004B5540" w:rsidRDefault="004B5540">
    <w:pPr>
      <w:pBdr>
        <w:bottom w:val="single" w:sz="2" w:space="0" w:color="20808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F2C0F"/>
    <w:multiLevelType w:val="hybridMultilevel"/>
    <w:tmpl w:val="EC62F3EE"/>
    <w:lvl w:ilvl="0" w:tplc="9BA22DD8">
      <w:start w:val="1"/>
      <w:numFmt w:val="bullet"/>
      <w:lvlText w:val="●"/>
      <w:lvlJc w:val="left"/>
      <w:pPr>
        <w:ind w:left="720" w:hanging="360"/>
      </w:pPr>
    </w:lvl>
    <w:lvl w:ilvl="1" w:tplc="2AD6B138">
      <w:start w:val="1"/>
      <w:numFmt w:val="bullet"/>
      <w:lvlText w:val="○"/>
      <w:lvlJc w:val="left"/>
      <w:pPr>
        <w:ind w:left="1440" w:hanging="360"/>
      </w:pPr>
    </w:lvl>
    <w:lvl w:ilvl="2" w:tplc="3B964264">
      <w:start w:val="1"/>
      <w:numFmt w:val="bullet"/>
      <w:lvlText w:val="■"/>
      <w:lvlJc w:val="left"/>
      <w:pPr>
        <w:ind w:left="2160" w:hanging="360"/>
      </w:pPr>
    </w:lvl>
    <w:lvl w:ilvl="3" w:tplc="8B34EB36">
      <w:start w:val="1"/>
      <w:numFmt w:val="bullet"/>
      <w:lvlText w:val="●"/>
      <w:lvlJc w:val="left"/>
      <w:pPr>
        <w:ind w:left="2880" w:hanging="360"/>
      </w:pPr>
    </w:lvl>
    <w:lvl w:ilvl="4" w:tplc="0EAACD82">
      <w:start w:val="1"/>
      <w:numFmt w:val="bullet"/>
      <w:lvlText w:val="○"/>
      <w:lvlJc w:val="left"/>
      <w:pPr>
        <w:ind w:left="3600" w:hanging="360"/>
      </w:pPr>
    </w:lvl>
    <w:lvl w:ilvl="5" w:tplc="9E5A78F2">
      <w:start w:val="1"/>
      <w:numFmt w:val="bullet"/>
      <w:lvlText w:val="■"/>
      <w:lvlJc w:val="left"/>
      <w:pPr>
        <w:ind w:left="4320" w:hanging="360"/>
      </w:pPr>
    </w:lvl>
    <w:lvl w:ilvl="6" w:tplc="7728D08A">
      <w:start w:val="1"/>
      <w:numFmt w:val="bullet"/>
      <w:lvlText w:val="●"/>
      <w:lvlJc w:val="left"/>
      <w:pPr>
        <w:ind w:left="5040" w:hanging="360"/>
      </w:pPr>
    </w:lvl>
    <w:lvl w:ilvl="7" w:tplc="C682ED46">
      <w:start w:val="1"/>
      <w:numFmt w:val="bullet"/>
      <w:lvlText w:val="●"/>
      <w:lvlJc w:val="left"/>
      <w:pPr>
        <w:ind w:left="5760" w:hanging="360"/>
      </w:pPr>
    </w:lvl>
    <w:lvl w:ilvl="8" w:tplc="41BAFD2C">
      <w:start w:val="1"/>
      <w:numFmt w:val="bullet"/>
      <w:lvlText w:val="●"/>
      <w:lvlJc w:val="left"/>
      <w:pPr>
        <w:ind w:left="6480" w:hanging="360"/>
      </w:pPr>
    </w:lvl>
  </w:abstractNum>
  <w:num w:numId="1" w16cid:durableId="1547567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540"/>
    <w:rsid w:val="001650AA"/>
    <w:rsid w:val="004B5540"/>
    <w:rsid w:val="004C562B"/>
    <w:rsid w:val="00903A63"/>
    <w:rsid w:val="00B15737"/>
    <w:rsid w:val="00D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6DEAC"/>
  <w15:docId w15:val="{0EBCD238-BC2E-8B47-9323-188360E5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2846</Characters>
  <Application>Microsoft Office Word</Application>
  <DocSecurity>0</DocSecurity>
  <Lines>51</Lines>
  <Paragraphs>30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henrichs</cp:lastModifiedBy>
  <cp:revision>3</cp:revision>
  <dcterms:created xsi:type="dcterms:W3CDTF">2026-03-26T19:18:00Z</dcterms:created>
  <dcterms:modified xsi:type="dcterms:W3CDTF">2026-03-26T19:19:00Z</dcterms:modified>
</cp:coreProperties>
</file>