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7939" w14:textId="77777777" w:rsidR="00477BC9" w:rsidRPr="00696A44" w:rsidRDefault="00696A44" w:rsidP="00477BC9">
      <w:pPr>
        <w:jc w:val="center"/>
        <w:outlineLvl w:val="0"/>
        <w:rPr>
          <w:bCs/>
          <w:color w:val="000000"/>
          <w:kern w:val="36"/>
        </w:rPr>
      </w:pPr>
      <w:bookmarkStart w:id="0" w:name="_Toc210315749"/>
      <w:bookmarkStart w:id="1" w:name="_Toc210326507"/>
      <w:r w:rsidRPr="00696A44">
        <w:rPr>
          <w:rStyle w:val="Forte"/>
          <w:rFonts w:eastAsiaTheme="majorEastAsia"/>
          <w:color w:val="444444"/>
          <w:shd w:val="clear" w:color="auto" w:fill="FFFFFF"/>
        </w:rPr>
        <w:t>INSTITUTO</w:t>
      </w:r>
      <w:r w:rsidRPr="00696A44">
        <w:rPr>
          <w:color w:val="444444"/>
          <w:shd w:val="clear" w:color="auto" w:fill="FFFFFF"/>
        </w:rPr>
        <w:t> </w:t>
      </w:r>
      <w:r w:rsidRPr="00696A44">
        <w:rPr>
          <w:rStyle w:val="Forte"/>
          <w:rFonts w:eastAsiaTheme="majorEastAsia"/>
          <w:color w:val="444444"/>
          <w:shd w:val="clear" w:color="auto" w:fill="FFFFFF"/>
        </w:rPr>
        <w:t>BRASILEIRO</w:t>
      </w:r>
      <w:r w:rsidRPr="00696A44">
        <w:rPr>
          <w:color w:val="444444"/>
          <w:shd w:val="clear" w:color="auto" w:fill="FFFFFF"/>
        </w:rPr>
        <w:t> </w:t>
      </w:r>
      <w:r w:rsidRPr="00696A44">
        <w:rPr>
          <w:rStyle w:val="Forte"/>
          <w:rFonts w:eastAsiaTheme="majorEastAsia"/>
          <w:color w:val="444444"/>
          <w:shd w:val="clear" w:color="auto" w:fill="FFFFFF"/>
        </w:rPr>
        <w:t>DE</w:t>
      </w:r>
      <w:r w:rsidRPr="00696A44">
        <w:rPr>
          <w:color w:val="444444"/>
          <w:shd w:val="clear" w:color="auto" w:fill="FFFFFF"/>
        </w:rPr>
        <w:t> </w:t>
      </w:r>
      <w:r w:rsidRPr="00696A44">
        <w:rPr>
          <w:rStyle w:val="Forte"/>
          <w:rFonts w:eastAsiaTheme="majorEastAsia"/>
          <w:color w:val="444444"/>
          <w:shd w:val="clear" w:color="auto" w:fill="FFFFFF"/>
        </w:rPr>
        <w:t>ENSINO</w:t>
      </w:r>
      <w:r w:rsidRPr="00696A44">
        <w:rPr>
          <w:color w:val="444444"/>
          <w:shd w:val="clear" w:color="auto" w:fill="FFFFFF"/>
        </w:rPr>
        <w:t>, </w:t>
      </w:r>
      <w:r w:rsidRPr="00696A44">
        <w:rPr>
          <w:rStyle w:val="Forte"/>
          <w:rFonts w:eastAsiaTheme="majorEastAsia"/>
          <w:color w:val="444444"/>
          <w:shd w:val="clear" w:color="auto" w:fill="FFFFFF"/>
        </w:rPr>
        <w:t>DESENVOLVIMENTO</w:t>
      </w:r>
      <w:r w:rsidRPr="00696A44">
        <w:rPr>
          <w:color w:val="444444"/>
          <w:shd w:val="clear" w:color="auto" w:fill="FFFFFF"/>
        </w:rPr>
        <w:t> </w:t>
      </w:r>
      <w:r w:rsidRPr="00696A44">
        <w:rPr>
          <w:rStyle w:val="Forte"/>
          <w:rFonts w:eastAsiaTheme="majorEastAsia"/>
          <w:color w:val="444444"/>
          <w:shd w:val="clear" w:color="auto" w:fill="FFFFFF"/>
        </w:rPr>
        <w:t>E</w:t>
      </w:r>
      <w:r w:rsidRPr="00696A44">
        <w:rPr>
          <w:color w:val="444444"/>
          <w:shd w:val="clear" w:color="auto" w:fill="FFFFFF"/>
        </w:rPr>
        <w:t> </w:t>
      </w:r>
      <w:r w:rsidRPr="00696A44">
        <w:rPr>
          <w:rStyle w:val="Forte"/>
          <w:rFonts w:eastAsiaTheme="majorEastAsia"/>
          <w:color w:val="444444"/>
          <w:shd w:val="clear" w:color="auto" w:fill="FFFFFF"/>
        </w:rPr>
        <w:t>PESQUISA</w:t>
      </w:r>
      <w:bookmarkEnd w:id="0"/>
      <w:bookmarkEnd w:id="1"/>
    </w:p>
    <w:p w14:paraId="112288FB" w14:textId="77777777" w:rsidR="00477BC9" w:rsidRPr="00696A44" w:rsidRDefault="00477BC9" w:rsidP="00477BC9">
      <w:pPr>
        <w:jc w:val="center"/>
        <w:outlineLvl w:val="0"/>
        <w:rPr>
          <w:bCs/>
          <w:color w:val="000000"/>
          <w:kern w:val="36"/>
        </w:rPr>
      </w:pPr>
    </w:p>
    <w:p w14:paraId="74EDAFAA" w14:textId="77777777" w:rsidR="00477BC9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5D790C96" w14:textId="77777777" w:rsidR="00477BC9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07E4ABD7" w14:textId="77777777" w:rsidR="00477BC9" w:rsidRPr="004120EC" w:rsidRDefault="00477BC9" w:rsidP="00477BC9">
      <w:pPr>
        <w:spacing w:line="360" w:lineRule="auto"/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  <w:bookmarkStart w:id="2" w:name="_Toc210315750"/>
      <w:bookmarkStart w:id="3" w:name="_Toc210326508"/>
      <w:r w:rsidRPr="004120EC">
        <w:rPr>
          <w:b/>
          <w:color w:val="000000" w:themeColor="text1"/>
        </w:rPr>
        <w:t>PEDRO PAULO HENRICHS NETO</w:t>
      </w:r>
      <w:bookmarkEnd w:id="2"/>
      <w:bookmarkEnd w:id="3"/>
    </w:p>
    <w:p w14:paraId="6AA1064F" w14:textId="77777777" w:rsidR="00477BC9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3E7BEF2C" w14:textId="77777777" w:rsidR="00477BC9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33934918" w14:textId="77777777" w:rsidR="00477BC9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3467FCF4" w14:textId="77777777" w:rsidR="00477BC9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145FF150" w14:textId="77777777" w:rsidR="00477BC9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3FB94747" w14:textId="77777777" w:rsidR="004120EC" w:rsidRDefault="004120EC" w:rsidP="004120EC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F057FE" w14:textId="77777777" w:rsidR="004120EC" w:rsidRDefault="004120EC" w:rsidP="004120EC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6C8603" w14:textId="77777777" w:rsidR="004120EC" w:rsidRDefault="004120EC" w:rsidP="004120EC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5DF9A8" w14:textId="77777777" w:rsidR="004120EC" w:rsidRDefault="004120EC" w:rsidP="004120EC"/>
    <w:p w14:paraId="723F7054" w14:textId="77777777" w:rsidR="00BE18E0" w:rsidRDefault="00BE18E0" w:rsidP="004120EC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10315751"/>
      <w:bookmarkStart w:id="5" w:name="_Toc210326509"/>
      <w:r w:rsidRPr="00C557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Entre hegemonia e autonomia: CELAC e OEA na disputa pela governança regional </w:t>
      </w:r>
      <w:r w:rsidR="005F7D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</w:t>
      </w:r>
      <w:r w:rsidRPr="00C557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atino-</w:t>
      </w:r>
      <w:r w:rsidR="005F7D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Pr="00C557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mericana</w:t>
      </w:r>
      <w:bookmarkEnd w:id="4"/>
      <w:bookmarkEnd w:id="5"/>
    </w:p>
    <w:p w14:paraId="06C53F9B" w14:textId="77777777" w:rsidR="00703DD7" w:rsidRDefault="00703DD7" w:rsidP="004120EC">
      <w:pPr>
        <w:spacing w:line="360" w:lineRule="auto"/>
      </w:pPr>
    </w:p>
    <w:p w14:paraId="5825BECD" w14:textId="77777777" w:rsidR="004120EC" w:rsidRDefault="004120EC" w:rsidP="004120EC">
      <w:pPr>
        <w:spacing w:line="360" w:lineRule="auto"/>
      </w:pPr>
    </w:p>
    <w:p w14:paraId="3B159FBB" w14:textId="77777777" w:rsidR="004120EC" w:rsidRDefault="004120EC" w:rsidP="004120EC">
      <w:pPr>
        <w:spacing w:line="360" w:lineRule="auto"/>
      </w:pPr>
    </w:p>
    <w:p w14:paraId="479D99EE" w14:textId="77777777" w:rsidR="004120EC" w:rsidRDefault="004120EC" w:rsidP="004120EC">
      <w:pPr>
        <w:spacing w:line="360" w:lineRule="auto"/>
      </w:pPr>
    </w:p>
    <w:p w14:paraId="042726DE" w14:textId="77777777" w:rsidR="004120EC" w:rsidRDefault="004120EC" w:rsidP="004120EC">
      <w:pPr>
        <w:spacing w:line="360" w:lineRule="auto"/>
      </w:pPr>
    </w:p>
    <w:p w14:paraId="6D0AB93C" w14:textId="77777777" w:rsidR="004120EC" w:rsidRDefault="004120EC" w:rsidP="004120EC">
      <w:pPr>
        <w:spacing w:line="360" w:lineRule="auto"/>
      </w:pPr>
    </w:p>
    <w:p w14:paraId="4F71218A" w14:textId="77777777" w:rsidR="004120EC" w:rsidRDefault="004120EC" w:rsidP="004120EC">
      <w:pPr>
        <w:spacing w:line="360" w:lineRule="auto"/>
      </w:pPr>
    </w:p>
    <w:p w14:paraId="422096F4" w14:textId="77777777" w:rsidR="004120EC" w:rsidRDefault="004120EC" w:rsidP="004120EC">
      <w:pPr>
        <w:spacing w:line="360" w:lineRule="auto"/>
      </w:pPr>
    </w:p>
    <w:p w14:paraId="774BF716" w14:textId="77777777" w:rsidR="004120EC" w:rsidRDefault="004120EC" w:rsidP="004120EC">
      <w:pPr>
        <w:spacing w:line="360" w:lineRule="auto"/>
      </w:pPr>
    </w:p>
    <w:p w14:paraId="38530F23" w14:textId="77777777" w:rsidR="004120EC" w:rsidRDefault="004120EC" w:rsidP="004120EC">
      <w:pPr>
        <w:spacing w:line="360" w:lineRule="auto"/>
      </w:pPr>
    </w:p>
    <w:p w14:paraId="65788D33" w14:textId="77777777" w:rsidR="004120EC" w:rsidRDefault="004120EC" w:rsidP="004120EC">
      <w:pPr>
        <w:spacing w:line="360" w:lineRule="auto"/>
      </w:pPr>
    </w:p>
    <w:p w14:paraId="5CCDD569" w14:textId="77777777" w:rsidR="004120EC" w:rsidRDefault="004120EC" w:rsidP="004120EC">
      <w:pPr>
        <w:spacing w:line="360" w:lineRule="auto"/>
      </w:pPr>
    </w:p>
    <w:p w14:paraId="5F810EF6" w14:textId="77777777" w:rsidR="004120EC" w:rsidRDefault="004120EC" w:rsidP="004120EC">
      <w:pPr>
        <w:spacing w:line="360" w:lineRule="auto"/>
      </w:pPr>
    </w:p>
    <w:p w14:paraId="7527C9D5" w14:textId="77777777" w:rsidR="004120EC" w:rsidRDefault="004120EC" w:rsidP="004120EC">
      <w:pPr>
        <w:spacing w:line="360" w:lineRule="auto"/>
      </w:pPr>
    </w:p>
    <w:p w14:paraId="1276E1C0" w14:textId="77777777" w:rsidR="004120EC" w:rsidRDefault="004120EC" w:rsidP="004120EC">
      <w:pPr>
        <w:spacing w:line="360" w:lineRule="auto"/>
      </w:pPr>
    </w:p>
    <w:p w14:paraId="75BF2F7B" w14:textId="77777777" w:rsidR="004120EC" w:rsidRDefault="004120EC" w:rsidP="004120EC">
      <w:pPr>
        <w:spacing w:line="360" w:lineRule="auto"/>
      </w:pPr>
    </w:p>
    <w:p w14:paraId="428D6C62" w14:textId="77777777" w:rsidR="004120EC" w:rsidRDefault="004120EC" w:rsidP="004120EC">
      <w:pPr>
        <w:spacing w:line="360" w:lineRule="auto"/>
      </w:pPr>
    </w:p>
    <w:p w14:paraId="4683B841" w14:textId="77777777" w:rsidR="004120EC" w:rsidRDefault="004120EC" w:rsidP="004120EC">
      <w:pPr>
        <w:spacing w:line="360" w:lineRule="auto"/>
        <w:jc w:val="center"/>
      </w:pPr>
      <w:r>
        <w:t>Brasília/ DF</w:t>
      </w:r>
    </w:p>
    <w:p w14:paraId="4640687C" w14:textId="77777777" w:rsidR="004120EC" w:rsidRDefault="004120EC" w:rsidP="004120EC">
      <w:pPr>
        <w:spacing w:line="360" w:lineRule="auto"/>
        <w:jc w:val="center"/>
      </w:pPr>
      <w:r>
        <w:t>2025</w:t>
      </w:r>
    </w:p>
    <w:p w14:paraId="2FF532D7" w14:textId="77777777" w:rsidR="005E146A" w:rsidRDefault="005E146A" w:rsidP="004120EC">
      <w:pPr>
        <w:spacing w:line="360" w:lineRule="auto"/>
        <w:jc w:val="center"/>
      </w:pPr>
    </w:p>
    <w:p w14:paraId="6CAC3B1E" w14:textId="77777777" w:rsidR="00696A44" w:rsidRPr="004120EC" w:rsidRDefault="00696A44" w:rsidP="00696A44">
      <w:pPr>
        <w:spacing w:line="360" w:lineRule="auto"/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  <w:r>
        <w:lastRenderedPageBreak/>
        <w:t xml:space="preserve"> </w:t>
      </w:r>
      <w:bookmarkStart w:id="6" w:name="_Toc210315752"/>
      <w:bookmarkStart w:id="7" w:name="_Toc210326510"/>
      <w:r w:rsidRPr="004120EC">
        <w:rPr>
          <w:b/>
          <w:color w:val="000000" w:themeColor="text1"/>
        </w:rPr>
        <w:t>PEDRO PAULO HENRICHS NETO</w:t>
      </w:r>
      <w:bookmarkEnd w:id="6"/>
      <w:bookmarkEnd w:id="7"/>
    </w:p>
    <w:p w14:paraId="2664E603" w14:textId="77777777" w:rsidR="00696A44" w:rsidRDefault="00696A44" w:rsidP="00696A44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07D8BB2A" w14:textId="77777777" w:rsidR="00696A44" w:rsidRDefault="00696A44" w:rsidP="00696A44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2090E4F8" w14:textId="77777777" w:rsidR="00696A44" w:rsidRDefault="00696A44" w:rsidP="00696A44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71ACC619" w14:textId="77777777" w:rsidR="00696A44" w:rsidRDefault="00696A44" w:rsidP="00696A44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0C389C47" w14:textId="77777777" w:rsidR="00696A44" w:rsidRDefault="00696A44" w:rsidP="00696A44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72D0188C" w14:textId="77777777" w:rsidR="00696A44" w:rsidRDefault="00696A44" w:rsidP="00696A44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E90C13B" w14:textId="77777777" w:rsidR="00882576" w:rsidRPr="00882576" w:rsidRDefault="00882576" w:rsidP="00882576"/>
    <w:p w14:paraId="344A9B03" w14:textId="77777777" w:rsidR="00696A44" w:rsidRDefault="00696A44" w:rsidP="00696A44"/>
    <w:p w14:paraId="2D298826" w14:textId="77777777" w:rsidR="00696A44" w:rsidRDefault="00696A44" w:rsidP="00696A44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10315753"/>
      <w:bookmarkStart w:id="9" w:name="_Toc210326511"/>
      <w:r w:rsidRPr="00C557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Entre hegemonia e autonomia: CELAC e OEA na disputa pela governança regional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</w:t>
      </w:r>
      <w:r w:rsidRPr="00C557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atino-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Pr="00C557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mericana</w:t>
      </w:r>
      <w:bookmarkEnd w:id="8"/>
      <w:bookmarkEnd w:id="9"/>
    </w:p>
    <w:p w14:paraId="2D58ED47" w14:textId="77777777" w:rsidR="004120EC" w:rsidRDefault="004120EC" w:rsidP="004120EC">
      <w:pPr>
        <w:spacing w:line="360" w:lineRule="auto"/>
      </w:pPr>
    </w:p>
    <w:p w14:paraId="47937D9B" w14:textId="77777777" w:rsidR="005E146A" w:rsidRDefault="005E146A" w:rsidP="004120EC">
      <w:pPr>
        <w:spacing w:line="360" w:lineRule="auto"/>
      </w:pPr>
    </w:p>
    <w:p w14:paraId="004681B9" w14:textId="77777777" w:rsidR="005E146A" w:rsidRDefault="005E146A" w:rsidP="004120EC">
      <w:pPr>
        <w:spacing w:line="360" w:lineRule="auto"/>
      </w:pPr>
    </w:p>
    <w:p w14:paraId="06241376" w14:textId="77777777" w:rsidR="00882576" w:rsidRDefault="00882576" w:rsidP="004120EC">
      <w:pPr>
        <w:spacing w:line="360" w:lineRule="auto"/>
      </w:pPr>
    </w:p>
    <w:p w14:paraId="2BEB4497" w14:textId="77777777" w:rsidR="004120EC" w:rsidRDefault="004120EC" w:rsidP="004120EC">
      <w:pPr>
        <w:spacing w:line="360" w:lineRule="auto"/>
      </w:pPr>
    </w:p>
    <w:p w14:paraId="7BB3190A" w14:textId="04A715A5" w:rsidR="004120EC" w:rsidRPr="00696A44" w:rsidRDefault="004120EC" w:rsidP="00696A44">
      <w:pPr>
        <w:pStyle w:val="NormalWeb"/>
        <w:spacing w:before="0" w:beforeAutospacing="0" w:after="0" w:afterAutospacing="0"/>
        <w:ind w:left="4536"/>
        <w:jc w:val="both"/>
        <w:rPr>
          <w:sz w:val="20"/>
          <w:szCs w:val="20"/>
        </w:rPr>
      </w:pPr>
      <w:r w:rsidRPr="00696A44">
        <w:rPr>
          <w:rStyle w:val="Forte"/>
          <w:rFonts w:eastAsiaTheme="majorEastAsia"/>
          <w:b w:val="0"/>
          <w:sz w:val="20"/>
          <w:szCs w:val="20"/>
        </w:rPr>
        <w:t>Pré-projeto de pesquisa apresentado ao Programa de Pós</w:t>
      </w:r>
      <w:r w:rsidR="00696A44" w:rsidRPr="00696A44">
        <w:rPr>
          <w:rStyle w:val="Forte"/>
          <w:rFonts w:eastAsiaTheme="majorEastAsia"/>
          <w:b w:val="0"/>
          <w:sz w:val="20"/>
          <w:szCs w:val="20"/>
        </w:rPr>
        <w:t xml:space="preserve">-Graduação </w:t>
      </w:r>
      <w:r w:rsidR="00882576" w:rsidRPr="00696A44">
        <w:rPr>
          <w:rStyle w:val="Forte"/>
          <w:rFonts w:eastAsiaTheme="majorEastAsia"/>
          <w:b w:val="0"/>
          <w:sz w:val="20"/>
          <w:szCs w:val="20"/>
        </w:rPr>
        <w:t>em do</w:t>
      </w:r>
      <w:r w:rsidRPr="00696A44">
        <w:rPr>
          <w:rStyle w:val="Forte"/>
          <w:rFonts w:eastAsiaTheme="majorEastAsia"/>
          <w:b w:val="0"/>
          <w:sz w:val="20"/>
          <w:szCs w:val="20"/>
        </w:rPr>
        <w:t xml:space="preserve"> Instituto Brasileiro de Ensino, Desenvolvimento e Pesquisa – IDP, como requisito parcial para a seleção ao curso de Mestrado em </w:t>
      </w:r>
      <w:r w:rsidR="00696A44" w:rsidRPr="00696A44">
        <w:rPr>
          <w:color w:val="000000" w:themeColor="text1"/>
          <w:sz w:val="20"/>
          <w:szCs w:val="20"/>
        </w:rPr>
        <w:t>Ciência Política e Relações Internacionais</w:t>
      </w:r>
    </w:p>
    <w:p w14:paraId="20D48819" w14:textId="77777777" w:rsidR="004120EC" w:rsidRPr="00696A44" w:rsidRDefault="004120EC" w:rsidP="00696A44">
      <w:pPr>
        <w:ind w:left="4536"/>
        <w:jc w:val="both"/>
        <w:rPr>
          <w:sz w:val="20"/>
          <w:szCs w:val="20"/>
        </w:rPr>
      </w:pPr>
    </w:p>
    <w:p w14:paraId="1475FD7A" w14:textId="77777777" w:rsidR="004120EC" w:rsidRDefault="004120EC" w:rsidP="004120EC">
      <w:pPr>
        <w:spacing w:line="360" w:lineRule="auto"/>
      </w:pPr>
    </w:p>
    <w:p w14:paraId="0D89F55C" w14:textId="77777777" w:rsidR="004120EC" w:rsidRDefault="004120EC" w:rsidP="004120EC">
      <w:pPr>
        <w:spacing w:line="360" w:lineRule="auto"/>
      </w:pPr>
    </w:p>
    <w:p w14:paraId="00967B34" w14:textId="77777777" w:rsidR="004120EC" w:rsidRDefault="004120EC" w:rsidP="004120EC">
      <w:pPr>
        <w:spacing w:line="360" w:lineRule="auto"/>
      </w:pPr>
    </w:p>
    <w:p w14:paraId="280136E2" w14:textId="77777777" w:rsidR="00696A44" w:rsidRDefault="00696A44" w:rsidP="00C5577F">
      <w:pPr>
        <w:rPr>
          <w:color w:val="000000" w:themeColor="text1"/>
        </w:rPr>
      </w:pPr>
    </w:p>
    <w:p w14:paraId="51A35065" w14:textId="77777777" w:rsidR="00696A44" w:rsidRDefault="00696A44" w:rsidP="00C5577F">
      <w:pPr>
        <w:rPr>
          <w:color w:val="000000" w:themeColor="text1"/>
        </w:rPr>
      </w:pPr>
    </w:p>
    <w:p w14:paraId="0150254C" w14:textId="77777777" w:rsidR="00696A44" w:rsidRDefault="00696A44" w:rsidP="00C5577F">
      <w:pPr>
        <w:rPr>
          <w:color w:val="000000" w:themeColor="text1"/>
        </w:rPr>
      </w:pPr>
    </w:p>
    <w:p w14:paraId="7AB3944C" w14:textId="77777777" w:rsidR="00696A44" w:rsidRDefault="00696A44" w:rsidP="00C5577F">
      <w:pPr>
        <w:rPr>
          <w:color w:val="000000" w:themeColor="text1"/>
        </w:rPr>
      </w:pPr>
    </w:p>
    <w:p w14:paraId="564D1096" w14:textId="77777777" w:rsidR="005E146A" w:rsidRDefault="005E146A" w:rsidP="00C5577F">
      <w:pPr>
        <w:rPr>
          <w:color w:val="000000" w:themeColor="text1"/>
        </w:rPr>
      </w:pPr>
    </w:p>
    <w:p w14:paraId="65821BF0" w14:textId="77777777" w:rsidR="005E146A" w:rsidRDefault="005E146A" w:rsidP="00C5577F">
      <w:pPr>
        <w:rPr>
          <w:color w:val="000000" w:themeColor="text1"/>
        </w:rPr>
      </w:pPr>
    </w:p>
    <w:p w14:paraId="4B76B109" w14:textId="77777777" w:rsidR="005E146A" w:rsidRDefault="005E146A" w:rsidP="00C5577F">
      <w:pPr>
        <w:rPr>
          <w:color w:val="000000" w:themeColor="text1"/>
        </w:rPr>
      </w:pPr>
    </w:p>
    <w:p w14:paraId="237280DC" w14:textId="77777777" w:rsidR="005E146A" w:rsidRDefault="005E146A" w:rsidP="00C5577F">
      <w:pPr>
        <w:rPr>
          <w:color w:val="000000" w:themeColor="text1"/>
        </w:rPr>
      </w:pPr>
    </w:p>
    <w:p w14:paraId="7AC6428C" w14:textId="77777777" w:rsidR="005E146A" w:rsidRDefault="005E146A" w:rsidP="00C5577F">
      <w:pPr>
        <w:rPr>
          <w:color w:val="000000" w:themeColor="text1"/>
        </w:rPr>
      </w:pPr>
    </w:p>
    <w:p w14:paraId="22F3F1C4" w14:textId="77777777" w:rsidR="005E146A" w:rsidRDefault="005E146A" w:rsidP="00C5577F">
      <w:pPr>
        <w:rPr>
          <w:color w:val="000000" w:themeColor="text1"/>
        </w:rPr>
      </w:pPr>
    </w:p>
    <w:p w14:paraId="038EBE41" w14:textId="77777777" w:rsidR="005E146A" w:rsidRDefault="005E146A" w:rsidP="00C5577F">
      <w:pPr>
        <w:rPr>
          <w:color w:val="000000" w:themeColor="text1"/>
        </w:rPr>
      </w:pPr>
    </w:p>
    <w:p w14:paraId="1625731F" w14:textId="77777777" w:rsidR="005E146A" w:rsidRDefault="005E146A" w:rsidP="00C5577F">
      <w:pPr>
        <w:rPr>
          <w:color w:val="000000" w:themeColor="text1"/>
        </w:rPr>
      </w:pPr>
    </w:p>
    <w:p w14:paraId="35BE25E2" w14:textId="77777777" w:rsidR="005E146A" w:rsidRDefault="005E146A" w:rsidP="00C5577F">
      <w:pPr>
        <w:rPr>
          <w:color w:val="000000" w:themeColor="text1"/>
        </w:rPr>
      </w:pPr>
    </w:p>
    <w:p w14:paraId="5AC01CBA" w14:textId="77777777" w:rsidR="005E146A" w:rsidRDefault="005E146A" w:rsidP="00C5577F">
      <w:pPr>
        <w:rPr>
          <w:color w:val="000000" w:themeColor="text1"/>
        </w:rPr>
      </w:pPr>
    </w:p>
    <w:p w14:paraId="7EE832EA" w14:textId="77777777" w:rsidR="00696A44" w:rsidRDefault="00696A44" w:rsidP="00C5577F">
      <w:pPr>
        <w:rPr>
          <w:color w:val="000000" w:themeColor="text1"/>
        </w:rPr>
      </w:pPr>
    </w:p>
    <w:p w14:paraId="2CF63F42" w14:textId="77777777" w:rsidR="005E146A" w:rsidRDefault="005E146A" w:rsidP="00882576">
      <w:pPr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br/>
        <w:t xml:space="preserve">Brasília/DF </w:t>
      </w:r>
    </w:p>
    <w:p w14:paraId="7DE59160" w14:textId="77777777" w:rsidR="00BE18E0" w:rsidRPr="00C5577F" w:rsidRDefault="00BE18E0" w:rsidP="00882576">
      <w:pPr>
        <w:spacing w:line="360" w:lineRule="auto"/>
        <w:jc w:val="center"/>
        <w:rPr>
          <w:color w:val="000000" w:themeColor="text1"/>
        </w:rPr>
      </w:pPr>
      <w:r w:rsidRPr="00C5577F">
        <w:rPr>
          <w:color w:val="000000" w:themeColor="text1"/>
        </w:rPr>
        <w:t>2025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pt-BR"/>
        </w:rPr>
        <w:id w:val="9558360"/>
        <w:docPartObj>
          <w:docPartGallery w:val="Table of Contents"/>
          <w:docPartUnique/>
        </w:docPartObj>
      </w:sdtPr>
      <w:sdtContent>
        <w:p w14:paraId="0B1FE880" w14:textId="77777777" w:rsidR="007D5FB7" w:rsidRPr="00882576" w:rsidRDefault="007D5FB7" w:rsidP="007D5FB7">
          <w:pPr>
            <w:pStyle w:val="CabealhodoSumrio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882576">
            <w:rPr>
              <w:rFonts w:ascii="Times New Roman" w:hAnsi="Times New Roman" w:cs="Times New Roman"/>
              <w:color w:val="auto"/>
              <w:sz w:val="24"/>
              <w:szCs w:val="24"/>
            </w:rPr>
            <w:t>SUMÁRIO</w:t>
          </w:r>
        </w:p>
        <w:p w14:paraId="1F1845B6" w14:textId="64D9A4E9" w:rsidR="000B536D" w:rsidRPr="009C48EC" w:rsidRDefault="007D5FB7" w:rsidP="000B536D">
          <w:pPr>
            <w:pStyle w:val="Sumrio1"/>
            <w:tabs>
              <w:tab w:val="right" w:leader="dot" w:pos="9061"/>
            </w:tabs>
            <w:spacing w:after="0" w:line="360" w:lineRule="auto"/>
            <w:rPr>
              <w:rFonts w:eastAsiaTheme="minorEastAsia"/>
              <w:noProof/>
              <w:kern w:val="2"/>
              <w14:ligatures w14:val="standardContextual"/>
            </w:rPr>
          </w:pPr>
          <w:r w:rsidRPr="007D5FB7">
            <w:rPr>
              <w:rFonts w:eastAsiaTheme="majorEastAsia"/>
              <w:b/>
              <w:bCs/>
              <w:color w:val="0F4761" w:themeColor="accent1" w:themeShade="BF"/>
              <w:lang w:eastAsia="en-US"/>
            </w:rPr>
            <w:fldChar w:fldCharType="begin"/>
          </w:r>
          <w:r w:rsidRPr="007D5FB7">
            <w:instrText xml:space="preserve"> TOC \o "1-3" \h \z \u </w:instrText>
          </w:r>
          <w:r w:rsidRPr="007D5FB7">
            <w:rPr>
              <w:rFonts w:eastAsiaTheme="majorEastAsia"/>
              <w:b/>
              <w:bCs/>
              <w:color w:val="0F4761" w:themeColor="accent1" w:themeShade="BF"/>
              <w:lang w:eastAsia="en-US"/>
            </w:rPr>
            <w:fldChar w:fldCharType="separate"/>
          </w:r>
          <w:hyperlink w:anchor="_Toc210326512" w:history="1">
            <w:r w:rsidR="000B536D" w:rsidRPr="009C48EC">
              <w:rPr>
                <w:rStyle w:val="Hyperlink"/>
                <w:b/>
                <w:noProof/>
              </w:rPr>
              <w:t>1 TEMA</w:t>
            </w:r>
            <w:r w:rsidR="000B536D" w:rsidRPr="009C48EC">
              <w:rPr>
                <w:noProof/>
                <w:webHidden/>
              </w:rPr>
              <w:tab/>
            </w:r>
            <w:r w:rsidR="000B536D" w:rsidRPr="009C48EC">
              <w:rPr>
                <w:noProof/>
                <w:webHidden/>
              </w:rPr>
              <w:fldChar w:fldCharType="begin"/>
            </w:r>
            <w:r w:rsidR="000B536D" w:rsidRPr="009C48EC">
              <w:rPr>
                <w:noProof/>
                <w:webHidden/>
              </w:rPr>
              <w:instrText xml:space="preserve"> PAGEREF _Toc210326512 \h </w:instrText>
            </w:r>
            <w:r w:rsidR="000B536D" w:rsidRPr="009C48EC">
              <w:rPr>
                <w:noProof/>
                <w:webHidden/>
              </w:rPr>
            </w:r>
            <w:r w:rsidR="000B536D"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4</w:t>
            </w:r>
            <w:r w:rsidR="000B536D" w:rsidRPr="009C48EC">
              <w:rPr>
                <w:noProof/>
                <w:webHidden/>
              </w:rPr>
              <w:fldChar w:fldCharType="end"/>
            </w:r>
          </w:hyperlink>
        </w:p>
        <w:p w14:paraId="013713F7" w14:textId="18D56B79" w:rsidR="000B536D" w:rsidRPr="009C48EC" w:rsidRDefault="000B536D" w:rsidP="000B536D">
          <w:pPr>
            <w:pStyle w:val="Sumrio1"/>
            <w:tabs>
              <w:tab w:val="right" w:leader="dot" w:pos="9061"/>
            </w:tabs>
            <w:spacing w:after="0" w:line="360" w:lineRule="auto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3" w:history="1">
            <w:r w:rsidRPr="009C48EC">
              <w:rPr>
                <w:rStyle w:val="Hyperlink"/>
                <w:b/>
                <w:noProof/>
              </w:rPr>
              <w:t>2 PERGUNTA DE PESQUISA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_Toc210326513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5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39058ABA" w14:textId="715BAB81" w:rsidR="000B536D" w:rsidRPr="009C48EC" w:rsidRDefault="000B536D" w:rsidP="000B536D">
          <w:pPr>
            <w:pStyle w:val="Sumrio1"/>
            <w:tabs>
              <w:tab w:val="right" w:leader="dot" w:pos="9061"/>
            </w:tabs>
            <w:spacing w:after="0" w:line="360" w:lineRule="auto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4" w:history="1">
            <w:r w:rsidRPr="009C48EC">
              <w:rPr>
                <w:rStyle w:val="Hyperlink"/>
                <w:b/>
                <w:noProof/>
              </w:rPr>
              <w:t>3 REVISÃO DA LITERATURA E REFERENCIAL TEÓRICO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_Toc210326514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5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24A7CA8E" w14:textId="05D83F99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5" w:history="1">
            <w:r w:rsidRPr="009C48EC">
              <w:rPr>
                <w:rStyle w:val="Hyperlink"/>
                <w:b/>
                <w:noProof/>
              </w:rPr>
              <w:t>3.1 A OEA e a tradição interamericana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_Toc210326515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5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54126561" w14:textId="008ED57A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6" w:history="1">
            <w:r w:rsidRPr="009C48EC">
              <w:rPr>
                <w:rStyle w:val="Hyperlink"/>
                <w:b/>
                <w:noProof/>
              </w:rPr>
              <w:t>3.2 A emergência da CELAC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_Toc210326516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6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60C81221" w14:textId="5D06706D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7" w:history="1">
            <w:r w:rsidRPr="009C48EC">
              <w:rPr>
                <w:rStyle w:val="Hyperlink"/>
                <w:b/>
                <w:noProof/>
              </w:rPr>
              <w:t>3.3 Regionalismo pós-hegemônico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_Toc210326517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7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766C584C" w14:textId="292DFFC1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8" w:history="1">
            <w:r w:rsidRPr="009C48EC">
              <w:rPr>
                <w:rStyle w:val="Hyperlink"/>
                <w:b/>
                <w:noProof/>
              </w:rPr>
              <w:t>3.4 Hegemonia, autonomia e política externa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_Toc210326518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8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3584536C" w14:textId="3794AEF8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9" w:history="1">
            <w:r w:rsidRPr="009C48EC">
              <w:rPr>
                <w:rStyle w:val="Hyperlink"/>
                <w:b/>
                <w:noProof/>
              </w:rPr>
              <w:t>3.5 Estudos de caso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_Toc210326519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8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30811ACC" w14:textId="222BA111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0" w:history="1">
            <w:r w:rsidRPr="009C48EC">
              <w:rPr>
                <w:rStyle w:val="Hyperlink"/>
                <w:b/>
                <w:noProof/>
              </w:rPr>
              <w:t>4 HIPÓTESE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_Toc210326520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9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63EDBF4D" w14:textId="618BE643" w:rsidR="000B536D" w:rsidRPr="009C48EC" w:rsidRDefault="000B536D" w:rsidP="000B536D">
          <w:pPr>
            <w:pStyle w:val="Sumrio1"/>
            <w:tabs>
              <w:tab w:val="right" w:leader="dot" w:pos="9061"/>
            </w:tabs>
            <w:spacing w:after="0" w:line="360" w:lineRule="auto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1" w:history="1">
            <w:r w:rsidRPr="009C48EC">
              <w:rPr>
                <w:rStyle w:val="Hyperlink"/>
                <w:b/>
                <w:noProof/>
              </w:rPr>
              <w:t>5 MÉTODO DE ABORDAGEM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_Toc210326521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9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32D0D9D8" w14:textId="5454C430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2" w:history="1">
            <w:r w:rsidRPr="009C48EC">
              <w:rPr>
                <w:rStyle w:val="Hyperlink"/>
                <w:b/>
                <w:noProof/>
              </w:rPr>
              <w:t>5.1 Método comparativo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_Toc210326522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10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11420A64" w14:textId="758AB2B3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3" w:history="1">
            <w:r w:rsidRPr="009C48EC">
              <w:rPr>
                <w:rStyle w:val="Hyperlink"/>
                <w:b/>
                <w:noProof/>
              </w:rPr>
              <w:t>5.2 Seleção dos casos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_Toc210326523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11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2D95466B" w14:textId="5D016B45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4" w:history="1">
            <w:r w:rsidRPr="009C48EC">
              <w:rPr>
                <w:rStyle w:val="Hyperlink"/>
                <w:b/>
                <w:bCs/>
                <w:noProof/>
              </w:rPr>
              <w:t>5.3 Pesquisa documental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_Toc210326524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11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52BB312A" w14:textId="4AE6684E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5" w:history="1">
            <w:r w:rsidRPr="009C48EC">
              <w:rPr>
                <w:rStyle w:val="Hyperlink"/>
                <w:b/>
                <w:noProof/>
              </w:rPr>
              <w:t>5.4 Entrevistas semiestruturadas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_Toc210326525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12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7259FE3C" w14:textId="1BC15C26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6" w:history="1">
            <w:r w:rsidRPr="009C48EC">
              <w:rPr>
                <w:rStyle w:val="Hyperlink"/>
                <w:b/>
                <w:noProof/>
              </w:rPr>
              <w:t>5.5 Procedimentos de análise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_Toc210326526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12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017B25CF" w14:textId="5C815D51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7" w:history="1">
            <w:r w:rsidRPr="009C48EC">
              <w:rPr>
                <w:rStyle w:val="Hyperlink"/>
                <w:b/>
                <w:bCs/>
                <w:noProof/>
              </w:rPr>
              <w:t>5.6 Limitações metodológicas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_Toc210326527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13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6C6619CA" w14:textId="3169740E" w:rsidR="000B536D" w:rsidRPr="009C48EC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8" w:history="1">
            <w:r w:rsidRPr="009C48EC">
              <w:rPr>
                <w:rStyle w:val="Hyperlink"/>
                <w:b/>
                <w:bCs/>
                <w:noProof/>
              </w:rPr>
              <w:t>6 CONSIDERAÇÕES FINAIS PRELIMINARES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_Toc210326528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13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23F83EF1" w14:textId="56E3D755" w:rsidR="000B536D" w:rsidRPr="009C48EC" w:rsidRDefault="000B536D" w:rsidP="000B536D">
          <w:pPr>
            <w:pStyle w:val="Sumrio1"/>
            <w:tabs>
              <w:tab w:val="right" w:leader="dot" w:pos="9061"/>
            </w:tabs>
            <w:spacing w:after="0" w:line="360" w:lineRule="auto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9" w:history="1">
            <w:r w:rsidRPr="009C48EC">
              <w:rPr>
                <w:rStyle w:val="Hyperlink"/>
                <w:b/>
                <w:bCs/>
                <w:noProof/>
              </w:rPr>
              <w:t>REFERÊNCIAS</w:t>
            </w:r>
            <w:r w:rsidRPr="009C48EC">
              <w:rPr>
                <w:noProof/>
                <w:webHidden/>
              </w:rPr>
              <w:tab/>
            </w:r>
            <w:r w:rsidRPr="009C48EC">
              <w:rPr>
                <w:noProof/>
                <w:webHidden/>
              </w:rPr>
              <w:fldChar w:fldCharType="begin"/>
            </w:r>
            <w:r w:rsidRPr="009C48EC">
              <w:rPr>
                <w:noProof/>
                <w:webHidden/>
              </w:rPr>
              <w:instrText xml:space="preserve"> PAGEREF _Toc210326529 \h </w:instrText>
            </w:r>
            <w:r w:rsidRPr="009C48EC">
              <w:rPr>
                <w:noProof/>
                <w:webHidden/>
              </w:rPr>
            </w:r>
            <w:r w:rsidRPr="009C48EC">
              <w:rPr>
                <w:noProof/>
                <w:webHidden/>
              </w:rPr>
              <w:fldChar w:fldCharType="separate"/>
            </w:r>
            <w:r w:rsidR="00C90787">
              <w:rPr>
                <w:noProof/>
                <w:webHidden/>
              </w:rPr>
              <w:t>14</w:t>
            </w:r>
            <w:r w:rsidRPr="009C48EC">
              <w:rPr>
                <w:noProof/>
                <w:webHidden/>
              </w:rPr>
              <w:fldChar w:fldCharType="end"/>
            </w:r>
          </w:hyperlink>
        </w:p>
        <w:p w14:paraId="1D83ABF0" w14:textId="0593596E" w:rsidR="007D5FB7" w:rsidRDefault="007D5FB7" w:rsidP="007D5FB7">
          <w:pPr>
            <w:spacing w:line="360" w:lineRule="auto"/>
          </w:pPr>
          <w:r w:rsidRPr="007D5FB7">
            <w:fldChar w:fldCharType="end"/>
          </w:r>
        </w:p>
      </w:sdtContent>
    </w:sdt>
    <w:p w14:paraId="5F67E4C9" w14:textId="77777777" w:rsidR="006A53B4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2FC0E19D" w14:textId="77777777" w:rsidR="006A53B4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159C21C6" w14:textId="77777777" w:rsidR="006A53B4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21C86553" w14:textId="77777777" w:rsidR="006A53B4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1FE3E411" w14:textId="77777777" w:rsidR="006A53B4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04B11B86" w14:textId="77777777" w:rsidR="006A53B4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197991C3" w14:textId="77777777" w:rsidR="006A53B4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67D9B483" w14:textId="77777777" w:rsidR="006A53B4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25EEFB27" w14:textId="77777777" w:rsidR="006A53B4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5C25E0C8" w14:textId="77777777" w:rsidR="006A53B4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342D3BCA" w14:textId="77777777" w:rsidR="007D5FB7" w:rsidRDefault="007D5FB7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  <w:sectPr w:rsidR="007D5FB7" w:rsidSect="00703DD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465B73C6" w14:textId="77777777" w:rsidR="00137E95" w:rsidRPr="00C205D5" w:rsidRDefault="00C205D5" w:rsidP="00C205D5">
      <w:pPr>
        <w:pStyle w:val="Ttulo1"/>
        <w:spacing w:before="0"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10" w:name="_Toc210326512"/>
      <w:r w:rsidRPr="00C205D5">
        <w:rPr>
          <w:rFonts w:ascii="Times New Roman" w:hAnsi="Times New Roman" w:cs="Times New Roman"/>
          <w:b/>
          <w:sz w:val="24"/>
          <w:szCs w:val="24"/>
        </w:rPr>
        <w:lastRenderedPageBreak/>
        <w:t>1 TEMA</w:t>
      </w:r>
      <w:bookmarkEnd w:id="10"/>
    </w:p>
    <w:p w14:paraId="3D754008" w14:textId="77777777" w:rsidR="00C205D5" w:rsidRDefault="00C205D5" w:rsidP="00C205D5">
      <w:pPr>
        <w:spacing w:line="360" w:lineRule="auto"/>
        <w:ind w:firstLine="709"/>
        <w:jc w:val="both"/>
        <w:rPr>
          <w:color w:val="000000"/>
        </w:rPr>
      </w:pPr>
    </w:p>
    <w:p w14:paraId="56264939" w14:textId="77777777" w:rsidR="00AA6254" w:rsidRDefault="00AA6254" w:rsidP="005E146A">
      <w:pPr>
        <w:spacing w:line="360" w:lineRule="auto"/>
        <w:ind w:firstLine="709"/>
        <w:jc w:val="both"/>
        <w:rPr>
          <w:color w:val="000000"/>
        </w:rPr>
      </w:pPr>
      <w:r w:rsidRPr="00AA6254">
        <w:rPr>
          <w:color w:val="000000"/>
        </w:rPr>
        <w:t>O presente trabalho de pesquisa propõe investigar a disputa entre diferentes modelos de governança regional na América Latina e no Caribe, tendo como foco comparativo a Organização dos Estados Americanos (OEA) e a Comunidade de Estados Latino-Americanos e Caribenhos (CELAC). O tema se insere no debate mais amplo sobre o </w:t>
      </w:r>
      <w:r w:rsidRPr="00AA6254">
        <w:rPr>
          <w:b/>
          <w:bCs/>
          <w:color w:val="000000"/>
        </w:rPr>
        <w:t>regionalismo pós-hegemônico</w:t>
      </w:r>
      <w:r w:rsidRPr="00AA6254">
        <w:rPr>
          <w:color w:val="000000"/>
        </w:rPr>
        <w:t>, conceito formulado por autores como </w:t>
      </w:r>
      <w:proofErr w:type="spellStart"/>
      <w:r w:rsidRPr="00AA6254">
        <w:rPr>
          <w:b/>
          <w:bCs/>
          <w:color w:val="000000"/>
        </w:rPr>
        <w:t>Pía</w:t>
      </w:r>
      <w:proofErr w:type="spellEnd"/>
      <w:r w:rsidRPr="00AA6254">
        <w:rPr>
          <w:b/>
          <w:bCs/>
          <w:color w:val="000000"/>
        </w:rPr>
        <w:t xml:space="preserve"> </w:t>
      </w:r>
      <w:proofErr w:type="spellStart"/>
      <w:r w:rsidRPr="00AA6254">
        <w:rPr>
          <w:b/>
          <w:bCs/>
          <w:color w:val="000000"/>
        </w:rPr>
        <w:t>Riggirozzi</w:t>
      </w:r>
      <w:proofErr w:type="spellEnd"/>
      <w:r w:rsidRPr="00AA6254">
        <w:rPr>
          <w:b/>
          <w:bCs/>
          <w:color w:val="000000"/>
        </w:rPr>
        <w:t xml:space="preserve"> e Diana </w:t>
      </w:r>
      <w:proofErr w:type="spellStart"/>
      <w:r w:rsidRPr="00AA6254">
        <w:rPr>
          <w:b/>
          <w:bCs/>
          <w:color w:val="000000"/>
        </w:rPr>
        <w:t>Tussie</w:t>
      </w:r>
      <w:proofErr w:type="spellEnd"/>
      <w:r w:rsidRPr="00AA6254">
        <w:rPr>
          <w:color w:val="000000"/>
        </w:rPr>
        <w:t> que descreve um modelo de integração que emergiu nos anos 2000, em reação tanto ao neoliberalismo quanto à hegemonia estadunidense. O objetivo central é compreender em que medida a CELAC, mesmo sem a institucionalidade rígida de organismos tradicionais, pode ser interpretada como uma alternativa pós-hegemônica diante da OEA, que historicamente se consolidou como braço institucional da hegemonia estadunidense no hemisfério.</w:t>
      </w:r>
    </w:p>
    <w:p w14:paraId="15D3F324" w14:textId="77777777" w:rsidR="005F7D0D" w:rsidRPr="00AA6254" w:rsidRDefault="005F7D0D" w:rsidP="005E146A">
      <w:pPr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Busca-se analisar as manifestações dessas disputas não apenas no âmbito politico-normativo, mas também em seus reflexos econômicos e comerciais nos países membro, especialmente durante as crises regionais. </w:t>
      </w:r>
    </w:p>
    <w:p w14:paraId="7F2360F9" w14:textId="77777777" w:rsidR="00AA6254" w:rsidRPr="00AA6254" w:rsidRDefault="00AA6254" w:rsidP="005E146A">
      <w:pPr>
        <w:spacing w:line="360" w:lineRule="auto"/>
        <w:ind w:firstLine="709"/>
        <w:jc w:val="both"/>
        <w:rPr>
          <w:color w:val="000000"/>
        </w:rPr>
      </w:pPr>
      <w:r w:rsidRPr="00AA6254">
        <w:rPr>
          <w:color w:val="000000"/>
        </w:rPr>
        <w:t xml:space="preserve">A OEA, fundada em 1948, no contexto da Guerra Fria, com sede em </w:t>
      </w:r>
      <w:r w:rsidR="0081656F" w:rsidRPr="00400BA4">
        <w:rPr>
          <w:color w:val="000000"/>
        </w:rPr>
        <w:t>Washington,</w:t>
      </w:r>
      <w:r w:rsidRPr="00AA6254">
        <w:rPr>
          <w:color w:val="000000"/>
        </w:rPr>
        <w:t xml:space="preserve"> foi dotada de uma estrutura robusta com carta constitutiva, orçamento regular, secretariado permanente e órgãos especializados, como a Comissão Interamericana de Direitos Humanos (CIDH). No entanto, essa institucionalidade também gerou a percepção de que a OEA é um mecanismo instrumentalizado pelos Estados Unidos para projetar sua influência política, econômica e militar na região.</w:t>
      </w:r>
    </w:p>
    <w:p w14:paraId="0B4C39CE" w14:textId="77777777" w:rsidR="00AA6254" w:rsidRPr="00AA6254" w:rsidRDefault="00AA6254" w:rsidP="005E146A">
      <w:pPr>
        <w:spacing w:line="360" w:lineRule="auto"/>
        <w:ind w:firstLine="709"/>
        <w:jc w:val="both"/>
        <w:rPr>
          <w:color w:val="000000"/>
        </w:rPr>
      </w:pPr>
      <w:r w:rsidRPr="00AA6254">
        <w:rPr>
          <w:color w:val="000000"/>
        </w:rPr>
        <w:t>Já a CELAC, criada em 2010 e formalmente institucionalizada em 2011, distingue-se por ser um fórum intergovernamental flexível, sem sede permanente, carta constitutiva ou orçamento fixo. O seu traço mais marcante é a exclusão deliberada dos Estados Unidos e do Canadá, reunindo apenas os 33 países da América Latina e do Caribe. Ao se organizar dessa forma, a CELAC afirma sua vocação política de criar um espaço de diálogo regional livre da tutela de Washington.</w:t>
      </w:r>
    </w:p>
    <w:p w14:paraId="0652455E" w14:textId="77777777" w:rsidR="00B961AA" w:rsidRDefault="00B961AA" w:rsidP="005E146A">
      <w:pPr>
        <w:spacing w:line="360" w:lineRule="auto"/>
        <w:ind w:firstLine="709"/>
        <w:jc w:val="both"/>
        <w:rPr>
          <w:color w:val="000000"/>
        </w:rPr>
      </w:pPr>
      <w:r w:rsidRPr="00400BA4">
        <w:rPr>
          <w:rStyle w:val="citation-89"/>
          <w:color w:val="000000"/>
        </w:rPr>
        <w:t xml:space="preserve">Observação: </w:t>
      </w:r>
      <w:r w:rsidRPr="00400BA4">
        <w:rPr>
          <w:rStyle w:val="citation-89"/>
          <w:rFonts w:eastAsiaTheme="majorEastAsia"/>
          <w:color w:val="000000"/>
        </w:rPr>
        <w:t>"Embora haja vasta literatura sobre a OEA, sua instrumentalização pelos Estados Unidos</w:t>
      </w:r>
      <w:r w:rsidRPr="00400BA4">
        <w:rPr>
          <w:rStyle w:val="apple-converted-space"/>
          <w:rFonts w:eastAsiaTheme="majorEastAsia"/>
          <w:color w:val="000000"/>
        </w:rPr>
        <w:t> </w:t>
      </w:r>
      <w:r w:rsidRPr="00400BA4">
        <w:rPr>
          <w:color w:val="000000"/>
        </w:rPr>
        <w:t>e suas fragilidades, e também sobre a emergência da CELAC como uma alternativa política, a literatura carece de uma análise comparativa aprofundada que examine como a coexistência desses dois modelos (o interamericaníssimo tradicional da OEA e o regionalismo pós-hegemônico da CELAC) se manifesta em crises regionais específicas. Este trabalho busca dar uma contribuição, investigando as dinâmicas de governança, legitimidade e eficácia de cada organismo."</w:t>
      </w:r>
    </w:p>
    <w:p w14:paraId="1D3BDD19" w14:textId="77777777" w:rsidR="00137E95" w:rsidRPr="00C205D5" w:rsidRDefault="00C205D5" w:rsidP="00C205D5">
      <w:pPr>
        <w:pStyle w:val="Ttulo1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1" w:name="_Toc210326513"/>
      <w:r w:rsidRPr="00C205D5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2 PERGUNTA DE PESQUISA</w:t>
      </w:r>
      <w:bookmarkEnd w:id="11"/>
    </w:p>
    <w:p w14:paraId="1C9DD988" w14:textId="77777777" w:rsidR="00285FC0" w:rsidRDefault="00285FC0" w:rsidP="00C205D5">
      <w:pPr>
        <w:spacing w:line="360" w:lineRule="auto"/>
        <w:ind w:firstLine="709"/>
        <w:jc w:val="both"/>
        <w:rPr>
          <w:bCs/>
          <w:color w:val="000000"/>
        </w:rPr>
      </w:pPr>
    </w:p>
    <w:p w14:paraId="6EAEFAE3" w14:textId="12085CC7" w:rsidR="00137E95" w:rsidRPr="00285FC0" w:rsidRDefault="00882576" w:rsidP="00C205D5">
      <w:pPr>
        <w:spacing w:line="360" w:lineRule="auto"/>
        <w:ind w:firstLine="709"/>
        <w:jc w:val="both"/>
        <w:rPr>
          <w:color w:val="000000"/>
        </w:rPr>
      </w:pPr>
      <w:r w:rsidRPr="00285FC0">
        <w:rPr>
          <w:bCs/>
          <w:color w:val="000000"/>
        </w:rPr>
        <w:t>Como a</w:t>
      </w:r>
      <w:r w:rsidR="00137E95" w:rsidRPr="00285FC0">
        <w:rPr>
          <w:bCs/>
          <w:color w:val="000000"/>
        </w:rPr>
        <w:t xml:space="preserve"> CELAC </w:t>
      </w:r>
      <w:r w:rsidR="00B961AA" w:rsidRPr="00285FC0">
        <w:rPr>
          <w:bCs/>
          <w:color w:val="000000"/>
        </w:rPr>
        <w:t>exp</w:t>
      </w:r>
      <w:r w:rsidR="00C205D5">
        <w:rPr>
          <w:bCs/>
          <w:color w:val="000000"/>
        </w:rPr>
        <w:t>ressa um modelo de governança pó</w:t>
      </w:r>
      <w:r w:rsidR="00B961AA" w:rsidRPr="00285FC0">
        <w:rPr>
          <w:bCs/>
          <w:color w:val="000000"/>
        </w:rPr>
        <w:t>s-hegemônica em contraste com a institucionalidade hegemônica da OEA na América Latina e no Caribe</w:t>
      </w:r>
      <w:r w:rsidR="005F7D0D" w:rsidRPr="00285FC0">
        <w:rPr>
          <w:bCs/>
          <w:color w:val="000000"/>
        </w:rPr>
        <w:t xml:space="preserve"> e quais são os reflexos econômicos e comerciais nestes países</w:t>
      </w:r>
      <w:r w:rsidR="00B961AA" w:rsidRPr="00285FC0">
        <w:rPr>
          <w:bCs/>
          <w:color w:val="000000"/>
        </w:rPr>
        <w:t xml:space="preserve">? </w:t>
      </w:r>
    </w:p>
    <w:p w14:paraId="49DBD76B" w14:textId="77777777" w:rsidR="00285FC0" w:rsidRDefault="00285FC0" w:rsidP="00C205D5">
      <w:pPr>
        <w:spacing w:line="360" w:lineRule="auto"/>
        <w:jc w:val="both"/>
        <w:outlineLvl w:val="2"/>
        <w:rPr>
          <w:b/>
          <w:bCs/>
          <w:color w:val="000000"/>
        </w:rPr>
      </w:pPr>
    </w:p>
    <w:p w14:paraId="11E3EE94" w14:textId="6F9BE6F2" w:rsidR="00137E95" w:rsidRPr="00C205D5" w:rsidRDefault="00C205D5" w:rsidP="00C205D5">
      <w:pPr>
        <w:pStyle w:val="Ttulo1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210326514"/>
      <w:r w:rsidRPr="00C205D5">
        <w:rPr>
          <w:rFonts w:ascii="Times New Roman" w:hAnsi="Times New Roman" w:cs="Times New Roman"/>
          <w:b/>
          <w:color w:val="auto"/>
          <w:sz w:val="24"/>
          <w:szCs w:val="24"/>
        </w:rPr>
        <w:t xml:space="preserve">3 REVISÃO DA </w:t>
      </w:r>
      <w:bookmarkEnd w:id="12"/>
      <w:r w:rsidR="00753A65" w:rsidRPr="00C205D5">
        <w:rPr>
          <w:rFonts w:ascii="Times New Roman" w:hAnsi="Times New Roman" w:cs="Times New Roman"/>
          <w:b/>
          <w:color w:val="auto"/>
          <w:sz w:val="24"/>
          <w:szCs w:val="24"/>
        </w:rPr>
        <w:t>LITERATURA E REFERENCIAL TEÓRICOS</w:t>
      </w:r>
    </w:p>
    <w:p w14:paraId="70445AE9" w14:textId="77777777" w:rsidR="00285FC0" w:rsidRDefault="00285FC0" w:rsidP="00C205D5">
      <w:pPr>
        <w:spacing w:line="360" w:lineRule="auto"/>
        <w:ind w:firstLine="708"/>
        <w:jc w:val="both"/>
        <w:rPr>
          <w:color w:val="000000"/>
        </w:rPr>
      </w:pPr>
    </w:p>
    <w:p w14:paraId="096090DD" w14:textId="77777777" w:rsidR="00137E95" w:rsidRDefault="00137E95" w:rsidP="00285FC0">
      <w:pPr>
        <w:spacing w:line="360" w:lineRule="auto"/>
        <w:ind w:firstLine="708"/>
        <w:jc w:val="both"/>
        <w:rPr>
          <w:color w:val="000000"/>
        </w:rPr>
      </w:pPr>
      <w:r w:rsidRPr="00137E95">
        <w:rPr>
          <w:color w:val="000000"/>
        </w:rPr>
        <w:t>A revisão de literatura e o referencial teórico são organizados em quatro blocos: (a) a tradição interamericana representada pela OEA; (b) a emergência da CELAC como fórum político; (c) a conceituação do regionalismo pós-hegemônico; (d) os debates sobre hegemonia e autonomia na política externa latino-americana</w:t>
      </w:r>
      <w:r w:rsidR="005F7D0D">
        <w:rPr>
          <w:color w:val="000000"/>
        </w:rPr>
        <w:t>; e (e) debate sobre coerção econômica e interdependência assimétrica</w:t>
      </w:r>
      <w:r w:rsidRPr="00137E95">
        <w:rPr>
          <w:color w:val="000000"/>
        </w:rPr>
        <w:t>. Em seguida, serão apresentados os estudos de caso que servirão de base empírica para a pesquisa.</w:t>
      </w:r>
    </w:p>
    <w:p w14:paraId="58A21745" w14:textId="77777777" w:rsidR="00C205D5" w:rsidRPr="00400BA4" w:rsidRDefault="00C205D5" w:rsidP="00C205D5">
      <w:pPr>
        <w:spacing w:line="360" w:lineRule="auto"/>
        <w:ind w:firstLine="708"/>
        <w:jc w:val="both"/>
        <w:rPr>
          <w:color w:val="000000"/>
        </w:rPr>
      </w:pPr>
    </w:p>
    <w:p w14:paraId="5D63999E" w14:textId="77777777" w:rsidR="00137E95" w:rsidRDefault="00137E95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3" w:name="_Toc210326515"/>
      <w:r w:rsidRPr="00C205D5">
        <w:rPr>
          <w:rFonts w:ascii="Times New Roman" w:hAnsi="Times New Roman" w:cs="Times New Roman"/>
          <w:b/>
          <w:color w:val="auto"/>
          <w:sz w:val="24"/>
          <w:szCs w:val="24"/>
        </w:rPr>
        <w:t>3.1 A OEA e a tradição interamericana</w:t>
      </w:r>
      <w:bookmarkEnd w:id="13"/>
    </w:p>
    <w:p w14:paraId="51091D49" w14:textId="77777777" w:rsidR="00C205D5" w:rsidRPr="00C205D5" w:rsidRDefault="00C205D5" w:rsidP="00C205D5"/>
    <w:p w14:paraId="65B56005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A OEA foi criada na Conferência de Bogotá, em 1948, como parte do esforço estadunidense de consolidar sua liderança hemisférica no início da Guerra Fria. A Carta da OEA estabeleceu princípios como democracia representativa, defesa coletiva e não intervenção. Contudo, na prática, a organização operou como instrumento da política externa dos EUA.</w:t>
      </w:r>
    </w:p>
    <w:p w14:paraId="7A318C3C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Exemplos não faltam. Em 1962, a OEA suspendeu Cuba após a revolução socialista liderada por Fidel Castro, alegando incompatibilidade entre marxismo-leninismo e os princípios do sistema interamericano. Essa decisão simbolizou a exclusão ideológica e reforçou a percepção de que a OEA servia como braço da Guerra Fria.</w:t>
      </w:r>
    </w:p>
    <w:p w14:paraId="59DDD3A1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Outro episódio foi a intervenção na República Dominicana em 1965. Sob o pretexto de conter o avanço do comunismo, os EUA enviaram tropas ao país caribenho e a OEA legitimou a ação, estabelecendo a Força Interamericana de Paz. Esse caso reforçou críticas de que a organização, em vez de garantir a não intervenção, funcionava como mecanismo de validação para a política de segurança de Washington.</w:t>
      </w:r>
    </w:p>
    <w:p w14:paraId="2E0CAED1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 xml:space="preserve">Nas décadas de 1970 e 1980, a OEA conviveu com ditaduras militares em diversos países do Cone Sul. Apesar de dispor da CIDH desde 1959, o organismo teve dificuldades para enfrentar violações de direitos humanos. Ainda assim, a CIDH publicou relatórios históricos </w:t>
      </w:r>
      <w:r w:rsidRPr="00137E95">
        <w:rPr>
          <w:color w:val="000000"/>
        </w:rPr>
        <w:lastRenderedPageBreak/>
        <w:t>denunciando abusos na Argentina (1979) e no Chile (1985). Tais relatórios, embora relevantes, foram insuficientes para reverter a percepção de seletividade e ineficácia.</w:t>
      </w:r>
    </w:p>
    <w:p w14:paraId="379B4DE9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Nos anos 1990, com a redemocratização da região e o fim da Guerra Fria, a OEA buscou se reposicionar como defensora da democracia. Foi nesse contexto que lançou missões de observação eleitoral e, em 2001, aprovou a Carta Democrática Interamericana. Esse documento representou avanço normativo, mas sua aplicação prática continuou desigual.</w:t>
      </w:r>
    </w:p>
    <w:p w14:paraId="5C08B025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 xml:space="preserve">Em Honduras (2009), após o golpe contra Manuel Zelaya, a OEA suspendeu o país, demonstrando rapidez na aplicação da Carta Democrática. Porém, no Paraguai (2012), diante do impeachment sumário de Fernando Lugo, a organização foi criticada por complacência e timidez. Essa seletividade confirma a tese de </w:t>
      </w:r>
      <w:proofErr w:type="spellStart"/>
      <w:r w:rsidRPr="00137E95">
        <w:rPr>
          <w:color w:val="000000"/>
        </w:rPr>
        <w:t>Malamud</w:t>
      </w:r>
      <w:proofErr w:type="spellEnd"/>
      <w:r w:rsidRPr="00137E95">
        <w:rPr>
          <w:color w:val="000000"/>
        </w:rPr>
        <w:t xml:space="preserve"> (2017), segundo a qual a OEA é ao mesmo tempo necessária e irrelevante: necessária porque mantém institucionalidade, irrelevante porque raramente atua de forma autônoma em relação aos EUA.</w:t>
      </w:r>
    </w:p>
    <w:p w14:paraId="545A66BD" w14:textId="77777777" w:rsid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Do ponto de vista teórico, a OEA encarna o </w:t>
      </w:r>
      <w:r w:rsidRPr="00477BC9">
        <w:rPr>
          <w:bCs/>
          <w:color w:val="000000"/>
        </w:rPr>
        <w:t>interamericanismo tradicional</w:t>
      </w:r>
      <w:r w:rsidRPr="00137E95">
        <w:rPr>
          <w:color w:val="000000"/>
        </w:rPr>
        <w:t>, baseado na centralidade de Washington e na crença de que a democracia e a estabilidade hemisférica só podem ser garantidas sob liderança estadunidense. Essa concepção, entretanto, entrou em crise à medida que emergiram alternativas regionais.</w:t>
      </w:r>
    </w:p>
    <w:p w14:paraId="2B243EB2" w14:textId="77777777" w:rsidR="00285FC0" w:rsidRPr="00400BA4" w:rsidRDefault="00285FC0" w:rsidP="00C205D5">
      <w:pPr>
        <w:spacing w:line="360" w:lineRule="auto"/>
        <w:jc w:val="both"/>
        <w:rPr>
          <w:color w:val="000000"/>
        </w:rPr>
      </w:pPr>
    </w:p>
    <w:p w14:paraId="28860AEE" w14:textId="77777777" w:rsidR="00137E95" w:rsidRDefault="00137E95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4" w:name="_Toc210326516"/>
      <w:r w:rsidRPr="00C205D5">
        <w:rPr>
          <w:rFonts w:ascii="Times New Roman" w:hAnsi="Times New Roman" w:cs="Times New Roman"/>
          <w:b/>
          <w:color w:val="auto"/>
          <w:sz w:val="24"/>
          <w:szCs w:val="24"/>
        </w:rPr>
        <w:t>3.2 A emergência da CELAC</w:t>
      </w:r>
      <w:bookmarkEnd w:id="14"/>
    </w:p>
    <w:p w14:paraId="395E2540" w14:textId="77777777" w:rsidR="00C205D5" w:rsidRPr="00C205D5" w:rsidRDefault="00C205D5" w:rsidP="00C205D5">
      <w:pPr>
        <w:spacing w:line="360" w:lineRule="auto"/>
      </w:pPr>
    </w:p>
    <w:p w14:paraId="6BC7EB74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A CELAC surgiu em 2010, na cúpula de Cancún, e foi institucionalizada em 2011, em Caracas. Diferente da OEA, não é um organismo internacional com carta constitutiva, mas sim um </w:t>
      </w:r>
      <w:r w:rsidRPr="00753A65">
        <w:rPr>
          <w:color w:val="000000"/>
        </w:rPr>
        <w:t>fórum intergovernamental</w:t>
      </w:r>
      <w:r w:rsidRPr="00137E95">
        <w:rPr>
          <w:color w:val="000000"/>
        </w:rPr>
        <w:t> baseado no consenso. Reúne todos os 33 países da América Latina e Caribe, excluindo explicitamente os Estados Unidos e o Canadá.</w:t>
      </w:r>
    </w:p>
    <w:p w14:paraId="6FA0ADDC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A criação da CELAC reflete o contexto político da chamada “onda progressista” latino-americana. Presidentes como Hugo Chávez (Venezuela), Luiz Inácio Lula da Silva (Brasil), Rafael Correa (Equador) e Evo Morales (Bolívia) buscavam maior autonomia regional, afastando-se da lógica hegemônica da OEA. Nesse sentido, a CELAC nasceu como espaço de concertação política, e não como instituição com poderes jurídicos vinculantes.</w:t>
      </w:r>
    </w:p>
    <w:p w14:paraId="023AC058" w14:textId="4AF7BC76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 xml:space="preserve">Sua fragilidade institucional é evidente: não possui sede, orçamento fixo, secretariado permanente ou mecanismos de sanção. No entanto, essa mesma fragilidade é </w:t>
      </w:r>
      <w:proofErr w:type="spellStart"/>
      <w:r w:rsidRPr="00137E95">
        <w:rPr>
          <w:color w:val="000000"/>
        </w:rPr>
        <w:t>interp</w:t>
      </w:r>
      <w:proofErr w:type="spellEnd"/>
      <w:r w:rsidR="00753A65">
        <w:rPr>
          <w:color w:val="000000"/>
        </w:rPr>
        <w:t xml:space="preserve"> </w:t>
      </w:r>
      <w:r w:rsidRPr="00137E95">
        <w:rPr>
          <w:color w:val="000000"/>
        </w:rPr>
        <w:t xml:space="preserve">retada por alguns autores como recurso político. </w:t>
      </w:r>
      <w:proofErr w:type="spellStart"/>
      <w:r w:rsidRPr="00137E95">
        <w:rPr>
          <w:color w:val="000000"/>
        </w:rPr>
        <w:t>Sanahuja</w:t>
      </w:r>
      <w:proofErr w:type="spellEnd"/>
      <w:r w:rsidRPr="00137E95">
        <w:rPr>
          <w:color w:val="000000"/>
        </w:rPr>
        <w:t xml:space="preserve"> (2014) argumenta que a CELAC é símbolo do regionalismo pós-hegemônico: ao excluir Washington, afirma autonomia regional; ao funcionar com base no consenso, reforça soberania dos Estados.</w:t>
      </w:r>
    </w:p>
    <w:p w14:paraId="22F1A758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lastRenderedPageBreak/>
        <w:t>A CELAC protagonizou declarações políticas relevantes. Em Havana (2014), proclamou a América Latina e Caribe como “zona de paz”, destacando a solução pacífica de controvérsias e o respeito à soberania. Em outros momentos, atuou como espaço de diálogo sobre integração produtiva, infraestrutura e desenvolvimento sustentável.</w:t>
      </w:r>
    </w:p>
    <w:p w14:paraId="2BAD975D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A CELAC também teve papel simbólico na reinserção de Cuba no cenário regional. Enquanto a OEA manteve a suspensão de Havana por décadas, a CELAC sempre contou com Cuba como membro pleno. Esse contraste evidencia o caráter inclusivo da CELAC e sua disposição de questionar exclusões ideológicas herdadas da Guerra Fria.</w:t>
      </w:r>
    </w:p>
    <w:p w14:paraId="3D94A4B3" w14:textId="77777777" w:rsid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Ainda que limitada em termos de capacidade operacional, a CELAC se consolidou como foro alternativo que dá voz a uma concepção distinta de governança regional, menos hierárquica e mais autônoma.</w:t>
      </w:r>
    </w:p>
    <w:p w14:paraId="0A7F3FAC" w14:textId="77777777" w:rsidR="00C205D5" w:rsidRDefault="00C205D5" w:rsidP="00285FC0">
      <w:pPr>
        <w:spacing w:line="360" w:lineRule="auto"/>
        <w:ind w:firstLine="709"/>
        <w:jc w:val="both"/>
        <w:rPr>
          <w:color w:val="000000"/>
        </w:rPr>
      </w:pPr>
    </w:p>
    <w:p w14:paraId="4EBA5864" w14:textId="77777777" w:rsidR="00137E95" w:rsidRPr="00C205D5" w:rsidRDefault="00137E95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5" w:name="_Toc210326517"/>
      <w:r w:rsidRPr="00C205D5">
        <w:rPr>
          <w:rFonts w:ascii="Times New Roman" w:hAnsi="Times New Roman" w:cs="Times New Roman"/>
          <w:b/>
          <w:color w:val="auto"/>
          <w:sz w:val="24"/>
          <w:szCs w:val="24"/>
        </w:rPr>
        <w:t>3.3 Regionalismo pós-hegemônico</w:t>
      </w:r>
      <w:bookmarkEnd w:id="15"/>
    </w:p>
    <w:p w14:paraId="5DDDC2ED" w14:textId="77777777" w:rsidR="00285FC0" w:rsidRDefault="00285FC0" w:rsidP="00C205D5">
      <w:pPr>
        <w:spacing w:line="360" w:lineRule="auto"/>
        <w:ind w:firstLine="709"/>
        <w:jc w:val="both"/>
        <w:rPr>
          <w:color w:val="000000"/>
        </w:rPr>
      </w:pPr>
    </w:p>
    <w:p w14:paraId="1F8BECB2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 xml:space="preserve">O conceito de regionalismo pós-hegemônico é central para compreender a CELAC. Formulado por autores como </w:t>
      </w:r>
      <w:proofErr w:type="spellStart"/>
      <w:r w:rsidRPr="00137E95">
        <w:rPr>
          <w:color w:val="000000"/>
        </w:rPr>
        <w:t>Pía</w:t>
      </w:r>
      <w:proofErr w:type="spellEnd"/>
      <w:r w:rsidRPr="00137E95">
        <w:rPr>
          <w:color w:val="000000"/>
        </w:rPr>
        <w:t xml:space="preserve"> </w:t>
      </w:r>
      <w:proofErr w:type="spellStart"/>
      <w:r w:rsidRPr="00137E95">
        <w:rPr>
          <w:color w:val="000000"/>
        </w:rPr>
        <w:t>Riggirozzi</w:t>
      </w:r>
      <w:proofErr w:type="spellEnd"/>
      <w:r w:rsidRPr="00137E95">
        <w:rPr>
          <w:color w:val="000000"/>
        </w:rPr>
        <w:t xml:space="preserve"> e Diana </w:t>
      </w:r>
      <w:proofErr w:type="spellStart"/>
      <w:r w:rsidRPr="00137E95">
        <w:rPr>
          <w:color w:val="000000"/>
        </w:rPr>
        <w:t>Tussie</w:t>
      </w:r>
      <w:proofErr w:type="spellEnd"/>
      <w:r w:rsidRPr="00137E95">
        <w:rPr>
          <w:color w:val="000000"/>
        </w:rPr>
        <w:t xml:space="preserve"> (2012), descreve um modelo de integração que emergiu nos anos 2000, em reação tanto ao neoliberalismo dos anos 1990 quanto à hegemonia estadunidense.</w:t>
      </w:r>
    </w:p>
    <w:p w14:paraId="56042009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Três características principais marcam esse regionalismo:</w:t>
      </w:r>
    </w:p>
    <w:p w14:paraId="774DDC06" w14:textId="77777777" w:rsidR="00137E95" w:rsidRPr="00477BC9" w:rsidRDefault="00137E95" w:rsidP="00285FC0">
      <w:pPr>
        <w:numPr>
          <w:ilvl w:val="0"/>
          <w:numId w:val="15"/>
        </w:numPr>
        <w:spacing w:line="360" w:lineRule="auto"/>
        <w:ind w:left="0" w:firstLine="709"/>
        <w:jc w:val="both"/>
        <w:rPr>
          <w:color w:val="000000"/>
        </w:rPr>
      </w:pPr>
      <w:r w:rsidRPr="00477BC9">
        <w:rPr>
          <w:bCs/>
          <w:color w:val="000000"/>
        </w:rPr>
        <w:t>Exclusão dos EUA dos processos decisórios.</w:t>
      </w:r>
    </w:p>
    <w:p w14:paraId="00FEBB75" w14:textId="77777777" w:rsidR="00137E95" w:rsidRPr="00477BC9" w:rsidRDefault="00137E95" w:rsidP="00285FC0">
      <w:pPr>
        <w:numPr>
          <w:ilvl w:val="0"/>
          <w:numId w:val="15"/>
        </w:numPr>
        <w:spacing w:line="360" w:lineRule="auto"/>
        <w:ind w:left="0" w:firstLine="709"/>
        <w:jc w:val="both"/>
        <w:rPr>
          <w:color w:val="000000"/>
        </w:rPr>
      </w:pPr>
      <w:r w:rsidRPr="00477BC9">
        <w:rPr>
          <w:bCs/>
          <w:color w:val="000000"/>
        </w:rPr>
        <w:t>Ênfase na soberania e na não intervenção.</w:t>
      </w:r>
    </w:p>
    <w:p w14:paraId="476A32EC" w14:textId="77777777" w:rsidR="00137E95" w:rsidRPr="00477BC9" w:rsidRDefault="00137E95" w:rsidP="00285FC0">
      <w:pPr>
        <w:numPr>
          <w:ilvl w:val="0"/>
          <w:numId w:val="15"/>
        </w:numPr>
        <w:spacing w:line="360" w:lineRule="auto"/>
        <w:ind w:left="0" w:firstLine="709"/>
        <w:jc w:val="both"/>
        <w:rPr>
          <w:color w:val="000000"/>
        </w:rPr>
      </w:pPr>
      <w:r w:rsidRPr="00477BC9">
        <w:rPr>
          <w:bCs/>
          <w:color w:val="000000"/>
        </w:rPr>
        <w:t>Flexibilidade institucional, sem regras vinculantes.</w:t>
      </w:r>
    </w:p>
    <w:p w14:paraId="50306326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proofErr w:type="spellStart"/>
      <w:r w:rsidRPr="00137E95">
        <w:rPr>
          <w:color w:val="000000"/>
        </w:rPr>
        <w:t>Briceño</w:t>
      </w:r>
      <w:proofErr w:type="spellEnd"/>
      <w:r w:rsidRPr="00137E95">
        <w:rPr>
          <w:color w:val="000000"/>
        </w:rPr>
        <w:t xml:space="preserve"> Ruiz (2013) sustenta que o pós-hegemonismo não deve ser entendido apenas como resistência, mas como afirmação de agendas próprias de desenvolvimento e inclusão social. Autores como </w:t>
      </w:r>
      <w:proofErr w:type="spellStart"/>
      <w:r w:rsidRPr="00137E95">
        <w:rPr>
          <w:color w:val="000000"/>
        </w:rPr>
        <w:t>Detlef</w:t>
      </w:r>
      <w:proofErr w:type="spellEnd"/>
      <w:r w:rsidRPr="00137E95">
        <w:rPr>
          <w:color w:val="000000"/>
        </w:rPr>
        <w:t xml:space="preserve"> Nolte (2018) acrescentam que o regionalismo pós-hegemônico expressa a fragmentação das iniciativas regionais, resultando em múltiplos arranjos sobrepostos, entre eles CELAC, UNASUL e ALBA.</w:t>
      </w:r>
    </w:p>
    <w:p w14:paraId="6B587ED2" w14:textId="77777777" w:rsidR="00137E95" w:rsidRPr="00400BA4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A CELAC exemplifica esse modelo ao priorizar soberania, consenso e inclusão. Seu funcionamento contrasta com a OEA, que dispõe de institucionalidade rígida, mas é percebida como instrumento hegemônico.</w:t>
      </w:r>
    </w:p>
    <w:p w14:paraId="3D062C36" w14:textId="77777777" w:rsidR="00285FC0" w:rsidRDefault="00285FC0" w:rsidP="00285FC0">
      <w:pPr>
        <w:jc w:val="both"/>
        <w:outlineLvl w:val="3"/>
        <w:rPr>
          <w:b/>
          <w:bCs/>
          <w:color w:val="000000"/>
        </w:rPr>
      </w:pPr>
    </w:p>
    <w:p w14:paraId="30DAD914" w14:textId="77777777" w:rsidR="00C205D5" w:rsidRDefault="00C205D5" w:rsidP="00285FC0">
      <w:pPr>
        <w:jc w:val="both"/>
        <w:outlineLvl w:val="3"/>
        <w:rPr>
          <w:b/>
          <w:bCs/>
          <w:color w:val="000000"/>
        </w:rPr>
      </w:pPr>
    </w:p>
    <w:p w14:paraId="56C6965A" w14:textId="77777777" w:rsidR="00C205D5" w:rsidRDefault="00C205D5" w:rsidP="00285FC0">
      <w:pPr>
        <w:jc w:val="both"/>
        <w:outlineLvl w:val="3"/>
        <w:rPr>
          <w:b/>
          <w:bCs/>
          <w:color w:val="000000"/>
        </w:rPr>
      </w:pPr>
    </w:p>
    <w:p w14:paraId="1B82DC7B" w14:textId="77777777" w:rsidR="00C205D5" w:rsidRDefault="00C205D5" w:rsidP="00285FC0">
      <w:pPr>
        <w:jc w:val="both"/>
        <w:outlineLvl w:val="3"/>
        <w:rPr>
          <w:b/>
          <w:bCs/>
          <w:color w:val="000000"/>
        </w:rPr>
      </w:pPr>
    </w:p>
    <w:p w14:paraId="06510FBD" w14:textId="77777777" w:rsidR="00137E95" w:rsidRDefault="00137E95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6" w:name="_Toc210326518"/>
      <w:r w:rsidRPr="00C205D5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3.4 Hegemonia, autonomia e política externa</w:t>
      </w:r>
      <w:bookmarkEnd w:id="16"/>
    </w:p>
    <w:p w14:paraId="6ED569D9" w14:textId="77777777" w:rsidR="00C205D5" w:rsidRPr="00C205D5" w:rsidRDefault="00C205D5" w:rsidP="00C205D5"/>
    <w:p w14:paraId="0C4A9FC6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O conceito de hegemonia, inspirado em Gramsci, é aplicado às relações internacionais por Robert Cox (1987), que define hegemonia como combinação de poder material, liderança ideológica e institucionalização de normas. No sistema interamericano, a OEA representa a institucionalização da hegemonia estadunidense.</w:t>
      </w:r>
    </w:p>
    <w:p w14:paraId="25E01ED0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 xml:space="preserve">Por outro lado, </w:t>
      </w:r>
      <w:proofErr w:type="spellStart"/>
      <w:r w:rsidRPr="00137E95">
        <w:rPr>
          <w:color w:val="000000"/>
        </w:rPr>
        <w:t>Tokatlian</w:t>
      </w:r>
      <w:proofErr w:type="spellEnd"/>
      <w:r w:rsidRPr="00137E95">
        <w:rPr>
          <w:color w:val="000000"/>
        </w:rPr>
        <w:t xml:space="preserve"> (2011) argumenta que a política externa latino-americana oscila entre acomodação e autonomia. A CELAC encarna essa busca de autonomia coletiva, funcionando como espaço de contestação e resistência.</w:t>
      </w:r>
    </w:p>
    <w:p w14:paraId="220AC7AA" w14:textId="77777777" w:rsid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 xml:space="preserve">Andrew </w:t>
      </w:r>
      <w:proofErr w:type="spellStart"/>
      <w:r w:rsidRPr="00137E95">
        <w:rPr>
          <w:color w:val="000000"/>
        </w:rPr>
        <w:t>Hurrell</w:t>
      </w:r>
      <w:proofErr w:type="spellEnd"/>
      <w:r w:rsidRPr="00137E95">
        <w:rPr>
          <w:color w:val="000000"/>
        </w:rPr>
        <w:t xml:space="preserve"> (1995) acrescenta que os projetos de integração regional refletem não apenas condições externas, mas também disputas internas de identidade e legitimidade. A CELAC simboliza a tentativa de construir identidade política latino-americana autônoma, ainda que sem mecanismos de </w:t>
      </w:r>
      <w:proofErr w:type="spellStart"/>
      <w:r w:rsidRPr="00285FC0">
        <w:rPr>
          <w:i/>
          <w:color w:val="000000"/>
        </w:rPr>
        <w:t>enforcement</w:t>
      </w:r>
      <w:proofErr w:type="spellEnd"/>
      <w:r w:rsidRPr="00137E95">
        <w:rPr>
          <w:color w:val="000000"/>
        </w:rPr>
        <w:t>.</w:t>
      </w:r>
    </w:p>
    <w:p w14:paraId="129A7DC8" w14:textId="77777777" w:rsidR="00285FC0" w:rsidRPr="00400BA4" w:rsidRDefault="00285FC0" w:rsidP="00285FC0">
      <w:pPr>
        <w:spacing w:line="360" w:lineRule="auto"/>
        <w:ind w:firstLine="709"/>
        <w:jc w:val="both"/>
        <w:rPr>
          <w:color w:val="000000"/>
        </w:rPr>
      </w:pPr>
    </w:p>
    <w:p w14:paraId="4BD81DE6" w14:textId="77777777" w:rsidR="00137E95" w:rsidRPr="00C205D5" w:rsidRDefault="00137E95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7" w:name="_Toc210326519"/>
      <w:r w:rsidRPr="00C205D5">
        <w:rPr>
          <w:rFonts w:ascii="Times New Roman" w:hAnsi="Times New Roman" w:cs="Times New Roman"/>
          <w:b/>
          <w:color w:val="auto"/>
          <w:sz w:val="24"/>
          <w:szCs w:val="24"/>
        </w:rPr>
        <w:t>3.5 Estudos de caso</w:t>
      </w:r>
      <w:bookmarkEnd w:id="17"/>
    </w:p>
    <w:p w14:paraId="3CFFDBE5" w14:textId="77777777" w:rsidR="00285FC0" w:rsidRDefault="00285FC0" w:rsidP="00285FC0">
      <w:pPr>
        <w:spacing w:line="360" w:lineRule="auto"/>
        <w:ind w:firstLine="709"/>
        <w:jc w:val="both"/>
        <w:rPr>
          <w:color w:val="000000"/>
        </w:rPr>
      </w:pPr>
    </w:p>
    <w:p w14:paraId="3EA3A3C7" w14:textId="77777777" w:rsidR="00137E95" w:rsidRPr="00137E95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137E95">
        <w:rPr>
          <w:color w:val="000000"/>
        </w:rPr>
        <w:t>Os estudos de caso escolhidos ilustram como a OEA e a CELAC se posicionaram diante de crises específicas:</w:t>
      </w:r>
    </w:p>
    <w:p w14:paraId="26CEDCFD" w14:textId="77777777" w:rsidR="00137E95" w:rsidRPr="00137E95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477BC9">
        <w:rPr>
          <w:bCs/>
          <w:color w:val="000000"/>
        </w:rPr>
        <w:t>Honduras (2009):</w:t>
      </w:r>
      <w:r w:rsidRPr="00137E95">
        <w:rPr>
          <w:color w:val="000000"/>
        </w:rPr>
        <w:t> após o golpe contra Manuel Zelaya, a OEA suspendeu o país, mas não conseguiu reverter a ruptura. A crise estimulou a criação da CELAC como alternativa.</w:t>
      </w:r>
    </w:p>
    <w:p w14:paraId="6900ABA0" w14:textId="77777777" w:rsidR="00137E95" w:rsidRPr="00137E95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477BC9">
        <w:rPr>
          <w:bCs/>
          <w:color w:val="000000"/>
        </w:rPr>
        <w:t>Haiti (2010):</w:t>
      </w:r>
      <w:r w:rsidRPr="00137E95">
        <w:rPr>
          <w:color w:val="000000"/>
        </w:rPr>
        <w:t> a OEA foi acusada de manipular resultados eleitorais após o terremoto; a CELAC enfatizou solidariedade e apoio humanitário.</w:t>
      </w:r>
    </w:p>
    <w:p w14:paraId="59C51189" w14:textId="77777777" w:rsidR="00137E95" w:rsidRPr="00137E95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477BC9">
        <w:rPr>
          <w:bCs/>
          <w:color w:val="000000"/>
        </w:rPr>
        <w:t>Paraguai (2012):</w:t>
      </w:r>
      <w:r w:rsidRPr="00137E95">
        <w:rPr>
          <w:color w:val="000000"/>
        </w:rPr>
        <w:t> o impeachment sumário de Fernando Lugo foi tratado timidamente pela OEA; a CELAC e o MERCOSUL condenaram o processo.</w:t>
      </w:r>
    </w:p>
    <w:p w14:paraId="783E8AA2" w14:textId="77777777" w:rsidR="00137E95" w:rsidRPr="00137E95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477BC9">
        <w:rPr>
          <w:bCs/>
          <w:color w:val="000000"/>
        </w:rPr>
        <w:t>Nicarágua (2018):</w:t>
      </w:r>
      <w:r w:rsidRPr="00137E95">
        <w:rPr>
          <w:color w:val="000000"/>
        </w:rPr>
        <w:t> a OEA condenou a repressão de Ortega; a CELAC defendeu soberania.</w:t>
      </w:r>
    </w:p>
    <w:p w14:paraId="12596F33" w14:textId="77777777" w:rsidR="00137E95" w:rsidRPr="00137E95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477BC9">
        <w:rPr>
          <w:bCs/>
          <w:color w:val="000000"/>
        </w:rPr>
        <w:t>Bolívia (2019):</w:t>
      </w:r>
      <w:r w:rsidRPr="00137E95">
        <w:rPr>
          <w:color w:val="000000"/>
        </w:rPr>
        <w:t> a OEA denunciou fraude eleitoral, legitimando a queda de Evo Morales; a CELAC manteve neutralidade.</w:t>
      </w:r>
    </w:p>
    <w:p w14:paraId="0C0BC53B" w14:textId="77777777" w:rsidR="00137E95" w:rsidRPr="00137E95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477BC9">
        <w:rPr>
          <w:bCs/>
          <w:color w:val="000000"/>
        </w:rPr>
        <w:t>Colômbia (2016+):</w:t>
      </w:r>
      <w:r w:rsidRPr="00137E95">
        <w:rPr>
          <w:color w:val="000000"/>
        </w:rPr>
        <w:t> a OEA atuou por meio da MAPP no acompanhamento do acordo de paz; a CELAC declarou apoio político.</w:t>
      </w:r>
    </w:p>
    <w:p w14:paraId="3A9A29C6" w14:textId="77777777" w:rsidR="00137E95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477BC9">
        <w:rPr>
          <w:bCs/>
          <w:color w:val="000000"/>
        </w:rPr>
        <w:t>Cuba (1962–2014):</w:t>
      </w:r>
      <w:r w:rsidRPr="00137E95">
        <w:rPr>
          <w:color w:val="000000"/>
        </w:rPr>
        <w:t> a OEA suspendeu Cuba por décadas; a CELAC sempre a reconheceu como membro pleno.</w:t>
      </w:r>
    </w:p>
    <w:p w14:paraId="47415364" w14:textId="77777777" w:rsidR="00285FC0" w:rsidRPr="00137E95" w:rsidRDefault="00285FC0" w:rsidP="00285FC0">
      <w:pPr>
        <w:spacing w:line="360" w:lineRule="auto"/>
        <w:ind w:left="714"/>
        <w:jc w:val="both"/>
        <w:rPr>
          <w:color w:val="000000"/>
        </w:rPr>
      </w:pPr>
    </w:p>
    <w:p w14:paraId="30290197" w14:textId="5F9B1CB2" w:rsidR="00BE18E0" w:rsidRPr="00C205D5" w:rsidRDefault="00882576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8" w:name="_Toc210326520"/>
      <w:r w:rsidRPr="00C205D5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4 HIPÓTESE</w:t>
      </w:r>
      <w:bookmarkEnd w:id="18"/>
    </w:p>
    <w:p w14:paraId="302EC4AA" w14:textId="77777777" w:rsidR="00285FC0" w:rsidRDefault="00285FC0" w:rsidP="00C205D5">
      <w:pPr>
        <w:spacing w:line="360" w:lineRule="auto"/>
        <w:ind w:firstLine="709"/>
        <w:jc w:val="both"/>
        <w:rPr>
          <w:color w:val="000000"/>
        </w:rPr>
      </w:pPr>
    </w:p>
    <w:p w14:paraId="0D3B7A30" w14:textId="77777777" w:rsidR="00BE18E0" w:rsidRPr="00BE18E0" w:rsidRDefault="00BE18E0" w:rsidP="00C205D5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A hipótese central deste trabalho é que a </w:t>
      </w:r>
      <w:r w:rsidRPr="00477BC9">
        <w:rPr>
          <w:bCs/>
          <w:color w:val="000000"/>
        </w:rPr>
        <w:t>Comunidade de Estados Latino-Americanos e Caribenhos (CELAC) opera como fórum simbólico e político</w:t>
      </w:r>
      <w:r w:rsidR="005F7D0D" w:rsidRPr="00477BC9">
        <w:rPr>
          <w:bCs/>
          <w:color w:val="000000"/>
        </w:rPr>
        <w:t xml:space="preserve">-econômico </w:t>
      </w:r>
      <w:r w:rsidRPr="00477BC9">
        <w:rPr>
          <w:bCs/>
          <w:color w:val="000000"/>
        </w:rPr>
        <w:t>de governança pós-hegemônica</w:t>
      </w:r>
      <w:r w:rsidRPr="00477BC9">
        <w:rPr>
          <w:color w:val="000000"/>
        </w:rPr>
        <w:t xml:space="preserve">, </w:t>
      </w:r>
      <w:r w:rsidRPr="00BE18E0">
        <w:rPr>
          <w:color w:val="000000"/>
        </w:rPr>
        <w:t>em contraste com a Organização dos Estados Americanos (OEA), que representa a institucionalização histórica da hegemonia estadunidense no hemisfério.</w:t>
      </w:r>
    </w:p>
    <w:p w14:paraId="3DCB4167" w14:textId="77777777" w:rsidR="00BE18E0" w:rsidRPr="00BE18E0" w:rsidRDefault="00BE18E0" w:rsidP="00C205D5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Essa hipótese se desdobra em algumas proposições específicas:</w:t>
      </w:r>
    </w:p>
    <w:p w14:paraId="3998EE93" w14:textId="77777777" w:rsidR="00BE18E0" w:rsidRPr="00BE18E0" w:rsidRDefault="00BE18E0" w:rsidP="00C205D5">
      <w:pPr>
        <w:numPr>
          <w:ilvl w:val="0"/>
          <w:numId w:val="17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Hipótese principal:</w:t>
      </w:r>
      <w:r w:rsidRPr="00BE18E0">
        <w:rPr>
          <w:color w:val="000000"/>
        </w:rPr>
        <w:t> A CELAC, mesmo sem institucionalidade rígida, reforça narrativas de soberania, inclusão e autonomia que desafiam o caráter hegemônico da OEA.</w:t>
      </w:r>
    </w:p>
    <w:p w14:paraId="3B05554B" w14:textId="77777777" w:rsidR="00BE18E0" w:rsidRPr="00BE18E0" w:rsidRDefault="00BE18E0" w:rsidP="00285FC0">
      <w:pPr>
        <w:numPr>
          <w:ilvl w:val="0"/>
          <w:numId w:val="17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Hipótese secundária 1:</w:t>
      </w:r>
      <w:r w:rsidRPr="00BE18E0">
        <w:rPr>
          <w:color w:val="000000"/>
        </w:rPr>
        <w:t> A CELAC tem maior legitimidade discursiva em crises envolvendo soberania e autodeterminação, enquanto a OEA tende a agir seletivamente conforme a posição dos Estados Unidos.</w:t>
      </w:r>
    </w:p>
    <w:p w14:paraId="56A5FA8F" w14:textId="77777777" w:rsidR="00BE18E0" w:rsidRPr="00BE18E0" w:rsidRDefault="00BE18E0" w:rsidP="00285FC0">
      <w:pPr>
        <w:numPr>
          <w:ilvl w:val="0"/>
          <w:numId w:val="17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Hipótese secundária 2:</w:t>
      </w:r>
      <w:r w:rsidRPr="00BE18E0">
        <w:rPr>
          <w:color w:val="000000"/>
        </w:rPr>
        <w:t> A ausência de mecanismos coercitivos na CELAC limita sua eficácia prática, mas aumenta sua legitimidade política, pois evita imposições externas.</w:t>
      </w:r>
    </w:p>
    <w:p w14:paraId="388A1166" w14:textId="77777777" w:rsidR="00BE18E0" w:rsidRDefault="00BE18E0" w:rsidP="00285FC0">
      <w:pPr>
        <w:numPr>
          <w:ilvl w:val="0"/>
          <w:numId w:val="17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Hipótese secundária 3:</w:t>
      </w:r>
      <w:r w:rsidRPr="00BE18E0">
        <w:rPr>
          <w:color w:val="000000"/>
        </w:rPr>
        <w:t> A coexistência de OEA e CELAC não representa redundância, mas sim a dualidade de dois modelos de governança um centrado em institucionalidade e hegemonia, outro em flexibilidade e autonomia.</w:t>
      </w:r>
    </w:p>
    <w:p w14:paraId="23CA3A8B" w14:textId="77777777" w:rsidR="005F7D0D" w:rsidRPr="005F7D0D" w:rsidRDefault="005F7D0D" w:rsidP="00285FC0">
      <w:pPr>
        <w:numPr>
          <w:ilvl w:val="0"/>
          <w:numId w:val="17"/>
        </w:num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 xml:space="preserve">Hipótese secundária 4: </w:t>
      </w:r>
      <w:r w:rsidRPr="005F7D0D">
        <w:rPr>
          <w:color w:val="000000"/>
        </w:rPr>
        <w:t>O alinhamento de um país ao modelo pós-hegemônico (CELAC/eixo Sul-Sul) em momentos de crise tende a estar associado a mudanças em seu</w:t>
      </w:r>
      <w:r>
        <w:rPr>
          <w:color w:val="000000"/>
        </w:rPr>
        <w:t>s padrões</w:t>
      </w:r>
      <w:r w:rsidRPr="005F7D0D">
        <w:rPr>
          <w:color w:val="000000"/>
        </w:rPr>
        <w:t xml:space="preserve"> comerciais e atracões de investimento estrangeiro, enquanto o alinhamento ao modelo hegemônic</w:t>
      </w:r>
      <w:r>
        <w:rPr>
          <w:color w:val="000000"/>
        </w:rPr>
        <w:t xml:space="preserve">o (OEA/eixo Norte-Sul) tende a preservar os fluxos de capitais existentes. </w:t>
      </w:r>
    </w:p>
    <w:p w14:paraId="20349AB9" w14:textId="77777777" w:rsidR="00BE18E0" w:rsidRDefault="00BE18E0" w:rsidP="00C205D5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Essas hipóteses orientam a análise comparativa dos casos escolhidos e fornecem critérios para avaliar até que ponto a CELAC constitui alternativa viável ou apenas simbólica ao sistema interamericano.</w:t>
      </w:r>
    </w:p>
    <w:p w14:paraId="1D2075D7" w14:textId="77777777" w:rsidR="00285FC0" w:rsidRPr="00400BA4" w:rsidRDefault="00285FC0" w:rsidP="00285FC0">
      <w:pPr>
        <w:spacing w:line="360" w:lineRule="auto"/>
        <w:jc w:val="both"/>
        <w:rPr>
          <w:color w:val="000000"/>
        </w:rPr>
      </w:pPr>
    </w:p>
    <w:p w14:paraId="0155694A" w14:textId="77777777" w:rsidR="00BE18E0" w:rsidRPr="00C205D5" w:rsidRDefault="00C205D5" w:rsidP="00C205D5">
      <w:pPr>
        <w:pStyle w:val="Ttulo1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9" w:name="_Toc210326521"/>
      <w:r w:rsidRPr="00C205D5">
        <w:rPr>
          <w:rFonts w:ascii="Times New Roman" w:hAnsi="Times New Roman" w:cs="Times New Roman"/>
          <w:b/>
          <w:color w:val="auto"/>
          <w:sz w:val="24"/>
          <w:szCs w:val="24"/>
        </w:rPr>
        <w:t>5 MÉTODO DE ABORDAGEM</w:t>
      </w:r>
      <w:bookmarkEnd w:id="19"/>
    </w:p>
    <w:p w14:paraId="44B4E77E" w14:textId="77777777" w:rsidR="00C205D5" w:rsidRDefault="00C205D5" w:rsidP="00285FC0">
      <w:pPr>
        <w:spacing w:line="360" w:lineRule="auto"/>
        <w:ind w:firstLine="709"/>
        <w:jc w:val="both"/>
        <w:rPr>
          <w:color w:val="000000"/>
        </w:rPr>
      </w:pPr>
    </w:p>
    <w:p w14:paraId="6B219BAC" w14:textId="77777777" w:rsidR="00BE18E0" w:rsidRPr="00400BA4" w:rsidRDefault="00BE18E0" w:rsidP="00285FC0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A metodologia adotada será </w:t>
      </w:r>
      <w:r w:rsidRPr="00BE18E0">
        <w:rPr>
          <w:b/>
          <w:bCs/>
          <w:color w:val="000000"/>
        </w:rPr>
        <w:t>qualitativa, comparativa e exploratória</w:t>
      </w:r>
      <w:r w:rsidRPr="00BE18E0">
        <w:rPr>
          <w:color w:val="000000"/>
        </w:rPr>
        <w:t>, combinando análise documental, entrevistas semiestruturadas e triangulação de dados. O objetivo não é quantificar ocorrências, mas compreender dinâmicas institucionais, narrativas políticas e percepções de legitimidade.</w:t>
      </w:r>
    </w:p>
    <w:p w14:paraId="035E050E" w14:textId="77777777" w:rsidR="00BE18E0" w:rsidRPr="00DB538A" w:rsidRDefault="00BE18E0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0" w:name="_Toc210326522"/>
      <w:r w:rsidRPr="00DB538A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5.1 Método comparativo</w:t>
      </w:r>
      <w:bookmarkEnd w:id="20"/>
    </w:p>
    <w:p w14:paraId="48F4AF65" w14:textId="77777777" w:rsidR="00DB538A" w:rsidRDefault="00DB538A" w:rsidP="00C205D5">
      <w:pPr>
        <w:spacing w:line="360" w:lineRule="auto"/>
        <w:ind w:firstLine="708"/>
        <w:jc w:val="both"/>
        <w:rPr>
          <w:color w:val="000000"/>
        </w:rPr>
      </w:pPr>
    </w:p>
    <w:p w14:paraId="6DF99034" w14:textId="77777777" w:rsidR="00AA1529" w:rsidRPr="00400BA4" w:rsidRDefault="00B961AA" w:rsidP="00C205D5">
      <w:pPr>
        <w:spacing w:line="360" w:lineRule="auto"/>
        <w:ind w:firstLine="708"/>
        <w:jc w:val="both"/>
        <w:rPr>
          <w:color w:val="000000"/>
        </w:rPr>
      </w:pPr>
      <w:r w:rsidRPr="00400BA4">
        <w:rPr>
          <w:color w:val="000000"/>
        </w:rPr>
        <w:t xml:space="preserve">Para garantir a operacionalização dos conceitos e a comparabilidade dos casos, as hipóteses serão analisadas a partir de três dimensões. A </w:t>
      </w:r>
      <w:r w:rsidRPr="00400BA4">
        <w:rPr>
          <w:b/>
          <w:bCs/>
          <w:color w:val="000000"/>
        </w:rPr>
        <w:t>Institucionalidade</w:t>
      </w:r>
      <w:r w:rsidRPr="00400BA4">
        <w:rPr>
          <w:color w:val="000000"/>
        </w:rPr>
        <w:t xml:space="preserve"> ser</w:t>
      </w:r>
      <w:r w:rsidR="00AA1529" w:rsidRPr="00400BA4">
        <w:rPr>
          <w:color w:val="000000"/>
        </w:rPr>
        <w:t xml:space="preserve">á verificada pela aplicação de mecanismos formais como suspensões ou envio de missões. </w:t>
      </w:r>
    </w:p>
    <w:p w14:paraId="1A1E04EB" w14:textId="77777777" w:rsidR="00AA1529" w:rsidRPr="00400BA4" w:rsidRDefault="00AA1529" w:rsidP="00285FC0">
      <w:pPr>
        <w:spacing w:line="360" w:lineRule="auto"/>
        <w:ind w:firstLine="708"/>
        <w:jc w:val="both"/>
        <w:rPr>
          <w:color w:val="000000"/>
        </w:rPr>
      </w:pPr>
      <w:r w:rsidRPr="00400BA4">
        <w:rPr>
          <w:color w:val="000000"/>
        </w:rPr>
        <w:t xml:space="preserve">A </w:t>
      </w:r>
      <w:r w:rsidRPr="00400BA4">
        <w:rPr>
          <w:b/>
          <w:bCs/>
          <w:color w:val="000000"/>
        </w:rPr>
        <w:t>Narrativa política</w:t>
      </w:r>
      <w:r w:rsidRPr="00400BA4">
        <w:rPr>
          <w:color w:val="000000"/>
        </w:rPr>
        <w:t xml:space="preserve"> será examinada nos comunicados e discursos oficiais opara identificar termos como ‘soberania’, ‘não intervenção’ e’ autodeterminação’, o que permite avaliar a </w:t>
      </w:r>
      <w:r w:rsidRPr="00400BA4">
        <w:rPr>
          <w:b/>
          <w:bCs/>
          <w:color w:val="000000"/>
        </w:rPr>
        <w:t>legitimidade discursiva</w:t>
      </w:r>
      <w:r w:rsidRPr="00400BA4">
        <w:rPr>
          <w:color w:val="000000"/>
        </w:rPr>
        <w:t xml:space="preserve">. </w:t>
      </w:r>
    </w:p>
    <w:p w14:paraId="0CAF5FC0" w14:textId="77777777" w:rsidR="00AA1529" w:rsidRDefault="00AA1529" w:rsidP="00285FC0">
      <w:pPr>
        <w:spacing w:line="360" w:lineRule="auto"/>
        <w:ind w:firstLine="708"/>
        <w:jc w:val="both"/>
        <w:rPr>
          <w:color w:val="000000"/>
        </w:rPr>
      </w:pPr>
      <w:r w:rsidRPr="00400BA4">
        <w:rPr>
          <w:color w:val="000000"/>
        </w:rPr>
        <w:t xml:space="preserve">A </w:t>
      </w:r>
      <w:r w:rsidRPr="00400BA4">
        <w:rPr>
          <w:b/>
          <w:bCs/>
          <w:color w:val="000000"/>
        </w:rPr>
        <w:t>eficácia</w:t>
      </w:r>
      <w:r w:rsidRPr="00400BA4">
        <w:rPr>
          <w:color w:val="000000"/>
        </w:rPr>
        <w:t xml:space="preserve"> será avaliada pelos </w:t>
      </w:r>
      <w:r w:rsidRPr="00400BA4">
        <w:rPr>
          <w:b/>
          <w:bCs/>
          <w:color w:val="000000"/>
        </w:rPr>
        <w:t>Resultados práticos</w:t>
      </w:r>
      <w:r w:rsidRPr="00400BA4">
        <w:rPr>
          <w:color w:val="000000"/>
        </w:rPr>
        <w:t xml:space="preserve">, ou seja, o impacto das ações de cada organismo no desfecho das crises, enquanto a </w:t>
      </w:r>
      <w:r w:rsidRPr="00400BA4">
        <w:rPr>
          <w:b/>
          <w:bCs/>
          <w:color w:val="000000"/>
        </w:rPr>
        <w:t>seletividade</w:t>
      </w:r>
      <w:r w:rsidRPr="00400BA4">
        <w:rPr>
          <w:color w:val="000000"/>
        </w:rPr>
        <w:t xml:space="preserve"> será observada por meio de posturas diferentes em casos de natureza similar (como a suspensão de Honduras e a brandura com o Paraguai).</w:t>
      </w:r>
      <w:r>
        <w:rPr>
          <w:color w:val="000000"/>
        </w:rPr>
        <w:t xml:space="preserve">  </w:t>
      </w:r>
    </w:p>
    <w:p w14:paraId="3EF8FAF4" w14:textId="77777777" w:rsidR="005F7D0D" w:rsidRDefault="005F7D0D" w:rsidP="00285FC0">
      <w:pPr>
        <w:spacing w:line="360" w:lineRule="auto"/>
        <w:ind w:firstLine="708"/>
        <w:jc w:val="both"/>
        <w:rPr>
          <w:color w:val="000000"/>
        </w:rPr>
      </w:pPr>
      <w:r w:rsidRPr="005F7D0D">
        <w:rPr>
          <w:b/>
          <w:bCs/>
          <w:color w:val="000000"/>
        </w:rPr>
        <w:t>Resultados Socioeconômicos</w:t>
      </w:r>
      <w:r>
        <w:rPr>
          <w:color w:val="000000"/>
        </w:rPr>
        <w:t xml:space="preserve"> </w:t>
      </w:r>
      <w:r w:rsidRPr="005F7D0D">
        <w:rPr>
          <w:b/>
          <w:bCs/>
          <w:color w:val="000000"/>
        </w:rPr>
        <w:t xml:space="preserve">(Ganhos/Perdas): </w:t>
      </w:r>
      <w:r>
        <w:rPr>
          <w:color w:val="000000"/>
        </w:rPr>
        <w:t xml:space="preserve">esta variável medira as consequências econômicas da crise e da postura adotada por cada organismo, permitindo identificar o custo do alinhamento (ou desalinhamento) com a hegemonia.  </w:t>
      </w:r>
    </w:p>
    <w:p w14:paraId="70C030F0" w14:textId="77777777" w:rsidR="005F7D0D" w:rsidRPr="005F7D0D" w:rsidRDefault="005F7D0D" w:rsidP="00285FC0">
      <w:pPr>
        <w:pStyle w:val="PargrafodaLista"/>
        <w:numPr>
          <w:ilvl w:val="0"/>
          <w:numId w:val="34"/>
        </w:numPr>
        <w:spacing w:line="360" w:lineRule="auto"/>
        <w:jc w:val="both"/>
        <w:rPr>
          <w:b/>
          <w:bCs/>
          <w:color w:val="000000"/>
        </w:rPr>
      </w:pPr>
      <w:r w:rsidRPr="005F7D0D">
        <w:rPr>
          <w:b/>
          <w:bCs/>
          <w:color w:val="000000"/>
        </w:rPr>
        <w:t>Indicadores a serem coletados:</w:t>
      </w:r>
    </w:p>
    <w:p w14:paraId="18226046" w14:textId="77777777" w:rsidR="005F7D0D" w:rsidRPr="005F7D0D" w:rsidRDefault="005F7D0D" w:rsidP="00285FC0">
      <w:pPr>
        <w:pStyle w:val="PargrafodaLista"/>
        <w:numPr>
          <w:ilvl w:val="0"/>
          <w:numId w:val="34"/>
        </w:numPr>
        <w:spacing w:line="360" w:lineRule="auto"/>
        <w:jc w:val="both"/>
        <w:rPr>
          <w:color w:val="000000"/>
        </w:rPr>
      </w:pPr>
      <w:r w:rsidRPr="005F7D0D">
        <w:rPr>
          <w:b/>
          <w:bCs/>
          <w:color w:val="000000"/>
        </w:rPr>
        <w:t>Ganhos e Perdas Econômicas:</w:t>
      </w:r>
      <w:r w:rsidRPr="005F7D0D">
        <w:rPr>
          <w:color w:val="000000"/>
        </w:rPr>
        <w:t xml:space="preserve"> variação no fluxo de comercio (exportações/importações) com os USA e com países do Sul (China, Rússia, membros da CELAC) nos 12 meses pós-crise</w:t>
      </w:r>
    </w:p>
    <w:p w14:paraId="79D42548" w14:textId="77777777" w:rsidR="005F7D0D" w:rsidRPr="005F7D0D" w:rsidRDefault="005F7D0D" w:rsidP="00285FC0">
      <w:pPr>
        <w:pStyle w:val="PargrafodaLista"/>
        <w:numPr>
          <w:ilvl w:val="0"/>
          <w:numId w:val="34"/>
        </w:numPr>
        <w:spacing w:line="360" w:lineRule="auto"/>
        <w:jc w:val="both"/>
        <w:rPr>
          <w:color w:val="000000"/>
        </w:rPr>
      </w:pPr>
      <w:r w:rsidRPr="005F7D0D">
        <w:rPr>
          <w:b/>
          <w:bCs/>
          <w:color w:val="000000"/>
        </w:rPr>
        <w:t>Investimento Estrangeiro Direto (IED):</w:t>
      </w:r>
      <w:r w:rsidRPr="005F7D0D">
        <w:rPr>
          <w:color w:val="000000"/>
        </w:rPr>
        <w:t xml:space="preserve"> Mudanças no IED, especialmente e entrada ou saída de empresas estrangeiras n=em setores-chaves.</w:t>
      </w:r>
    </w:p>
    <w:p w14:paraId="5AA742C6" w14:textId="77777777" w:rsidR="005F7D0D" w:rsidRPr="005F7D0D" w:rsidRDefault="005F7D0D" w:rsidP="00285FC0">
      <w:pPr>
        <w:pStyle w:val="PargrafodaLista"/>
        <w:numPr>
          <w:ilvl w:val="0"/>
          <w:numId w:val="34"/>
        </w:numPr>
        <w:spacing w:line="360" w:lineRule="auto"/>
        <w:jc w:val="both"/>
        <w:rPr>
          <w:color w:val="000000"/>
        </w:rPr>
      </w:pPr>
      <w:r w:rsidRPr="005F7D0D">
        <w:rPr>
          <w:b/>
          <w:bCs/>
          <w:color w:val="000000"/>
        </w:rPr>
        <w:t>Setor Privado/Empresas:</w:t>
      </w:r>
      <w:r w:rsidRPr="005F7D0D">
        <w:rPr>
          <w:color w:val="000000"/>
        </w:rPr>
        <w:t xml:space="preserve"> Análise da postura de grandes empresas estrangeiras no país afetado (por exemplo, se empresas dos USA mantiveram ou retiraram investimentos). </w:t>
      </w:r>
    </w:p>
    <w:p w14:paraId="5DB99D70" w14:textId="77777777" w:rsidR="00BE18E0" w:rsidRPr="00BE18E0" w:rsidRDefault="00BE18E0" w:rsidP="00285FC0">
      <w:pPr>
        <w:spacing w:line="360" w:lineRule="auto"/>
        <w:ind w:firstLine="360"/>
        <w:jc w:val="both"/>
        <w:rPr>
          <w:color w:val="000000"/>
        </w:rPr>
      </w:pPr>
      <w:r w:rsidRPr="00BE18E0">
        <w:rPr>
          <w:color w:val="000000"/>
        </w:rPr>
        <w:t>O </w:t>
      </w:r>
      <w:r w:rsidRPr="00BE18E0">
        <w:rPr>
          <w:b/>
          <w:bCs/>
          <w:color w:val="000000"/>
        </w:rPr>
        <w:t>método comparativo</w:t>
      </w:r>
      <w:r w:rsidRPr="00BE18E0">
        <w:rPr>
          <w:color w:val="000000"/>
        </w:rPr>
        <w:t> permitirá examinar como a OEA e a CELAC reagiram diante de crises semelhantes. Ao analisar os mesmos episódios históricos em que ambas tiveram papel, é possível identificar padrões de comportamento, contradições e lacunas.</w:t>
      </w:r>
    </w:p>
    <w:p w14:paraId="34D9C707" w14:textId="77777777" w:rsidR="00BE18E0" w:rsidRDefault="00BE18E0" w:rsidP="00285FC0">
      <w:pPr>
        <w:spacing w:line="360" w:lineRule="auto"/>
        <w:jc w:val="both"/>
        <w:rPr>
          <w:color w:val="000000"/>
        </w:rPr>
      </w:pPr>
      <w:r w:rsidRPr="00BE18E0">
        <w:rPr>
          <w:color w:val="000000"/>
        </w:rPr>
        <w:t xml:space="preserve">Essa análise comparativa é inspirada em Yin (2018) e </w:t>
      </w:r>
      <w:proofErr w:type="spellStart"/>
      <w:r w:rsidRPr="00BE18E0">
        <w:rPr>
          <w:color w:val="000000"/>
        </w:rPr>
        <w:t>Gerring</w:t>
      </w:r>
      <w:proofErr w:type="spellEnd"/>
      <w:r w:rsidRPr="00BE18E0">
        <w:rPr>
          <w:color w:val="000000"/>
        </w:rPr>
        <w:t xml:space="preserve"> (2007), que defendem a utilidade do estudo de casos múltiplos para identificar padrões generalizáveis sem abrir mão da profundidade contextual.</w:t>
      </w:r>
    </w:p>
    <w:p w14:paraId="21B51C41" w14:textId="77777777" w:rsidR="00285FC0" w:rsidRDefault="00285FC0" w:rsidP="007E4C91">
      <w:pPr>
        <w:spacing w:line="360" w:lineRule="auto"/>
        <w:jc w:val="both"/>
        <w:rPr>
          <w:color w:val="000000"/>
        </w:rPr>
      </w:pPr>
    </w:p>
    <w:p w14:paraId="3C09B2BE" w14:textId="77777777" w:rsidR="00DB538A" w:rsidRDefault="00DB538A" w:rsidP="007E4C91">
      <w:pPr>
        <w:spacing w:line="360" w:lineRule="auto"/>
        <w:jc w:val="both"/>
        <w:rPr>
          <w:color w:val="000000"/>
        </w:rPr>
      </w:pPr>
    </w:p>
    <w:p w14:paraId="5B1B07A7" w14:textId="77777777" w:rsidR="00DB538A" w:rsidRPr="00BE18E0" w:rsidRDefault="00DB538A" w:rsidP="007E4C91">
      <w:pPr>
        <w:spacing w:line="360" w:lineRule="auto"/>
        <w:jc w:val="both"/>
        <w:rPr>
          <w:color w:val="000000"/>
        </w:rPr>
      </w:pPr>
    </w:p>
    <w:p w14:paraId="37016956" w14:textId="77777777" w:rsidR="00BE18E0" w:rsidRPr="00DB538A" w:rsidRDefault="00BE18E0" w:rsidP="00DB538A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1" w:name="_Toc210326523"/>
      <w:r w:rsidRPr="00DB538A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5.2 Seleção dos casos</w:t>
      </w:r>
      <w:bookmarkEnd w:id="21"/>
    </w:p>
    <w:p w14:paraId="4C32CFA6" w14:textId="77777777" w:rsidR="00285FC0" w:rsidRDefault="00285FC0" w:rsidP="007E4C91">
      <w:pPr>
        <w:spacing w:line="360" w:lineRule="auto"/>
        <w:ind w:firstLine="709"/>
        <w:jc w:val="both"/>
        <w:rPr>
          <w:color w:val="000000"/>
        </w:rPr>
      </w:pPr>
    </w:p>
    <w:p w14:paraId="5454F11D" w14:textId="77777777" w:rsidR="00BE18E0" w:rsidRPr="00BE18E0" w:rsidRDefault="00BE18E0" w:rsidP="00285FC0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Os sete casos escolhidos não são aleatórios: foram selecionados por critérios de </w:t>
      </w:r>
      <w:r w:rsidRPr="00BE18E0">
        <w:rPr>
          <w:b/>
          <w:bCs/>
          <w:color w:val="000000"/>
        </w:rPr>
        <w:t>relevância histórica, diversidade temática e presença simultânea da OEA e da CELAC</w:t>
      </w:r>
      <w:r w:rsidRPr="00BE18E0">
        <w:rPr>
          <w:color w:val="000000"/>
        </w:rPr>
        <w:t>.</w:t>
      </w:r>
    </w:p>
    <w:p w14:paraId="59B2CF42" w14:textId="77777777" w:rsidR="00BE18E0" w:rsidRPr="00BE18E0" w:rsidRDefault="00BE18E0" w:rsidP="00285FC0">
      <w:pPr>
        <w:numPr>
          <w:ilvl w:val="0"/>
          <w:numId w:val="19"/>
        </w:numPr>
        <w:spacing w:line="360" w:lineRule="auto"/>
        <w:ind w:firstLine="0"/>
        <w:jc w:val="both"/>
        <w:rPr>
          <w:color w:val="000000"/>
        </w:rPr>
      </w:pPr>
      <w:r w:rsidRPr="00BE18E0">
        <w:rPr>
          <w:b/>
          <w:bCs/>
          <w:color w:val="000000"/>
        </w:rPr>
        <w:t>Honduras (2009):</w:t>
      </w:r>
      <w:r w:rsidRPr="00BE18E0">
        <w:rPr>
          <w:color w:val="000000"/>
        </w:rPr>
        <w:t> golpe contra Manuel Zelaya. A OEA suspendeu o país; a CELAC foi impulsionada como alternativa.</w:t>
      </w:r>
    </w:p>
    <w:p w14:paraId="3BC5FC21" w14:textId="77777777" w:rsidR="00BE18E0" w:rsidRPr="00BE18E0" w:rsidRDefault="00BE18E0" w:rsidP="00285FC0">
      <w:pPr>
        <w:numPr>
          <w:ilvl w:val="0"/>
          <w:numId w:val="19"/>
        </w:numPr>
        <w:spacing w:line="360" w:lineRule="auto"/>
        <w:ind w:firstLine="0"/>
        <w:jc w:val="both"/>
        <w:rPr>
          <w:color w:val="000000"/>
        </w:rPr>
      </w:pPr>
      <w:r w:rsidRPr="00BE18E0">
        <w:rPr>
          <w:b/>
          <w:bCs/>
          <w:color w:val="000000"/>
        </w:rPr>
        <w:t>Haiti (2010):</w:t>
      </w:r>
      <w:r w:rsidRPr="00BE18E0">
        <w:rPr>
          <w:color w:val="000000"/>
        </w:rPr>
        <w:t> críticas à OEA em missão eleitoral; a CELAC destacou solidariedade humanitária.</w:t>
      </w:r>
    </w:p>
    <w:p w14:paraId="35666012" w14:textId="77777777" w:rsidR="00BE18E0" w:rsidRPr="00BE18E0" w:rsidRDefault="00BE18E0" w:rsidP="00285FC0">
      <w:pPr>
        <w:numPr>
          <w:ilvl w:val="0"/>
          <w:numId w:val="19"/>
        </w:numPr>
        <w:spacing w:line="360" w:lineRule="auto"/>
        <w:ind w:firstLine="0"/>
        <w:jc w:val="both"/>
        <w:rPr>
          <w:color w:val="000000"/>
        </w:rPr>
      </w:pPr>
      <w:r w:rsidRPr="00BE18E0">
        <w:rPr>
          <w:b/>
          <w:bCs/>
          <w:color w:val="000000"/>
        </w:rPr>
        <w:t>Paraguai (2012):</w:t>
      </w:r>
      <w:r w:rsidRPr="00BE18E0">
        <w:rPr>
          <w:color w:val="000000"/>
        </w:rPr>
        <w:t> impeachment sumário de Fernando Lugo. A OEA manteve postura branda; a CELAC e o MERCOSUL condenaram.</w:t>
      </w:r>
    </w:p>
    <w:p w14:paraId="33806376" w14:textId="77777777" w:rsidR="00BE18E0" w:rsidRPr="00BE18E0" w:rsidRDefault="00BE18E0" w:rsidP="00285FC0">
      <w:pPr>
        <w:numPr>
          <w:ilvl w:val="0"/>
          <w:numId w:val="19"/>
        </w:numPr>
        <w:spacing w:line="360" w:lineRule="auto"/>
        <w:ind w:firstLine="0"/>
        <w:jc w:val="both"/>
        <w:rPr>
          <w:color w:val="000000"/>
        </w:rPr>
      </w:pPr>
      <w:r w:rsidRPr="00BE18E0">
        <w:rPr>
          <w:b/>
          <w:bCs/>
          <w:color w:val="000000"/>
        </w:rPr>
        <w:t>Nicarágua (2018):</w:t>
      </w:r>
      <w:r w:rsidRPr="00BE18E0">
        <w:rPr>
          <w:color w:val="000000"/>
        </w:rPr>
        <w:t> repressão a protestos. A OEA condenou; a CELAC defendeu soberania.</w:t>
      </w:r>
    </w:p>
    <w:p w14:paraId="5F74864C" w14:textId="77777777" w:rsidR="00BE18E0" w:rsidRPr="00BE18E0" w:rsidRDefault="00BE18E0" w:rsidP="00285FC0">
      <w:pPr>
        <w:numPr>
          <w:ilvl w:val="0"/>
          <w:numId w:val="19"/>
        </w:numPr>
        <w:spacing w:line="360" w:lineRule="auto"/>
        <w:ind w:firstLine="0"/>
        <w:jc w:val="both"/>
        <w:rPr>
          <w:color w:val="000000"/>
        </w:rPr>
      </w:pPr>
      <w:r w:rsidRPr="00BE18E0">
        <w:rPr>
          <w:b/>
          <w:bCs/>
          <w:color w:val="000000"/>
        </w:rPr>
        <w:t>Bolívia (2019):</w:t>
      </w:r>
      <w:r w:rsidRPr="00BE18E0">
        <w:rPr>
          <w:color w:val="000000"/>
        </w:rPr>
        <w:t> denúncias de fraude eleitoral pela OEA legitimaram queda de Evo Morales; a CELAC manteve neutralidade.</w:t>
      </w:r>
    </w:p>
    <w:p w14:paraId="1451090C" w14:textId="77777777" w:rsidR="00BE18E0" w:rsidRPr="00BE18E0" w:rsidRDefault="00BE18E0" w:rsidP="00285FC0">
      <w:pPr>
        <w:numPr>
          <w:ilvl w:val="0"/>
          <w:numId w:val="19"/>
        </w:numPr>
        <w:spacing w:line="360" w:lineRule="auto"/>
        <w:ind w:firstLine="0"/>
        <w:jc w:val="both"/>
        <w:rPr>
          <w:color w:val="000000"/>
        </w:rPr>
      </w:pPr>
      <w:r w:rsidRPr="00BE18E0">
        <w:rPr>
          <w:b/>
          <w:bCs/>
          <w:color w:val="000000"/>
        </w:rPr>
        <w:t>Colômbia (2016+):</w:t>
      </w:r>
      <w:r w:rsidRPr="00BE18E0">
        <w:rPr>
          <w:color w:val="000000"/>
        </w:rPr>
        <w:t> acompanhamento do acordo de paz pela OEA (MAPP) e apoio político da CELAC.</w:t>
      </w:r>
    </w:p>
    <w:p w14:paraId="03D4D95F" w14:textId="77777777" w:rsidR="00BE18E0" w:rsidRPr="00BE18E0" w:rsidRDefault="00BE18E0" w:rsidP="00285FC0">
      <w:pPr>
        <w:numPr>
          <w:ilvl w:val="0"/>
          <w:numId w:val="19"/>
        </w:numPr>
        <w:spacing w:line="360" w:lineRule="auto"/>
        <w:ind w:firstLine="0"/>
        <w:jc w:val="both"/>
        <w:rPr>
          <w:color w:val="000000"/>
        </w:rPr>
      </w:pPr>
      <w:r w:rsidRPr="00BE18E0">
        <w:rPr>
          <w:b/>
          <w:bCs/>
          <w:color w:val="000000"/>
        </w:rPr>
        <w:t>Cuba (1962–2014):</w:t>
      </w:r>
      <w:r w:rsidRPr="00BE18E0">
        <w:rPr>
          <w:color w:val="000000"/>
        </w:rPr>
        <w:t> exclusão da OEA versus inclusão permanente na CELAC.</w:t>
      </w:r>
    </w:p>
    <w:p w14:paraId="17A3B3FB" w14:textId="77777777" w:rsidR="00BE18E0" w:rsidRPr="00BE18E0" w:rsidRDefault="00BE18E0" w:rsidP="007E4C91">
      <w:pPr>
        <w:spacing w:line="360" w:lineRule="auto"/>
        <w:ind w:firstLine="708"/>
        <w:jc w:val="both"/>
        <w:rPr>
          <w:color w:val="000000"/>
        </w:rPr>
      </w:pPr>
      <w:r w:rsidRPr="00BE18E0">
        <w:rPr>
          <w:color w:val="000000"/>
        </w:rPr>
        <w:t>Essa seleção garante diversidade geográfica (América Central, Caribe, Cone Sul), variedade temática (golpes, crises eleitorais, acordos de paz) e comparabilidade analítica.</w:t>
      </w:r>
    </w:p>
    <w:p w14:paraId="7E3C6CEF" w14:textId="77777777" w:rsidR="00DB538A" w:rsidRDefault="00DB538A" w:rsidP="00290AC9">
      <w:pPr>
        <w:tabs>
          <w:tab w:val="left" w:pos="1927"/>
        </w:tabs>
        <w:spacing w:line="360" w:lineRule="auto"/>
        <w:jc w:val="both"/>
      </w:pPr>
    </w:p>
    <w:p w14:paraId="6F2C1B56" w14:textId="77777777" w:rsidR="00BE18E0" w:rsidRPr="00290AC9" w:rsidRDefault="00BE18E0" w:rsidP="00290AC9">
      <w:pPr>
        <w:pStyle w:val="Ttulo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10326524"/>
      <w:r w:rsidRPr="00290AC9">
        <w:rPr>
          <w:rFonts w:ascii="Times New Roman" w:hAnsi="Times New Roman" w:cs="Times New Roman"/>
          <w:b/>
          <w:bCs/>
          <w:color w:val="auto"/>
          <w:sz w:val="24"/>
          <w:szCs w:val="24"/>
        </w:rPr>
        <w:t>5.3 Pesquisa documental</w:t>
      </w:r>
      <w:bookmarkEnd w:id="22"/>
    </w:p>
    <w:p w14:paraId="0A219EAB" w14:textId="77777777" w:rsidR="007E4C91" w:rsidRDefault="007E4C91" w:rsidP="00290AC9">
      <w:pPr>
        <w:spacing w:line="360" w:lineRule="auto"/>
        <w:ind w:firstLine="709"/>
        <w:jc w:val="both"/>
        <w:rPr>
          <w:color w:val="000000"/>
        </w:rPr>
      </w:pPr>
    </w:p>
    <w:p w14:paraId="46D0B34E" w14:textId="77777777" w:rsidR="00BE18E0" w:rsidRPr="00BE18E0" w:rsidRDefault="00BE18E0" w:rsidP="007E4C91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A primeira etapa metodológica será a </w:t>
      </w:r>
      <w:r w:rsidRPr="00BE18E0">
        <w:rPr>
          <w:b/>
          <w:bCs/>
          <w:color w:val="000000"/>
        </w:rPr>
        <w:t>análise documental</w:t>
      </w:r>
      <w:r w:rsidRPr="00BE18E0">
        <w:rPr>
          <w:color w:val="000000"/>
        </w:rPr>
        <w:t>, envolvendo:</w:t>
      </w:r>
    </w:p>
    <w:p w14:paraId="4F7B7F1E" w14:textId="77777777" w:rsidR="00BE18E0" w:rsidRPr="00BE18E0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BE18E0">
        <w:rPr>
          <w:b/>
          <w:bCs/>
          <w:color w:val="000000"/>
        </w:rPr>
        <w:t>Resoluções oficiais da OEA:</w:t>
      </w:r>
      <w:r w:rsidRPr="00BE18E0">
        <w:rPr>
          <w:color w:val="000000"/>
        </w:rPr>
        <w:t> disponíveis em </w:t>
      </w:r>
      <w:hyperlink r:id="rId14" w:history="1">
        <w:r w:rsidRPr="00BE18E0">
          <w:rPr>
            <w:color w:val="0000FF"/>
            <w:u w:val="single"/>
          </w:rPr>
          <w:t>https://www.oas.org</w:t>
        </w:r>
      </w:hyperlink>
      <w:r w:rsidRPr="00BE18E0">
        <w:rPr>
          <w:color w:val="000000"/>
        </w:rPr>
        <w:t>.</w:t>
      </w:r>
    </w:p>
    <w:p w14:paraId="4FC87C30" w14:textId="77777777" w:rsidR="00BE18E0" w:rsidRPr="00BE18E0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BE18E0">
        <w:rPr>
          <w:b/>
          <w:bCs/>
          <w:color w:val="000000"/>
        </w:rPr>
        <w:t>Relatórios da CIDH:</w:t>
      </w:r>
      <w:r w:rsidRPr="00BE18E0">
        <w:rPr>
          <w:color w:val="000000"/>
        </w:rPr>
        <w:t> fonte crucial para avaliar posicionamentos da OEA em direitos humanos.</w:t>
      </w:r>
    </w:p>
    <w:p w14:paraId="5951128E" w14:textId="77777777" w:rsidR="00BE18E0" w:rsidRPr="00BE18E0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BE18E0">
        <w:rPr>
          <w:b/>
          <w:bCs/>
          <w:color w:val="000000"/>
        </w:rPr>
        <w:t>Declarações e comunicados da CELAC:</w:t>
      </w:r>
      <w:r w:rsidRPr="00BE18E0">
        <w:rPr>
          <w:color w:val="000000"/>
        </w:rPr>
        <w:t> disponíveis em portais oficiais de cúpulas e no site da CEPAL.</w:t>
      </w:r>
    </w:p>
    <w:p w14:paraId="1641B89D" w14:textId="77777777" w:rsidR="00BE18E0" w:rsidRPr="00BE18E0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BE18E0">
        <w:rPr>
          <w:b/>
          <w:bCs/>
          <w:color w:val="000000"/>
        </w:rPr>
        <w:t>Documentos de organismos regionais correlatos:</w:t>
      </w:r>
      <w:r w:rsidRPr="00BE18E0">
        <w:rPr>
          <w:color w:val="000000"/>
        </w:rPr>
        <w:t> MERCOSUL, UNASUL, ALBA, ONU.</w:t>
      </w:r>
    </w:p>
    <w:p w14:paraId="72542F81" w14:textId="77777777" w:rsidR="00BE18E0" w:rsidRPr="00BE18E0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BE18E0">
        <w:rPr>
          <w:b/>
          <w:bCs/>
          <w:color w:val="000000"/>
        </w:rPr>
        <w:t>Artigos acadêmicos de acesso aberto</w:t>
      </w:r>
      <w:r w:rsidRPr="00BE18E0">
        <w:rPr>
          <w:color w:val="000000"/>
        </w:rPr>
        <w:t> (NUSO, CRIES, FLACSO, CLACSO</w:t>
      </w:r>
      <w:r w:rsidR="00971D38">
        <w:rPr>
          <w:color w:val="000000"/>
        </w:rPr>
        <w:t>...</w:t>
      </w:r>
      <w:r w:rsidRPr="00BE18E0">
        <w:rPr>
          <w:color w:val="000000"/>
        </w:rPr>
        <w:t>).</w:t>
      </w:r>
    </w:p>
    <w:p w14:paraId="22AF6B37" w14:textId="77777777" w:rsidR="007E4C91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BE18E0">
        <w:rPr>
          <w:b/>
          <w:bCs/>
          <w:color w:val="000000"/>
        </w:rPr>
        <w:t>Reportagens jornalísticas</w:t>
      </w:r>
      <w:r w:rsidRPr="00BE18E0">
        <w:rPr>
          <w:color w:val="000000"/>
        </w:rPr>
        <w:t> de veículos latino-americanos (Página/12, La Jornada, El País, BBC Mundo</w:t>
      </w:r>
      <w:r w:rsidR="00971D38">
        <w:rPr>
          <w:color w:val="000000"/>
        </w:rPr>
        <w:t>...</w:t>
      </w:r>
      <w:r w:rsidRPr="00BE18E0">
        <w:rPr>
          <w:color w:val="000000"/>
        </w:rPr>
        <w:t>).</w:t>
      </w:r>
    </w:p>
    <w:p w14:paraId="3EB0E07E" w14:textId="77777777" w:rsidR="005F7D0D" w:rsidRPr="007E4C91" w:rsidRDefault="005F7D0D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7E4C91">
        <w:rPr>
          <w:b/>
          <w:bCs/>
          <w:color w:val="000000"/>
        </w:rPr>
        <w:lastRenderedPageBreak/>
        <w:t xml:space="preserve">Dados Macroeconômicos: </w:t>
      </w:r>
      <w:r w:rsidRPr="007E4C91">
        <w:rPr>
          <w:color w:val="000000"/>
        </w:rPr>
        <w:t xml:space="preserve">Relatórios da </w:t>
      </w:r>
      <w:r w:rsidRPr="007E4C91">
        <w:rPr>
          <w:b/>
          <w:bCs/>
          <w:color w:val="000000"/>
        </w:rPr>
        <w:t>CEPAL</w:t>
      </w:r>
      <w:r w:rsidRPr="007E4C91">
        <w:rPr>
          <w:color w:val="000000"/>
        </w:rPr>
        <w:t xml:space="preserve"> (Comissão Econômica para a América Latina e Caribe), do </w:t>
      </w:r>
      <w:r w:rsidRPr="007E4C91">
        <w:rPr>
          <w:b/>
          <w:bCs/>
          <w:color w:val="000000"/>
        </w:rPr>
        <w:t>Banco Mundial</w:t>
      </w:r>
      <w:r w:rsidRPr="007E4C91">
        <w:rPr>
          <w:color w:val="000000"/>
        </w:rPr>
        <w:t xml:space="preserve"> e do </w:t>
      </w:r>
      <w:r w:rsidRPr="007E4C91">
        <w:rPr>
          <w:b/>
          <w:bCs/>
          <w:color w:val="000000"/>
        </w:rPr>
        <w:t>Fundo Monetário</w:t>
      </w:r>
      <w:r w:rsidRPr="007E4C91">
        <w:rPr>
          <w:color w:val="000000"/>
        </w:rPr>
        <w:t xml:space="preserve"> </w:t>
      </w:r>
      <w:r w:rsidRPr="007E4C91">
        <w:rPr>
          <w:b/>
          <w:bCs/>
          <w:color w:val="000000"/>
        </w:rPr>
        <w:t>Internacional</w:t>
      </w:r>
      <w:r w:rsidRPr="007E4C91">
        <w:rPr>
          <w:color w:val="000000"/>
        </w:rPr>
        <w:t xml:space="preserve"> (FMI) sobre o país afetado (indicadores de Comercio, IED e crescimento do PIB</w:t>
      </w:r>
    </w:p>
    <w:p w14:paraId="22A10E81" w14:textId="77777777" w:rsidR="00BE18E0" w:rsidRPr="00BE18E0" w:rsidRDefault="00BE18E0" w:rsidP="007E4C91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A análise documental seguirá os seguintes critérios:</w:t>
      </w:r>
    </w:p>
    <w:p w14:paraId="17B61E58" w14:textId="77777777" w:rsidR="00BE18E0" w:rsidRPr="00BE18E0" w:rsidRDefault="00BE18E0" w:rsidP="007E4C91">
      <w:pPr>
        <w:numPr>
          <w:ilvl w:val="0"/>
          <w:numId w:val="21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Identificar a narrativa oficial de cada organismo em cada crise.</w:t>
      </w:r>
    </w:p>
    <w:p w14:paraId="40B6C147" w14:textId="77777777" w:rsidR="00BE18E0" w:rsidRPr="00BE18E0" w:rsidRDefault="00BE18E0" w:rsidP="007E4C91">
      <w:pPr>
        <w:numPr>
          <w:ilvl w:val="0"/>
          <w:numId w:val="21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Comparar coerência entre discurso e prática.</w:t>
      </w:r>
    </w:p>
    <w:p w14:paraId="3E219A2F" w14:textId="77777777" w:rsidR="00BE18E0" w:rsidRPr="00BE18E0" w:rsidRDefault="00BE18E0" w:rsidP="007E4C91">
      <w:pPr>
        <w:numPr>
          <w:ilvl w:val="0"/>
          <w:numId w:val="21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Avaliar presença de seletividade ou omissão.</w:t>
      </w:r>
    </w:p>
    <w:p w14:paraId="2A24CB4D" w14:textId="77777777" w:rsidR="00BE18E0" w:rsidRPr="00BE18E0" w:rsidRDefault="00BE18E0" w:rsidP="007E4C91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Todos os documentos serão sistematizados em um </w:t>
      </w:r>
      <w:r w:rsidRPr="00BE18E0">
        <w:rPr>
          <w:b/>
          <w:bCs/>
          <w:color w:val="000000"/>
        </w:rPr>
        <w:t>banco de dados textual</w:t>
      </w:r>
      <w:r w:rsidRPr="00BE18E0">
        <w:rPr>
          <w:color w:val="000000"/>
        </w:rPr>
        <w:t>, organizado cronologicamente por caso.</w:t>
      </w:r>
    </w:p>
    <w:p w14:paraId="609814B9" w14:textId="77777777" w:rsidR="00BE18E0" w:rsidRPr="00BE18E0" w:rsidRDefault="00BE18E0" w:rsidP="00C5577F">
      <w:pPr>
        <w:jc w:val="both"/>
      </w:pPr>
    </w:p>
    <w:p w14:paraId="455FEF8C" w14:textId="77777777" w:rsidR="00BE18E0" w:rsidRPr="00290AC9" w:rsidRDefault="00BE18E0" w:rsidP="00DB538A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3" w:name="_Toc210326525"/>
      <w:r w:rsidRPr="00290AC9">
        <w:rPr>
          <w:rFonts w:ascii="Times New Roman" w:hAnsi="Times New Roman" w:cs="Times New Roman"/>
          <w:b/>
          <w:color w:val="auto"/>
          <w:sz w:val="24"/>
          <w:szCs w:val="24"/>
        </w:rPr>
        <w:t>5.4 Entrevistas semiestruturadas</w:t>
      </w:r>
      <w:bookmarkEnd w:id="23"/>
    </w:p>
    <w:p w14:paraId="0C75AEBF" w14:textId="77777777" w:rsidR="007E4C91" w:rsidRDefault="007E4C91" w:rsidP="007E4C91">
      <w:pPr>
        <w:spacing w:line="360" w:lineRule="auto"/>
        <w:ind w:firstLine="709"/>
        <w:jc w:val="both"/>
        <w:rPr>
          <w:color w:val="000000"/>
        </w:rPr>
      </w:pPr>
    </w:p>
    <w:p w14:paraId="19BD838C" w14:textId="77777777" w:rsidR="00BE18E0" w:rsidRPr="00BE18E0" w:rsidRDefault="00BE18E0" w:rsidP="007E4C91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A segunda etapa será a realização de </w:t>
      </w:r>
      <w:r w:rsidRPr="00BE18E0">
        <w:rPr>
          <w:b/>
          <w:bCs/>
          <w:color w:val="000000"/>
        </w:rPr>
        <w:t>entrevistas semiestruturadas</w:t>
      </w:r>
      <w:r w:rsidRPr="00BE18E0">
        <w:rPr>
          <w:color w:val="000000"/>
        </w:rPr>
        <w:t> com atores-chave. As entrevistas terão três grupos de entrevistados:</w:t>
      </w:r>
    </w:p>
    <w:p w14:paraId="166C4124" w14:textId="77777777" w:rsidR="00BE18E0" w:rsidRPr="00BE18E0" w:rsidRDefault="00BE18E0" w:rsidP="007E4C91">
      <w:pPr>
        <w:numPr>
          <w:ilvl w:val="0"/>
          <w:numId w:val="22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Diplomatas e ex-ministros</w:t>
      </w:r>
      <w:r w:rsidRPr="00BE18E0">
        <w:rPr>
          <w:color w:val="000000"/>
        </w:rPr>
        <w:t> que participaram das negociações.</w:t>
      </w:r>
    </w:p>
    <w:p w14:paraId="520BCD28" w14:textId="77777777" w:rsidR="00BE18E0" w:rsidRPr="00BE18E0" w:rsidRDefault="00BE18E0" w:rsidP="007E4C91">
      <w:pPr>
        <w:numPr>
          <w:ilvl w:val="0"/>
          <w:numId w:val="22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Representantes de organismos internacionais</w:t>
      </w:r>
      <w:r w:rsidRPr="00BE18E0">
        <w:rPr>
          <w:color w:val="000000"/>
        </w:rPr>
        <w:t>, como membros da OEA, da CELAC ou da ONU.</w:t>
      </w:r>
    </w:p>
    <w:p w14:paraId="29CA5186" w14:textId="77777777" w:rsidR="00BE18E0" w:rsidRPr="00BE18E0" w:rsidRDefault="00BE18E0" w:rsidP="007E4C91">
      <w:pPr>
        <w:numPr>
          <w:ilvl w:val="0"/>
          <w:numId w:val="22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Acadêmicos e jornalistas especializados</w:t>
      </w:r>
      <w:r w:rsidRPr="00BE18E0">
        <w:rPr>
          <w:color w:val="000000"/>
        </w:rPr>
        <w:t> que acompanharam as crises.</w:t>
      </w:r>
    </w:p>
    <w:p w14:paraId="51A63AED" w14:textId="77777777" w:rsidR="00BE18E0" w:rsidRPr="00BE18E0" w:rsidRDefault="00BE18E0" w:rsidP="007E4C91">
      <w:pPr>
        <w:spacing w:line="360" w:lineRule="auto"/>
        <w:jc w:val="both"/>
        <w:outlineLvl w:val="3"/>
        <w:rPr>
          <w:b/>
          <w:bCs/>
          <w:color w:val="000000"/>
        </w:rPr>
      </w:pPr>
      <w:r w:rsidRPr="00BE18E0">
        <w:rPr>
          <w:b/>
          <w:bCs/>
          <w:color w:val="000000"/>
        </w:rPr>
        <w:t>Estrutura do roteiro de entrevistas</w:t>
      </w:r>
    </w:p>
    <w:p w14:paraId="712F673E" w14:textId="77777777" w:rsidR="00BE18E0" w:rsidRPr="00BE18E0" w:rsidRDefault="00BE18E0" w:rsidP="007E4C91">
      <w:pPr>
        <w:numPr>
          <w:ilvl w:val="0"/>
          <w:numId w:val="23"/>
        </w:numPr>
        <w:spacing w:line="360" w:lineRule="auto"/>
        <w:jc w:val="both"/>
        <w:rPr>
          <w:color w:val="000000"/>
        </w:rPr>
      </w:pPr>
      <w:r w:rsidRPr="00BE18E0">
        <w:rPr>
          <w:color w:val="000000"/>
        </w:rPr>
        <w:t>Perguntas gerais: percepções sobre o papel da OEA e da CELAC.</w:t>
      </w:r>
    </w:p>
    <w:p w14:paraId="4298AADC" w14:textId="77777777" w:rsidR="00BE18E0" w:rsidRPr="00BE18E0" w:rsidRDefault="00BE18E0" w:rsidP="007E4C91">
      <w:pPr>
        <w:numPr>
          <w:ilvl w:val="0"/>
          <w:numId w:val="23"/>
        </w:numPr>
        <w:spacing w:line="360" w:lineRule="auto"/>
        <w:jc w:val="both"/>
        <w:rPr>
          <w:color w:val="000000"/>
        </w:rPr>
      </w:pPr>
      <w:r w:rsidRPr="00BE18E0">
        <w:rPr>
          <w:color w:val="000000"/>
        </w:rPr>
        <w:t>Perguntas específicas: experiências em cada caso selecionado.</w:t>
      </w:r>
    </w:p>
    <w:p w14:paraId="75DFA524" w14:textId="77777777" w:rsidR="00BE18E0" w:rsidRDefault="00BE18E0" w:rsidP="007E4C91">
      <w:pPr>
        <w:numPr>
          <w:ilvl w:val="0"/>
          <w:numId w:val="23"/>
        </w:numPr>
        <w:spacing w:line="360" w:lineRule="auto"/>
        <w:jc w:val="both"/>
        <w:rPr>
          <w:color w:val="000000"/>
        </w:rPr>
      </w:pPr>
      <w:r w:rsidRPr="00BE18E0">
        <w:rPr>
          <w:color w:val="000000"/>
        </w:rPr>
        <w:t>Questões de análise: percepções sobre legitimidade, eficácia e seletividade.</w:t>
      </w:r>
    </w:p>
    <w:p w14:paraId="1FCF5383" w14:textId="77777777" w:rsidR="005F7D0D" w:rsidRPr="00BE18E0" w:rsidRDefault="005F7D0D" w:rsidP="007E4C91">
      <w:pPr>
        <w:numPr>
          <w:ilvl w:val="0"/>
          <w:numId w:val="23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Perguntas sobre percepção de risco de investimento. </w:t>
      </w:r>
    </w:p>
    <w:p w14:paraId="6FC37EC3" w14:textId="77777777" w:rsidR="00BE18E0" w:rsidRPr="00BE18E0" w:rsidRDefault="00BE18E0" w:rsidP="007E4C91">
      <w:pPr>
        <w:spacing w:line="360" w:lineRule="auto"/>
        <w:jc w:val="both"/>
        <w:outlineLvl w:val="3"/>
        <w:rPr>
          <w:b/>
          <w:bCs/>
          <w:color w:val="000000"/>
        </w:rPr>
      </w:pPr>
      <w:r w:rsidRPr="00BE18E0">
        <w:rPr>
          <w:b/>
          <w:bCs/>
          <w:color w:val="000000"/>
        </w:rPr>
        <w:t>Validade e ética</w:t>
      </w:r>
    </w:p>
    <w:p w14:paraId="39E2E531" w14:textId="77777777" w:rsidR="00BE18E0" w:rsidRPr="00BE18E0" w:rsidRDefault="00BE18E0" w:rsidP="007E4C91">
      <w:pPr>
        <w:numPr>
          <w:ilvl w:val="0"/>
          <w:numId w:val="24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O roteiro será testado em entrevistas piloto.</w:t>
      </w:r>
    </w:p>
    <w:p w14:paraId="507F676F" w14:textId="77777777" w:rsidR="00BE18E0" w:rsidRPr="00BE18E0" w:rsidRDefault="00BE18E0" w:rsidP="007E4C91">
      <w:pPr>
        <w:numPr>
          <w:ilvl w:val="0"/>
          <w:numId w:val="24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Todos os entrevistados serão informados sobre objetivo acadêmico.</w:t>
      </w:r>
    </w:p>
    <w:p w14:paraId="42AFF6F9" w14:textId="77777777" w:rsidR="00BE18E0" w:rsidRPr="00BE18E0" w:rsidRDefault="00BE18E0" w:rsidP="007E4C91">
      <w:pPr>
        <w:numPr>
          <w:ilvl w:val="0"/>
          <w:numId w:val="24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A confidencialidade será assegurada quando solicitada.</w:t>
      </w:r>
    </w:p>
    <w:p w14:paraId="73A28CA4" w14:textId="77777777" w:rsidR="00BE18E0" w:rsidRPr="00BE18E0" w:rsidRDefault="00BE18E0" w:rsidP="007E4C91">
      <w:pPr>
        <w:spacing w:line="360" w:lineRule="auto"/>
        <w:jc w:val="both"/>
        <w:outlineLvl w:val="3"/>
        <w:rPr>
          <w:b/>
          <w:bCs/>
          <w:color w:val="000000"/>
        </w:rPr>
      </w:pPr>
      <w:r w:rsidRPr="00BE18E0">
        <w:rPr>
          <w:b/>
          <w:bCs/>
          <w:color w:val="000000"/>
        </w:rPr>
        <w:t>Procedimentos de registro</w:t>
      </w:r>
    </w:p>
    <w:p w14:paraId="3DFA55C8" w14:textId="77777777" w:rsidR="00BE18E0" w:rsidRPr="00BE18E0" w:rsidRDefault="00BE18E0" w:rsidP="007E4C91">
      <w:pPr>
        <w:numPr>
          <w:ilvl w:val="0"/>
          <w:numId w:val="25"/>
        </w:numPr>
        <w:spacing w:line="360" w:lineRule="auto"/>
        <w:jc w:val="both"/>
        <w:rPr>
          <w:color w:val="000000"/>
        </w:rPr>
      </w:pPr>
      <w:r w:rsidRPr="00BE18E0">
        <w:rPr>
          <w:color w:val="000000"/>
        </w:rPr>
        <w:t>As entrevistas serão gravadas com autorização.</w:t>
      </w:r>
    </w:p>
    <w:p w14:paraId="47B9AA34" w14:textId="77777777" w:rsidR="00BE18E0" w:rsidRPr="00BE18E0" w:rsidRDefault="00BE18E0" w:rsidP="007E4C91">
      <w:pPr>
        <w:numPr>
          <w:ilvl w:val="0"/>
          <w:numId w:val="25"/>
        </w:numPr>
        <w:spacing w:line="360" w:lineRule="auto"/>
        <w:jc w:val="both"/>
        <w:rPr>
          <w:color w:val="000000"/>
        </w:rPr>
      </w:pPr>
      <w:r w:rsidRPr="00BE18E0">
        <w:rPr>
          <w:color w:val="000000"/>
        </w:rPr>
        <w:t>Serão transcritas integralmente e armazenadas em software de análise qualitativa</w:t>
      </w:r>
      <w:r w:rsidR="00971D38">
        <w:rPr>
          <w:color w:val="000000"/>
        </w:rPr>
        <w:t>.</w:t>
      </w:r>
    </w:p>
    <w:p w14:paraId="38C370D9" w14:textId="77777777" w:rsidR="00BE18E0" w:rsidRPr="00BE18E0" w:rsidRDefault="00BE18E0" w:rsidP="007E4C91">
      <w:pPr>
        <w:spacing w:line="360" w:lineRule="auto"/>
        <w:jc w:val="both"/>
      </w:pPr>
    </w:p>
    <w:p w14:paraId="3CCCF426" w14:textId="77777777" w:rsidR="00BE18E0" w:rsidRPr="00DB538A" w:rsidRDefault="00BE18E0" w:rsidP="00DB538A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4" w:name="_Toc210326526"/>
      <w:r w:rsidRPr="00DB538A">
        <w:rPr>
          <w:rFonts w:ascii="Times New Roman" w:hAnsi="Times New Roman" w:cs="Times New Roman"/>
          <w:b/>
          <w:color w:val="auto"/>
          <w:sz w:val="24"/>
          <w:szCs w:val="24"/>
        </w:rPr>
        <w:t>5.5 Procedimentos de análise</w:t>
      </w:r>
      <w:bookmarkEnd w:id="24"/>
    </w:p>
    <w:p w14:paraId="1DBF1BF1" w14:textId="77777777" w:rsidR="00BE18E0" w:rsidRPr="00BE18E0" w:rsidRDefault="00BE18E0" w:rsidP="007E4C91">
      <w:pPr>
        <w:spacing w:before="100" w:beforeAutospacing="1" w:after="100" w:afterAutospacing="1"/>
        <w:ind w:firstLine="709"/>
        <w:jc w:val="both"/>
        <w:rPr>
          <w:color w:val="000000"/>
        </w:rPr>
      </w:pPr>
      <w:r w:rsidRPr="00BE18E0">
        <w:rPr>
          <w:color w:val="000000"/>
        </w:rPr>
        <w:t>Os dados coletados serão analisados por meio de </w:t>
      </w:r>
      <w:r w:rsidRPr="00BE18E0">
        <w:rPr>
          <w:b/>
          <w:bCs/>
          <w:color w:val="000000"/>
        </w:rPr>
        <w:t>triangulação metodológica</w:t>
      </w:r>
      <w:r w:rsidRPr="00BE18E0">
        <w:rPr>
          <w:color w:val="000000"/>
        </w:rPr>
        <w:t>:</w:t>
      </w:r>
    </w:p>
    <w:p w14:paraId="479FA0A0" w14:textId="77777777" w:rsidR="00BE18E0" w:rsidRPr="00BE18E0" w:rsidRDefault="00BE18E0" w:rsidP="007E4C91">
      <w:pPr>
        <w:numPr>
          <w:ilvl w:val="0"/>
          <w:numId w:val="26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b/>
          <w:bCs/>
          <w:color w:val="000000"/>
        </w:rPr>
        <w:lastRenderedPageBreak/>
        <w:t>Análise documental:</w:t>
      </w:r>
      <w:r w:rsidRPr="00BE18E0">
        <w:rPr>
          <w:color w:val="000000"/>
        </w:rPr>
        <w:t> comparação entre resoluções, relatórios e declarações.</w:t>
      </w:r>
    </w:p>
    <w:p w14:paraId="51E1FD2E" w14:textId="77777777" w:rsidR="00BE18E0" w:rsidRPr="00BE18E0" w:rsidRDefault="00BE18E0" w:rsidP="007E4C91">
      <w:pPr>
        <w:numPr>
          <w:ilvl w:val="0"/>
          <w:numId w:val="26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b/>
          <w:bCs/>
          <w:color w:val="000000"/>
        </w:rPr>
        <w:t>Análise de entrevistas:</w:t>
      </w:r>
      <w:r w:rsidRPr="00BE18E0">
        <w:rPr>
          <w:color w:val="000000"/>
        </w:rPr>
        <w:t> codificação temática das transcrições, identificação de padrões de percepção.</w:t>
      </w:r>
    </w:p>
    <w:p w14:paraId="65BAAC7E" w14:textId="77777777" w:rsidR="00BE18E0" w:rsidRPr="00BE18E0" w:rsidRDefault="00BE18E0" w:rsidP="007E4C91">
      <w:pPr>
        <w:numPr>
          <w:ilvl w:val="0"/>
          <w:numId w:val="26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b/>
          <w:bCs/>
          <w:color w:val="000000"/>
        </w:rPr>
        <w:t>Análise comparativa:</w:t>
      </w:r>
      <w:r w:rsidRPr="00BE18E0">
        <w:rPr>
          <w:color w:val="000000"/>
        </w:rPr>
        <w:t> construção de matrizes que cruzam as dimensões de institucionalidade, narrativa política e resultados práticos.</w:t>
      </w:r>
    </w:p>
    <w:p w14:paraId="4578555C" w14:textId="77777777" w:rsidR="00BE18E0" w:rsidRPr="00BE18E0" w:rsidRDefault="00BE18E0" w:rsidP="007E4C91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A técnica de análise de discurso será aplicada para compreender a linguagem utilizada nos documentos oficiais, observando termos recorrentes como “soberania”, “democracia”, “direitos humanos” e “não intervenção”.</w:t>
      </w:r>
    </w:p>
    <w:p w14:paraId="346F805E" w14:textId="77777777" w:rsidR="00BE18E0" w:rsidRDefault="00BE18E0" w:rsidP="007E4C91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A triangulação garantirá maior validade às conclusões, reduzindo vieses de cada fonte isolada.</w:t>
      </w:r>
    </w:p>
    <w:p w14:paraId="349C56BD" w14:textId="77777777" w:rsidR="007E4C91" w:rsidRPr="00290AC9" w:rsidRDefault="007E4C91" w:rsidP="00DB538A">
      <w:pPr>
        <w:pStyle w:val="Ttulo2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CB85A2A" w14:textId="77777777" w:rsidR="00BE18E0" w:rsidRPr="00290AC9" w:rsidRDefault="00BE18E0" w:rsidP="00DB538A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10326527"/>
      <w:r w:rsidRPr="00290AC9">
        <w:rPr>
          <w:rFonts w:ascii="Times New Roman" w:hAnsi="Times New Roman" w:cs="Times New Roman"/>
          <w:b/>
          <w:bCs/>
          <w:color w:val="auto"/>
          <w:sz w:val="24"/>
          <w:szCs w:val="24"/>
        </w:rPr>
        <w:t>5.6 Limitações metodológicas</w:t>
      </w:r>
      <w:bookmarkEnd w:id="25"/>
    </w:p>
    <w:p w14:paraId="7767DE5D" w14:textId="77777777" w:rsidR="00043C83" w:rsidRDefault="00043C83" w:rsidP="00043C83">
      <w:pPr>
        <w:spacing w:line="360" w:lineRule="auto"/>
        <w:jc w:val="both"/>
        <w:rPr>
          <w:color w:val="000000"/>
        </w:rPr>
      </w:pPr>
    </w:p>
    <w:p w14:paraId="66CA7F35" w14:textId="77777777" w:rsidR="00BE18E0" w:rsidRPr="00BE18E0" w:rsidRDefault="00BE18E0" w:rsidP="00043C83">
      <w:pPr>
        <w:spacing w:line="360" w:lineRule="auto"/>
        <w:ind w:firstLine="708"/>
        <w:jc w:val="both"/>
        <w:rPr>
          <w:color w:val="000000"/>
        </w:rPr>
      </w:pPr>
      <w:r w:rsidRPr="00BE18E0">
        <w:rPr>
          <w:color w:val="000000"/>
        </w:rPr>
        <w:t>Toda pesquisa enfrenta limitações, que serão explicitadas para reforçar transparência:</w:t>
      </w:r>
    </w:p>
    <w:p w14:paraId="017F03FA" w14:textId="77777777" w:rsidR="00BE18E0" w:rsidRPr="00BE18E0" w:rsidRDefault="00BE18E0" w:rsidP="00043C83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Fragilidade documental da CELAC:</w:t>
      </w:r>
      <w:r w:rsidRPr="00BE18E0">
        <w:rPr>
          <w:color w:val="000000"/>
        </w:rPr>
        <w:t> por não possuir secretariado permanente, nem sempre as declarações são sistematizadas em bancos públicos.</w:t>
      </w:r>
    </w:p>
    <w:p w14:paraId="00C83AA2" w14:textId="77777777" w:rsidR="00BE18E0" w:rsidRPr="00BE18E0" w:rsidRDefault="00BE18E0" w:rsidP="00043C83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Viés de seletividade em entrevistas:</w:t>
      </w:r>
      <w:r w:rsidRPr="00BE18E0">
        <w:rPr>
          <w:color w:val="000000"/>
        </w:rPr>
        <w:t> entrevistados podem relatar versões parciais ou politicamente interessadas.</w:t>
      </w:r>
    </w:p>
    <w:p w14:paraId="1C7DFDCB" w14:textId="77777777" w:rsidR="00BE18E0" w:rsidRPr="00BE18E0" w:rsidRDefault="00BE18E0" w:rsidP="00043C83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Generalização limitada:</w:t>
      </w:r>
      <w:r w:rsidRPr="00BE18E0">
        <w:rPr>
          <w:color w:val="000000"/>
        </w:rPr>
        <w:t> por se tratar de estudo qualitativo, os resultados não serão universalmente generalizáveis.</w:t>
      </w:r>
    </w:p>
    <w:p w14:paraId="287E28C7" w14:textId="77777777" w:rsidR="00BE18E0" w:rsidRPr="00BE18E0" w:rsidRDefault="00BE18E0" w:rsidP="00043C83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Acesso a atores-chave:</w:t>
      </w:r>
      <w:r w:rsidRPr="00BE18E0">
        <w:rPr>
          <w:color w:val="000000"/>
        </w:rPr>
        <w:t> nem todos os diplomatas e ex-presidentes estarão disponíveis para entrevistas.</w:t>
      </w:r>
    </w:p>
    <w:p w14:paraId="0AEF2530" w14:textId="77777777" w:rsidR="00BE18E0" w:rsidRPr="00BE18E0" w:rsidRDefault="00BE18E0" w:rsidP="00C5577F">
      <w:pPr>
        <w:spacing w:before="100" w:beforeAutospacing="1" w:after="100" w:afterAutospacing="1"/>
        <w:jc w:val="both"/>
        <w:outlineLvl w:val="3"/>
        <w:rPr>
          <w:b/>
          <w:bCs/>
          <w:color w:val="000000"/>
        </w:rPr>
      </w:pPr>
      <w:r w:rsidRPr="00BE18E0">
        <w:rPr>
          <w:b/>
          <w:bCs/>
          <w:color w:val="000000"/>
        </w:rPr>
        <w:t>Estratégias de mitigação</w:t>
      </w:r>
    </w:p>
    <w:p w14:paraId="137257D4" w14:textId="77777777" w:rsidR="00BE18E0" w:rsidRPr="00BE18E0" w:rsidRDefault="00BE18E0" w:rsidP="00043C83">
      <w:pPr>
        <w:numPr>
          <w:ilvl w:val="0"/>
          <w:numId w:val="28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Complementar entrevistas com análise documental robusta.</w:t>
      </w:r>
    </w:p>
    <w:p w14:paraId="24A01062" w14:textId="77777777" w:rsidR="00BE18E0" w:rsidRPr="00BE18E0" w:rsidRDefault="00BE18E0" w:rsidP="00043C83">
      <w:pPr>
        <w:numPr>
          <w:ilvl w:val="0"/>
          <w:numId w:val="28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Triangular fontes primárias e secundárias.</w:t>
      </w:r>
    </w:p>
    <w:p w14:paraId="2BA14FD0" w14:textId="77777777" w:rsidR="00BE18E0" w:rsidRPr="00BE18E0" w:rsidRDefault="00BE18E0" w:rsidP="00043C83">
      <w:pPr>
        <w:numPr>
          <w:ilvl w:val="0"/>
          <w:numId w:val="28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Buscar entrevistados alternativos quando atores centrais não puderem participar.</w:t>
      </w:r>
    </w:p>
    <w:p w14:paraId="667FB657" w14:textId="77777777" w:rsidR="00BE18E0" w:rsidRDefault="00BE18E0" w:rsidP="00DB538A">
      <w:pPr>
        <w:pStyle w:val="Ttulo2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830CA5" w14:textId="77777777" w:rsidR="00DB538A" w:rsidRDefault="00DB538A" w:rsidP="00DB538A"/>
    <w:p w14:paraId="5A8900CA" w14:textId="77777777" w:rsidR="00DB538A" w:rsidRPr="00DB538A" w:rsidRDefault="00DB538A" w:rsidP="00DB538A"/>
    <w:p w14:paraId="54F01FF8" w14:textId="7C7C224C" w:rsidR="00BE18E0" w:rsidRPr="00DB538A" w:rsidRDefault="00290AC9" w:rsidP="00DB538A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6" w:name="_Toc210326528"/>
      <w:r w:rsidRPr="00DB538A">
        <w:rPr>
          <w:rFonts w:ascii="Times New Roman" w:hAnsi="Times New Roman" w:cs="Times New Roman"/>
          <w:b/>
          <w:bCs/>
          <w:color w:val="000000"/>
          <w:sz w:val="24"/>
          <w:szCs w:val="24"/>
        </w:rPr>
        <w:t>6 CONSIDERAÇÕES FINAIS PRELIMINARES</w:t>
      </w:r>
      <w:bookmarkEnd w:id="26"/>
    </w:p>
    <w:p w14:paraId="1B075E17" w14:textId="77777777" w:rsidR="00043C83" w:rsidRDefault="00043C83" w:rsidP="00DB538A">
      <w:pPr>
        <w:spacing w:line="360" w:lineRule="auto"/>
        <w:ind w:firstLine="708"/>
        <w:jc w:val="both"/>
        <w:rPr>
          <w:color w:val="000000"/>
        </w:rPr>
      </w:pPr>
    </w:p>
    <w:p w14:paraId="04B1488A" w14:textId="77777777" w:rsidR="00BE18E0" w:rsidRPr="00BE18E0" w:rsidRDefault="00BE18E0" w:rsidP="00043C83">
      <w:pPr>
        <w:spacing w:line="360" w:lineRule="auto"/>
        <w:ind w:firstLine="708"/>
        <w:jc w:val="both"/>
        <w:rPr>
          <w:color w:val="000000"/>
        </w:rPr>
      </w:pPr>
      <w:r w:rsidRPr="00BE18E0">
        <w:rPr>
          <w:color w:val="000000"/>
        </w:rPr>
        <w:t>A análise preliminar da relação entre OEA e CELAC sugere um panorama dual da governança regional latino-americana:</w:t>
      </w:r>
    </w:p>
    <w:p w14:paraId="203881BE" w14:textId="77777777" w:rsidR="00BE18E0" w:rsidRPr="00BE18E0" w:rsidRDefault="00BE18E0" w:rsidP="00043C83">
      <w:pPr>
        <w:numPr>
          <w:ilvl w:val="0"/>
          <w:numId w:val="29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lastRenderedPageBreak/>
        <w:t>OEA como instituição hegemônica:</w:t>
      </w:r>
      <w:r w:rsidRPr="00BE18E0">
        <w:rPr>
          <w:color w:val="000000"/>
        </w:rPr>
        <w:t> sua robustez institucional garante centralidade, mas sua dependência dos EUA mina legitimidade.</w:t>
      </w:r>
    </w:p>
    <w:p w14:paraId="32D624ED" w14:textId="77777777" w:rsidR="00BE18E0" w:rsidRPr="00BE18E0" w:rsidRDefault="00BE18E0" w:rsidP="00043C83">
      <w:pPr>
        <w:numPr>
          <w:ilvl w:val="0"/>
          <w:numId w:val="29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CELAC como alternativa pós-hegemônica:</w:t>
      </w:r>
      <w:r w:rsidRPr="00BE18E0">
        <w:rPr>
          <w:color w:val="000000"/>
        </w:rPr>
        <w:t> sua fragilidade institucional limita eficácia, mas fortalece legitimidade simbólica.</w:t>
      </w:r>
    </w:p>
    <w:p w14:paraId="5C5355D6" w14:textId="77777777" w:rsidR="00BE18E0" w:rsidRPr="00BE18E0" w:rsidRDefault="00BE18E0" w:rsidP="00043C83">
      <w:pPr>
        <w:numPr>
          <w:ilvl w:val="0"/>
          <w:numId w:val="29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Diferentes funções:</w:t>
      </w:r>
      <w:r w:rsidRPr="00BE18E0">
        <w:rPr>
          <w:color w:val="000000"/>
        </w:rPr>
        <w:t> a OEA atua como arena normativa e jurídica; a CELAC como fórum político de autonomia.</w:t>
      </w:r>
    </w:p>
    <w:p w14:paraId="0410E65C" w14:textId="77777777" w:rsidR="00BE18E0" w:rsidRPr="00BE18E0" w:rsidRDefault="00BE18E0" w:rsidP="00043C83">
      <w:pPr>
        <w:numPr>
          <w:ilvl w:val="0"/>
          <w:numId w:val="29"/>
        </w:numPr>
        <w:spacing w:line="360" w:lineRule="auto"/>
        <w:jc w:val="both"/>
        <w:rPr>
          <w:color w:val="000000"/>
        </w:rPr>
      </w:pPr>
      <w:r w:rsidRPr="00BE18E0">
        <w:rPr>
          <w:b/>
          <w:bCs/>
          <w:color w:val="000000"/>
        </w:rPr>
        <w:t>Cenários futuros:</w:t>
      </w:r>
      <w:r w:rsidRPr="00BE18E0">
        <w:rPr>
          <w:color w:val="000000"/>
        </w:rPr>
        <w:t> a convivência entre OEA e CELAC tende a persistir. A primeira continuará relevante em observação eleitoral e direitos humanos; a segunda como arena de diálogo político e resistência à hegemonia externa.</w:t>
      </w:r>
    </w:p>
    <w:p w14:paraId="17621551" w14:textId="77777777" w:rsidR="00BE18E0" w:rsidRPr="00BE18E0" w:rsidRDefault="00BE18E0" w:rsidP="00043C83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Do ponto de vista teórico, a pesquisa contribui para o debate sobre hegemonia e autonomia, demonstrando que a governança regional não pode ser explicada apenas pela institucionalidade formal, mas também pela legitimidade política e pelo simbolismo.</w:t>
      </w:r>
    </w:p>
    <w:p w14:paraId="28D87941" w14:textId="77777777" w:rsidR="00BE18E0" w:rsidRPr="00BE18E0" w:rsidRDefault="00BE18E0" w:rsidP="00043C83">
      <w:pPr>
        <w:spacing w:line="360" w:lineRule="auto"/>
        <w:ind w:firstLine="709"/>
        <w:jc w:val="both"/>
        <w:rPr>
          <w:color w:val="000000"/>
        </w:rPr>
      </w:pPr>
      <w:r w:rsidRPr="00BE18E0">
        <w:rPr>
          <w:color w:val="000000"/>
        </w:rPr>
        <w:t>Do ponto de vista prático, a análise pode iluminar caminhos para fortalecer mecanismos regionais de resolução de crises sem depender da influência externa.</w:t>
      </w:r>
    </w:p>
    <w:p w14:paraId="13B06844" w14:textId="77777777" w:rsidR="00BE18E0" w:rsidRPr="001661EB" w:rsidRDefault="00BE18E0" w:rsidP="001E7F78">
      <w:pPr>
        <w:spacing w:line="360" w:lineRule="auto"/>
        <w:jc w:val="both"/>
      </w:pPr>
    </w:p>
    <w:p w14:paraId="719CAE46" w14:textId="77777777" w:rsidR="0081656F" w:rsidRPr="001661EB" w:rsidRDefault="00DB538A" w:rsidP="001E7F78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661E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27" w:name="_Toc210326529"/>
      <w:r w:rsidRPr="001661EB">
        <w:rPr>
          <w:rFonts w:ascii="Times New Roman" w:hAnsi="Times New Roman" w:cs="Times New Roman"/>
          <w:b/>
          <w:bCs/>
          <w:color w:val="auto"/>
          <w:sz w:val="24"/>
          <w:szCs w:val="24"/>
        </w:rPr>
        <w:t>RE</w:t>
      </w:r>
      <w:r w:rsidRPr="001661EB">
        <w:rPr>
          <w:rStyle w:val="Ttulo1Char"/>
          <w:rFonts w:ascii="Times New Roman" w:hAnsi="Times New Roman" w:cs="Times New Roman"/>
          <w:b/>
          <w:bCs/>
          <w:color w:val="auto"/>
          <w:sz w:val="24"/>
          <w:szCs w:val="24"/>
        </w:rPr>
        <w:t>FERÊNCIA</w:t>
      </w:r>
      <w:r w:rsidRPr="001661EB">
        <w:rPr>
          <w:rFonts w:ascii="Times New Roman" w:hAnsi="Times New Roman" w:cs="Times New Roman"/>
          <w:b/>
          <w:bCs/>
          <w:color w:val="auto"/>
          <w:sz w:val="24"/>
          <w:szCs w:val="24"/>
        </w:rPr>
        <w:t>S</w:t>
      </w:r>
      <w:bookmarkEnd w:id="27"/>
    </w:p>
    <w:p w14:paraId="22D6AEC4" w14:textId="77777777" w:rsidR="00DB538A" w:rsidRPr="005D57E3" w:rsidRDefault="00DB538A" w:rsidP="001E7F78">
      <w:pPr>
        <w:spacing w:line="360" w:lineRule="auto"/>
        <w:rPr>
          <w:b/>
          <w:bCs/>
        </w:rPr>
      </w:pPr>
    </w:p>
    <w:p w14:paraId="20FB4815" w14:textId="77777777" w:rsidR="00043C83" w:rsidRDefault="00043C83" w:rsidP="00DB538A">
      <w:pPr>
        <w:pStyle w:val="NormalWeb"/>
        <w:spacing w:before="0" w:beforeAutospacing="0" w:after="0" w:afterAutospacing="0"/>
      </w:pPr>
      <w:r w:rsidRPr="00882576">
        <w:rPr>
          <w:lang w:val="es-ES"/>
        </w:rPr>
        <w:t xml:space="preserve">BRICEÑO-RUIZ, José. </w:t>
      </w:r>
      <w:r w:rsidRPr="00882576">
        <w:rPr>
          <w:rStyle w:val="nfase"/>
          <w:rFonts w:eastAsiaTheme="majorEastAsia"/>
          <w:b/>
          <w:i w:val="0"/>
          <w:lang w:val="es-ES"/>
        </w:rPr>
        <w:t>El regionalismo post-hegemónico en América Latina</w:t>
      </w:r>
      <w:r w:rsidRPr="00882576">
        <w:rPr>
          <w:rStyle w:val="nfase"/>
          <w:rFonts w:eastAsiaTheme="majorEastAsia"/>
          <w:lang w:val="es-ES"/>
        </w:rPr>
        <w:t xml:space="preserve">: </w:t>
      </w:r>
      <w:r w:rsidRPr="00882576">
        <w:rPr>
          <w:rStyle w:val="nfase"/>
          <w:rFonts w:eastAsiaTheme="majorEastAsia"/>
          <w:i w:val="0"/>
          <w:lang w:val="es-ES"/>
        </w:rPr>
        <w:t>origen y dilemas</w:t>
      </w:r>
      <w:r w:rsidRPr="00882576">
        <w:rPr>
          <w:lang w:val="es-ES"/>
        </w:rPr>
        <w:t xml:space="preserve">. </w:t>
      </w:r>
      <w:r>
        <w:t xml:space="preserve">Quito: FLACSO, 2013. Disponível em: </w:t>
      </w:r>
      <w:hyperlink r:id="rId15" w:tgtFrame="_new" w:history="1">
        <w:r>
          <w:rPr>
            <w:rStyle w:val="Hyperlink"/>
            <w:rFonts w:eastAsiaTheme="majorEastAsia"/>
          </w:rPr>
          <w:t>https://librosoa.unam.mx/handle/123456789/3576</w:t>
        </w:r>
      </w:hyperlink>
      <w:r>
        <w:t>. Acesso em: 2 out. 2025.</w:t>
      </w:r>
    </w:p>
    <w:p w14:paraId="63090DEA" w14:textId="77777777" w:rsidR="00DB538A" w:rsidRDefault="00DB538A" w:rsidP="00DB538A">
      <w:pPr>
        <w:pStyle w:val="NormalWeb"/>
        <w:spacing w:before="0" w:beforeAutospacing="0" w:after="0" w:afterAutospacing="0"/>
      </w:pPr>
    </w:p>
    <w:p w14:paraId="6D67C45D" w14:textId="77777777" w:rsidR="00043C83" w:rsidRDefault="00043C83" w:rsidP="00DB538A">
      <w:pPr>
        <w:pStyle w:val="NormalWeb"/>
        <w:spacing w:before="0" w:beforeAutospacing="0" w:after="0" w:afterAutospacing="0"/>
      </w:pPr>
      <w:r>
        <w:t xml:space="preserve">CIDH. </w:t>
      </w:r>
      <w:r w:rsidRPr="00043C83">
        <w:rPr>
          <w:rStyle w:val="nfase"/>
          <w:rFonts w:eastAsiaTheme="majorEastAsia"/>
          <w:b/>
          <w:i w:val="0"/>
        </w:rPr>
        <w:t>Relatórios anuais e especiais</w:t>
      </w:r>
      <w:r>
        <w:t xml:space="preserve">. Organização dos Estados Americanos – OEA. Disponível em: </w:t>
      </w:r>
      <w:hyperlink r:id="rId16" w:tgtFrame="_new" w:history="1">
        <w:r>
          <w:rPr>
            <w:rStyle w:val="Hyperlink"/>
            <w:rFonts w:eastAsiaTheme="majorEastAsia"/>
          </w:rPr>
          <w:t>https://www.oas.org/pt/cidh/relatorios/ia.asp</w:t>
        </w:r>
      </w:hyperlink>
      <w:r>
        <w:t>. Acesso em: 2 out. 2025.</w:t>
      </w:r>
    </w:p>
    <w:p w14:paraId="40E51560" w14:textId="77777777" w:rsidR="00DB538A" w:rsidRDefault="00DB538A" w:rsidP="00DB538A">
      <w:pPr>
        <w:pStyle w:val="NormalWeb"/>
        <w:spacing w:before="0" w:beforeAutospacing="0" w:after="0" w:afterAutospacing="0"/>
      </w:pPr>
    </w:p>
    <w:p w14:paraId="2F71EBCD" w14:textId="77777777" w:rsidR="00043C83" w:rsidRDefault="00043C83" w:rsidP="00DB538A">
      <w:pPr>
        <w:pStyle w:val="NormalWeb"/>
        <w:spacing w:before="0" w:beforeAutospacing="0" w:after="0" w:afterAutospacing="0"/>
      </w:pPr>
      <w:r>
        <w:t xml:space="preserve">CLACSO. </w:t>
      </w:r>
      <w:r w:rsidRPr="00043C83">
        <w:rPr>
          <w:rStyle w:val="nfase"/>
          <w:rFonts w:eastAsiaTheme="majorEastAsia"/>
          <w:b/>
          <w:i w:val="0"/>
        </w:rPr>
        <w:t>Observatório sobre Integração Regional</w:t>
      </w:r>
      <w:r>
        <w:t xml:space="preserve">. Buenos Aires: CLACSO, [s.d.]. Disponível em: </w:t>
      </w:r>
      <w:hyperlink r:id="rId17" w:tgtFrame="_new" w:history="1">
        <w:r>
          <w:rPr>
            <w:rStyle w:val="Hyperlink"/>
            <w:rFonts w:eastAsiaTheme="majorEastAsia"/>
          </w:rPr>
          <w:t>https://www.clacso.org</w:t>
        </w:r>
      </w:hyperlink>
      <w:r>
        <w:t>. Acesso em: 2 out. 2025.</w:t>
      </w:r>
    </w:p>
    <w:p w14:paraId="406FEED7" w14:textId="77777777" w:rsidR="00DB538A" w:rsidRDefault="00DB538A" w:rsidP="00DB538A">
      <w:pPr>
        <w:pStyle w:val="NormalWeb"/>
        <w:spacing w:before="0" w:beforeAutospacing="0" w:after="0" w:afterAutospacing="0"/>
      </w:pPr>
    </w:p>
    <w:p w14:paraId="212A8001" w14:textId="77777777" w:rsidR="00043C83" w:rsidRDefault="00043C83" w:rsidP="00DB538A">
      <w:pPr>
        <w:pStyle w:val="NormalWeb"/>
        <w:spacing w:before="0" w:beforeAutospacing="0" w:after="0" w:afterAutospacing="0"/>
      </w:pPr>
      <w:r>
        <w:t xml:space="preserve">GERRING, John. </w:t>
      </w:r>
      <w:r w:rsidRPr="00043C83">
        <w:rPr>
          <w:rStyle w:val="nfase"/>
          <w:rFonts w:eastAsiaTheme="majorEastAsia"/>
          <w:b/>
          <w:i w:val="0"/>
          <w:lang w:val="en-GB"/>
        </w:rPr>
        <w:t xml:space="preserve">Case study research: </w:t>
      </w:r>
      <w:r w:rsidRPr="00043C83">
        <w:rPr>
          <w:rStyle w:val="nfase"/>
          <w:rFonts w:eastAsiaTheme="majorEastAsia"/>
          <w:i w:val="0"/>
          <w:lang w:val="en-GB"/>
        </w:rPr>
        <w:t>principles and practices</w:t>
      </w:r>
      <w:r w:rsidRPr="00043C83">
        <w:rPr>
          <w:lang w:val="en-GB"/>
        </w:rPr>
        <w:t xml:space="preserve">. </w:t>
      </w:r>
      <w:r>
        <w:t xml:space="preserve">Cambridge: Cambridge </w:t>
      </w:r>
      <w:proofErr w:type="spellStart"/>
      <w:r>
        <w:t>University</w:t>
      </w:r>
      <w:proofErr w:type="spellEnd"/>
      <w:r>
        <w:t xml:space="preserve"> Press, 2007. Disponível em: </w:t>
      </w:r>
      <w:hyperlink r:id="rId18" w:tgtFrame="_new" w:history="1">
        <w:r>
          <w:rPr>
            <w:rStyle w:val="Hyperlink"/>
            <w:rFonts w:eastAsiaTheme="majorEastAsia"/>
          </w:rPr>
          <w:t>http://maratavarespsictics.pbworks.com/w/file/fetch/74304716/3-YIN-planejamento_metodologia.pdf</w:t>
        </w:r>
      </w:hyperlink>
      <w:r>
        <w:t>. Acesso em: 2 out. 2025.</w:t>
      </w:r>
    </w:p>
    <w:p w14:paraId="767D6E4B" w14:textId="77777777" w:rsidR="00DB538A" w:rsidRDefault="00DB538A" w:rsidP="00DB538A">
      <w:pPr>
        <w:pStyle w:val="NormalWeb"/>
        <w:spacing w:before="0" w:beforeAutospacing="0" w:after="0" w:afterAutospacing="0"/>
      </w:pPr>
    </w:p>
    <w:p w14:paraId="44FD1B79" w14:textId="77777777" w:rsidR="00043C83" w:rsidRDefault="00043C83" w:rsidP="00DB538A">
      <w:pPr>
        <w:pStyle w:val="NormalWeb"/>
        <w:spacing w:before="0" w:beforeAutospacing="0" w:after="0" w:afterAutospacing="0"/>
      </w:pPr>
      <w:r>
        <w:t xml:space="preserve">MALAMUD, Andrés. </w:t>
      </w:r>
      <w:r w:rsidRPr="00043C83">
        <w:t>Sobre a crescente irrelevância da América Latina</w:t>
      </w:r>
      <w:r>
        <w:t xml:space="preserve">. </w:t>
      </w:r>
      <w:r w:rsidRPr="00043C83">
        <w:rPr>
          <w:rStyle w:val="nfase"/>
          <w:rFonts w:eastAsiaTheme="majorEastAsia"/>
          <w:b/>
          <w:i w:val="0"/>
        </w:rPr>
        <w:t xml:space="preserve">Nueva </w:t>
      </w:r>
      <w:proofErr w:type="spellStart"/>
      <w:r w:rsidRPr="00043C83">
        <w:rPr>
          <w:rStyle w:val="nfase"/>
          <w:rFonts w:eastAsiaTheme="majorEastAsia"/>
          <w:b/>
          <w:i w:val="0"/>
        </w:rPr>
        <w:t>Sociedad</w:t>
      </w:r>
      <w:proofErr w:type="spellEnd"/>
      <w:r>
        <w:t xml:space="preserve">, Buenos Aires, 2017. Disponível em: </w:t>
      </w:r>
      <w:hyperlink r:id="rId19" w:tgtFrame="_new" w:history="1">
        <w:r>
          <w:rPr>
            <w:rStyle w:val="Hyperlink"/>
            <w:rFonts w:eastAsiaTheme="majorEastAsia"/>
          </w:rPr>
          <w:t>https://nuso.org/articulo/sobre-crescente-irrelevancia-da-america-latina</w:t>
        </w:r>
      </w:hyperlink>
      <w:r>
        <w:t>. Acesso em: 2 out. 2025.</w:t>
      </w:r>
    </w:p>
    <w:p w14:paraId="3D13BDE9" w14:textId="77777777" w:rsidR="00043C83" w:rsidRDefault="00043C83" w:rsidP="00DB538A">
      <w:pPr>
        <w:pStyle w:val="NormalWeb"/>
        <w:spacing w:before="0" w:beforeAutospacing="0" w:after="0" w:afterAutospacing="0"/>
      </w:pPr>
      <w:r>
        <w:t xml:space="preserve">OEA. </w:t>
      </w:r>
      <w:r w:rsidRPr="00043C83">
        <w:rPr>
          <w:rStyle w:val="nfase"/>
          <w:rFonts w:eastAsiaTheme="majorEastAsia"/>
          <w:b/>
          <w:i w:val="0"/>
        </w:rPr>
        <w:t>Carta Democrática Interamericana</w:t>
      </w:r>
      <w:r>
        <w:t xml:space="preserve">. Washington, D.C.: Organização dos Estados Americanos, 2001. Disponível em: </w:t>
      </w:r>
      <w:hyperlink r:id="rId20" w:tgtFrame="_new" w:history="1">
        <w:r>
          <w:rPr>
            <w:rStyle w:val="Hyperlink"/>
            <w:rFonts w:eastAsiaTheme="majorEastAsia"/>
          </w:rPr>
          <w:t>https://www.oas.org/pt/democracia/carta_democratica.asp</w:t>
        </w:r>
      </w:hyperlink>
      <w:r>
        <w:t>. Acesso em: 2 out. 2025.</w:t>
      </w:r>
    </w:p>
    <w:p w14:paraId="39695C07" w14:textId="77777777" w:rsidR="00DB538A" w:rsidRDefault="00DB538A" w:rsidP="00DB538A">
      <w:pPr>
        <w:pStyle w:val="NormalWeb"/>
        <w:spacing w:before="0" w:beforeAutospacing="0" w:after="0" w:afterAutospacing="0"/>
      </w:pPr>
    </w:p>
    <w:p w14:paraId="19FC3DDB" w14:textId="77777777" w:rsidR="00043C83" w:rsidRDefault="00043C83" w:rsidP="00DB538A">
      <w:pPr>
        <w:pStyle w:val="NormalWeb"/>
        <w:spacing w:before="0" w:beforeAutospacing="0" w:after="0" w:afterAutospacing="0"/>
        <w:rPr>
          <w:lang w:val="en-GB"/>
        </w:rPr>
      </w:pPr>
      <w:r>
        <w:t xml:space="preserve">ONU. </w:t>
      </w:r>
      <w:r w:rsidRPr="00043C83">
        <w:rPr>
          <w:rStyle w:val="nfase"/>
          <w:rFonts w:eastAsiaTheme="majorEastAsia"/>
          <w:b/>
          <w:i w:val="0"/>
        </w:rPr>
        <w:t>Relatórios sobre América Latina e Caribe</w:t>
      </w:r>
      <w:r>
        <w:t xml:space="preserve">. Organização das Nações Unidas. Disponível em: </w:t>
      </w:r>
      <w:hyperlink r:id="rId21" w:tgtFrame="_new" w:history="1">
        <w:r>
          <w:rPr>
            <w:rStyle w:val="Hyperlink"/>
            <w:rFonts w:eastAsiaTheme="majorEastAsia"/>
          </w:rPr>
          <w:t>https://www.un.org/pt/global-issues/americas</w:t>
        </w:r>
      </w:hyperlink>
      <w:r>
        <w:t xml:space="preserve">. </w:t>
      </w:r>
      <w:proofErr w:type="spellStart"/>
      <w:r w:rsidRPr="00043C83">
        <w:rPr>
          <w:lang w:val="en-GB"/>
        </w:rPr>
        <w:t>Acesso</w:t>
      </w:r>
      <w:proofErr w:type="spellEnd"/>
      <w:r w:rsidRPr="00043C83">
        <w:rPr>
          <w:lang w:val="en-GB"/>
        </w:rPr>
        <w:t xml:space="preserve"> </w:t>
      </w:r>
      <w:proofErr w:type="spellStart"/>
      <w:r w:rsidRPr="00043C83">
        <w:rPr>
          <w:lang w:val="en-GB"/>
        </w:rPr>
        <w:t>em</w:t>
      </w:r>
      <w:proofErr w:type="spellEnd"/>
      <w:r w:rsidRPr="00043C83">
        <w:rPr>
          <w:lang w:val="en-GB"/>
        </w:rPr>
        <w:t>: 2 out. 2025.</w:t>
      </w:r>
    </w:p>
    <w:p w14:paraId="7CDDAEB5" w14:textId="77777777" w:rsidR="00DB538A" w:rsidRPr="00043C83" w:rsidRDefault="00DB538A" w:rsidP="00DB538A">
      <w:pPr>
        <w:pStyle w:val="NormalWeb"/>
        <w:spacing w:before="0" w:beforeAutospacing="0" w:after="0" w:afterAutospacing="0"/>
        <w:rPr>
          <w:lang w:val="en-GB"/>
        </w:rPr>
      </w:pPr>
    </w:p>
    <w:p w14:paraId="5F843FC7" w14:textId="77777777" w:rsidR="00043C83" w:rsidRDefault="00043C83" w:rsidP="00DB538A">
      <w:pPr>
        <w:pStyle w:val="NormalWeb"/>
        <w:spacing w:before="0" w:beforeAutospacing="0" w:after="0" w:afterAutospacing="0"/>
      </w:pPr>
      <w:r w:rsidRPr="00043C83">
        <w:rPr>
          <w:lang w:val="en-GB"/>
        </w:rPr>
        <w:lastRenderedPageBreak/>
        <w:t xml:space="preserve">RIGGIROZZI, </w:t>
      </w:r>
      <w:proofErr w:type="spellStart"/>
      <w:r w:rsidRPr="00043C83">
        <w:rPr>
          <w:lang w:val="en-GB"/>
        </w:rPr>
        <w:t>Pía</w:t>
      </w:r>
      <w:proofErr w:type="spellEnd"/>
      <w:r w:rsidRPr="00043C83">
        <w:rPr>
          <w:lang w:val="en-GB"/>
        </w:rPr>
        <w:t xml:space="preserve">; TUSSIE, Diana. </w:t>
      </w:r>
      <w:r w:rsidRPr="00043C83">
        <w:rPr>
          <w:rStyle w:val="nfase"/>
          <w:rFonts w:eastAsiaTheme="majorEastAsia"/>
          <w:b/>
          <w:i w:val="0"/>
          <w:lang w:val="en-GB"/>
        </w:rPr>
        <w:t>The rise of post-hegemonic regionalism in Latin America</w:t>
      </w:r>
      <w:r w:rsidRPr="00043C83">
        <w:rPr>
          <w:lang w:val="en-GB"/>
        </w:rPr>
        <w:t xml:space="preserve">. </w:t>
      </w:r>
      <w:proofErr w:type="spellStart"/>
      <w:r w:rsidRPr="00043C83">
        <w:rPr>
          <w:lang w:val="en-GB"/>
        </w:rPr>
        <w:t>Genebra</w:t>
      </w:r>
      <w:proofErr w:type="spellEnd"/>
      <w:r w:rsidRPr="00043C83">
        <w:rPr>
          <w:lang w:val="en-GB"/>
        </w:rPr>
        <w:t xml:space="preserve">: United Nations Research Institute for Social Development – UNRISD, 2012. </w:t>
      </w:r>
      <w:proofErr w:type="spellStart"/>
      <w:r w:rsidRPr="00043C83">
        <w:rPr>
          <w:lang w:val="en-GB"/>
        </w:rPr>
        <w:t>Disponível</w:t>
      </w:r>
      <w:proofErr w:type="spellEnd"/>
      <w:r w:rsidRPr="00043C83">
        <w:rPr>
          <w:lang w:val="en-GB"/>
        </w:rPr>
        <w:t xml:space="preserve"> </w:t>
      </w:r>
      <w:proofErr w:type="spellStart"/>
      <w:r w:rsidRPr="00043C83">
        <w:rPr>
          <w:lang w:val="en-GB"/>
        </w:rPr>
        <w:t>em</w:t>
      </w:r>
      <w:proofErr w:type="spellEnd"/>
      <w:r w:rsidRPr="00043C83">
        <w:rPr>
          <w:lang w:val="en-GB"/>
        </w:rPr>
        <w:t xml:space="preserve">: </w:t>
      </w:r>
      <w:hyperlink r:id="rId22" w:tgtFrame="_new" w:history="1">
        <w:r w:rsidRPr="00043C83">
          <w:rPr>
            <w:rStyle w:val="Hyperlink"/>
            <w:rFonts w:eastAsiaTheme="majorEastAsia"/>
            <w:lang w:val="en-GB"/>
          </w:rPr>
          <w:t>https://www.scielo.org.mx/scielo.php?script=sci_arttext&amp;pid=S0185-013X2015000200631</w:t>
        </w:r>
      </w:hyperlink>
      <w:r w:rsidRPr="00043C83">
        <w:rPr>
          <w:lang w:val="en-GB"/>
        </w:rPr>
        <w:t xml:space="preserve">. </w:t>
      </w:r>
      <w:r>
        <w:t>Acesso em: 2 out. 2025.</w:t>
      </w:r>
    </w:p>
    <w:p w14:paraId="6F8F9007" w14:textId="77777777" w:rsidR="00DB538A" w:rsidRDefault="00DB538A" w:rsidP="00DB538A">
      <w:pPr>
        <w:pStyle w:val="NormalWeb"/>
        <w:spacing w:before="0" w:beforeAutospacing="0" w:after="0" w:afterAutospacing="0"/>
      </w:pPr>
    </w:p>
    <w:p w14:paraId="71955B78" w14:textId="77777777" w:rsidR="00043C83" w:rsidRDefault="00043C83" w:rsidP="00DB538A">
      <w:pPr>
        <w:pStyle w:val="NormalWeb"/>
        <w:spacing w:before="0" w:beforeAutospacing="0" w:after="0" w:afterAutospacing="0"/>
      </w:pPr>
      <w:r>
        <w:t xml:space="preserve">SANAHUJA, José Antonio. Regionalismo pós-hegemônico e integração na América Latina. </w:t>
      </w:r>
      <w:r w:rsidRPr="00043C83">
        <w:rPr>
          <w:rStyle w:val="nfase"/>
          <w:rFonts w:eastAsiaTheme="majorEastAsia"/>
          <w:b/>
          <w:i w:val="0"/>
        </w:rPr>
        <w:t xml:space="preserve">Nueva </w:t>
      </w:r>
      <w:proofErr w:type="spellStart"/>
      <w:r w:rsidRPr="00043C83">
        <w:rPr>
          <w:rStyle w:val="nfase"/>
          <w:rFonts w:eastAsiaTheme="majorEastAsia"/>
          <w:b/>
          <w:i w:val="0"/>
        </w:rPr>
        <w:t>Sociedad</w:t>
      </w:r>
      <w:proofErr w:type="spellEnd"/>
      <w:r>
        <w:t xml:space="preserve">, n. 250, Buenos Aires, 2014. Disponível em: </w:t>
      </w:r>
      <w:hyperlink r:id="rId23" w:tgtFrame="_new" w:history="1">
        <w:r>
          <w:rPr>
            <w:rStyle w:val="Hyperlink"/>
            <w:rFonts w:eastAsiaTheme="majorEastAsia"/>
          </w:rPr>
          <w:t>https://www.cries.org/wp-content/uploads/2017/02/007-sanahuja.pdf</w:t>
        </w:r>
      </w:hyperlink>
      <w:r>
        <w:t>. Acesso em: 2 out. 2025.</w:t>
      </w:r>
    </w:p>
    <w:p w14:paraId="09E2FF69" w14:textId="77777777" w:rsidR="00DB538A" w:rsidRDefault="00DB538A" w:rsidP="00DB538A">
      <w:pPr>
        <w:pStyle w:val="NormalWeb"/>
        <w:spacing w:before="0" w:beforeAutospacing="0" w:after="0" w:afterAutospacing="0"/>
      </w:pPr>
    </w:p>
    <w:p w14:paraId="646D1983" w14:textId="77777777" w:rsidR="00043C83" w:rsidRPr="00882576" w:rsidRDefault="00043C83" w:rsidP="00DB538A">
      <w:pPr>
        <w:pStyle w:val="NormalWeb"/>
        <w:spacing w:before="0" w:beforeAutospacing="0" w:after="0" w:afterAutospacing="0"/>
        <w:rPr>
          <w:lang w:val="es-ES"/>
        </w:rPr>
      </w:pPr>
      <w:r w:rsidRPr="00882576">
        <w:rPr>
          <w:lang w:val="es-ES"/>
        </w:rPr>
        <w:t xml:space="preserve">SERBIN, Andrés. </w:t>
      </w:r>
      <w:r w:rsidRPr="00882576">
        <w:rPr>
          <w:rStyle w:val="nfase"/>
          <w:rFonts w:eastAsiaTheme="majorEastAsia"/>
          <w:b/>
          <w:i w:val="0"/>
          <w:lang w:val="es-ES"/>
        </w:rPr>
        <w:t xml:space="preserve">La CELAC y la construcción de un regionalismo </w:t>
      </w:r>
      <w:proofErr w:type="spellStart"/>
      <w:r w:rsidRPr="00882576">
        <w:rPr>
          <w:rStyle w:val="nfase"/>
          <w:rFonts w:eastAsiaTheme="majorEastAsia"/>
          <w:b/>
          <w:i w:val="0"/>
          <w:lang w:val="es-ES"/>
        </w:rPr>
        <w:t>poshegemónico</w:t>
      </w:r>
      <w:proofErr w:type="spellEnd"/>
      <w:r w:rsidRPr="00882576">
        <w:rPr>
          <w:lang w:val="es-ES"/>
        </w:rPr>
        <w:t xml:space="preserve">. </w:t>
      </w:r>
      <w:r>
        <w:t xml:space="preserve">Buenos Aires: CRIES, 2012. Disponível em: </w:t>
      </w:r>
      <w:hyperlink r:id="rId24" w:tgtFrame="_new" w:history="1">
        <w:r>
          <w:rPr>
            <w:rStyle w:val="Hyperlink"/>
            <w:rFonts w:eastAsiaTheme="majorEastAsia"/>
          </w:rPr>
          <w:t>https://www.researchgate.net/publication/351369298_La_CELAC_mas_alla_del_regionalismo_poshegemonico</w:t>
        </w:r>
      </w:hyperlink>
      <w:r>
        <w:t xml:space="preserve">. </w:t>
      </w:r>
      <w:proofErr w:type="spellStart"/>
      <w:r w:rsidRPr="00882576">
        <w:rPr>
          <w:lang w:val="es-ES"/>
        </w:rPr>
        <w:t>Acesso</w:t>
      </w:r>
      <w:proofErr w:type="spellEnd"/>
      <w:r w:rsidRPr="00882576">
        <w:rPr>
          <w:lang w:val="es-ES"/>
        </w:rPr>
        <w:t xml:space="preserve"> em: 2 </w:t>
      </w:r>
      <w:proofErr w:type="spellStart"/>
      <w:r w:rsidRPr="00882576">
        <w:rPr>
          <w:lang w:val="es-ES"/>
        </w:rPr>
        <w:t>out</w:t>
      </w:r>
      <w:proofErr w:type="spellEnd"/>
      <w:r w:rsidRPr="00882576">
        <w:rPr>
          <w:lang w:val="es-ES"/>
        </w:rPr>
        <w:t>. 2025.</w:t>
      </w:r>
    </w:p>
    <w:p w14:paraId="4878A389" w14:textId="77777777" w:rsidR="00DB538A" w:rsidRPr="00882576" w:rsidRDefault="00DB538A" w:rsidP="00DB538A">
      <w:pPr>
        <w:pStyle w:val="NormalWeb"/>
        <w:spacing w:before="0" w:beforeAutospacing="0" w:after="0" w:afterAutospacing="0"/>
        <w:rPr>
          <w:lang w:val="es-ES"/>
        </w:rPr>
      </w:pPr>
    </w:p>
    <w:p w14:paraId="57269CA7" w14:textId="77777777" w:rsidR="00043C83" w:rsidRDefault="00043C83" w:rsidP="00DB538A">
      <w:pPr>
        <w:pStyle w:val="NormalWeb"/>
        <w:spacing w:before="0" w:beforeAutospacing="0" w:after="0" w:afterAutospacing="0"/>
        <w:rPr>
          <w:lang w:val="en-GB"/>
        </w:rPr>
      </w:pPr>
      <w:r w:rsidRPr="00882576">
        <w:rPr>
          <w:lang w:val="es-ES"/>
        </w:rPr>
        <w:t xml:space="preserve">TOKATLIAN, Juan Gabriel. </w:t>
      </w:r>
      <w:r w:rsidRPr="00882576">
        <w:rPr>
          <w:rStyle w:val="nfase"/>
          <w:rFonts w:eastAsiaTheme="majorEastAsia"/>
          <w:b/>
          <w:i w:val="0"/>
          <w:lang w:val="es-ES"/>
        </w:rPr>
        <w:t>Autonomía y política exterior: teoría y práctica en América Latina</w:t>
      </w:r>
      <w:r w:rsidRPr="00882576">
        <w:rPr>
          <w:lang w:val="es-ES"/>
        </w:rPr>
        <w:t xml:space="preserve">. Buenos Aires: Universidad Torcuato Di Tella – UTDT, 2011. </w:t>
      </w:r>
      <w:proofErr w:type="spellStart"/>
      <w:r w:rsidRPr="00882576">
        <w:rPr>
          <w:lang w:val="es-ES"/>
        </w:rPr>
        <w:t>Disponível</w:t>
      </w:r>
      <w:proofErr w:type="spellEnd"/>
      <w:r w:rsidRPr="00882576">
        <w:rPr>
          <w:lang w:val="es-ES"/>
        </w:rPr>
        <w:t xml:space="preserve"> em: </w:t>
      </w:r>
      <w:hyperlink r:id="rId25" w:tgtFrame="_new" w:history="1">
        <w:r w:rsidRPr="00882576">
          <w:rPr>
            <w:rStyle w:val="Hyperlink"/>
            <w:rFonts w:eastAsiaTheme="majorEastAsia"/>
            <w:lang w:val="es-ES"/>
          </w:rPr>
          <w:t>https://repositorio.utdt.edu/server/api/core/bitstreams/33311df7-2b39-455d-8e29-6e23db99873f/content</w:t>
        </w:r>
      </w:hyperlink>
      <w:r w:rsidRPr="00882576">
        <w:rPr>
          <w:lang w:val="es-ES"/>
        </w:rPr>
        <w:t xml:space="preserve">. </w:t>
      </w:r>
      <w:proofErr w:type="spellStart"/>
      <w:r w:rsidRPr="00043C83">
        <w:rPr>
          <w:lang w:val="en-GB"/>
        </w:rPr>
        <w:t>Acesso</w:t>
      </w:r>
      <w:proofErr w:type="spellEnd"/>
      <w:r w:rsidRPr="00043C83">
        <w:rPr>
          <w:lang w:val="en-GB"/>
        </w:rPr>
        <w:t xml:space="preserve"> </w:t>
      </w:r>
      <w:proofErr w:type="spellStart"/>
      <w:r w:rsidRPr="00043C83">
        <w:rPr>
          <w:lang w:val="en-GB"/>
        </w:rPr>
        <w:t>em</w:t>
      </w:r>
      <w:proofErr w:type="spellEnd"/>
      <w:r w:rsidRPr="00043C83">
        <w:rPr>
          <w:lang w:val="en-GB"/>
        </w:rPr>
        <w:t>: 2 out. 2025.</w:t>
      </w:r>
    </w:p>
    <w:p w14:paraId="7F54A35B" w14:textId="77777777" w:rsidR="00DB538A" w:rsidRPr="00043C83" w:rsidRDefault="00DB538A" w:rsidP="00DB538A">
      <w:pPr>
        <w:pStyle w:val="NormalWeb"/>
        <w:spacing w:before="0" w:beforeAutospacing="0" w:after="0" w:afterAutospacing="0"/>
        <w:rPr>
          <w:lang w:val="en-GB"/>
        </w:rPr>
      </w:pPr>
    </w:p>
    <w:p w14:paraId="6D0BE174" w14:textId="77777777" w:rsidR="00043C83" w:rsidRDefault="00043C83" w:rsidP="00DB538A">
      <w:pPr>
        <w:pStyle w:val="NormalWeb"/>
        <w:spacing w:before="0" w:beforeAutospacing="0" w:after="0" w:afterAutospacing="0"/>
      </w:pPr>
      <w:r w:rsidRPr="00043C83">
        <w:rPr>
          <w:lang w:val="en-GB"/>
        </w:rPr>
        <w:t xml:space="preserve">YIN, Robert K. </w:t>
      </w:r>
      <w:r w:rsidRPr="00043C83">
        <w:rPr>
          <w:rStyle w:val="nfase"/>
          <w:rFonts w:eastAsiaTheme="majorEastAsia"/>
          <w:b/>
          <w:i w:val="0"/>
          <w:lang w:val="en-GB"/>
        </w:rPr>
        <w:t>Case study research: design and methods</w:t>
      </w:r>
      <w:r w:rsidRPr="00043C83">
        <w:rPr>
          <w:lang w:val="en-GB"/>
        </w:rPr>
        <w:t xml:space="preserve">. </w:t>
      </w:r>
      <w:r>
        <w:t xml:space="preserve">6. ed. Thousand Oaks: </w:t>
      </w:r>
      <w:proofErr w:type="spellStart"/>
      <w:r>
        <w:t>Sage</w:t>
      </w:r>
      <w:proofErr w:type="spellEnd"/>
      <w:r>
        <w:t xml:space="preserve">, 2018. Disponível em: </w:t>
      </w:r>
      <w:hyperlink r:id="rId26" w:tgtFrame="_new" w:history="1">
        <w:r>
          <w:rPr>
            <w:rStyle w:val="Hyperlink"/>
            <w:rFonts w:eastAsiaTheme="majorEastAsia"/>
          </w:rPr>
          <w:t>https://us.sagepub.com/en-us/nam/case-study-research-and-applications/book250150</w:t>
        </w:r>
      </w:hyperlink>
      <w:r>
        <w:t>. Acesso em: 2 out. 2025.</w:t>
      </w:r>
    </w:p>
    <w:p w14:paraId="7BD501AB" w14:textId="77777777" w:rsidR="005D57E3" w:rsidRPr="005D57E3" w:rsidRDefault="005D57E3" w:rsidP="00DB538A"/>
    <w:sectPr w:rsidR="005D57E3" w:rsidRPr="005D57E3" w:rsidSect="00703DD7">
      <w:headerReference w:type="default" r:id="rId2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8013A" w14:textId="77777777" w:rsidR="001A4F9E" w:rsidRDefault="001A4F9E" w:rsidP="00CE2D5F">
      <w:r>
        <w:separator/>
      </w:r>
    </w:p>
  </w:endnote>
  <w:endnote w:type="continuationSeparator" w:id="0">
    <w:p w14:paraId="327DEED2" w14:textId="77777777" w:rsidR="001A4F9E" w:rsidRDefault="001A4F9E" w:rsidP="00CE2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F52D" w14:textId="77777777" w:rsidR="007D5FB7" w:rsidRDefault="007D5F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BC6D6" w14:textId="77777777" w:rsidR="007D5FB7" w:rsidRDefault="007D5FB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D99CC" w14:textId="77777777" w:rsidR="007D5FB7" w:rsidRDefault="007D5F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7357B" w14:textId="77777777" w:rsidR="001A4F9E" w:rsidRDefault="001A4F9E" w:rsidP="00CE2D5F">
      <w:r>
        <w:separator/>
      </w:r>
    </w:p>
  </w:footnote>
  <w:footnote w:type="continuationSeparator" w:id="0">
    <w:p w14:paraId="05119058" w14:textId="77777777" w:rsidR="001A4F9E" w:rsidRDefault="001A4F9E" w:rsidP="00CE2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211A" w14:textId="77777777" w:rsidR="007D5FB7" w:rsidRDefault="007D5F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58381"/>
      <w:docPartObj>
        <w:docPartGallery w:val="Page Numbers (Top of Page)"/>
        <w:docPartUnique/>
      </w:docPartObj>
    </w:sdtPr>
    <w:sdtContent>
      <w:p w14:paraId="0008ABDF" w14:textId="77777777" w:rsidR="007D5FB7" w:rsidRDefault="00000000">
        <w:pPr>
          <w:pStyle w:val="Cabealho"/>
          <w:jc w:val="right"/>
        </w:pPr>
      </w:p>
    </w:sdtContent>
  </w:sdt>
  <w:p w14:paraId="67B62E0D" w14:textId="77777777" w:rsidR="007D5FB7" w:rsidRDefault="007D5FB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C16CB" w14:textId="77777777" w:rsidR="007D5FB7" w:rsidRDefault="007D5FB7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58379"/>
      <w:docPartObj>
        <w:docPartGallery w:val="Page Numbers (Top of Page)"/>
        <w:docPartUnique/>
      </w:docPartObj>
    </w:sdtPr>
    <w:sdtContent>
      <w:p w14:paraId="06B4C9EC" w14:textId="77777777" w:rsidR="007D5FB7" w:rsidRDefault="007D5FB7">
        <w:pPr>
          <w:pStyle w:val="Cabealho"/>
          <w:jc w:val="right"/>
        </w:pPr>
        <w:r w:rsidRPr="007D5FB7">
          <w:rPr>
            <w:sz w:val="20"/>
            <w:szCs w:val="20"/>
          </w:rPr>
          <w:fldChar w:fldCharType="begin"/>
        </w:r>
        <w:r w:rsidRPr="007D5FB7">
          <w:rPr>
            <w:sz w:val="20"/>
            <w:szCs w:val="20"/>
          </w:rPr>
          <w:instrText xml:space="preserve"> PAGE   \* MERGEFORMAT </w:instrText>
        </w:r>
        <w:r w:rsidRPr="007D5FB7">
          <w:rPr>
            <w:sz w:val="20"/>
            <w:szCs w:val="20"/>
          </w:rPr>
          <w:fldChar w:fldCharType="separate"/>
        </w:r>
        <w:r>
          <w:rPr>
            <w:noProof/>
            <w:sz w:val="20"/>
            <w:szCs w:val="20"/>
          </w:rPr>
          <w:t>14</w:t>
        </w:r>
        <w:r w:rsidRPr="007D5FB7">
          <w:rPr>
            <w:sz w:val="20"/>
            <w:szCs w:val="20"/>
          </w:rPr>
          <w:fldChar w:fldCharType="end"/>
        </w:r>
      </w:p>
    </w:sdtContent>
  </w:sdt>
  <w:p w14:paraId="60B30679" w14:textId="77777777" w:rsidR="007D5FB7" w:rsidRDefault="007D5F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D68"/>
    <w:multiLevelType w:val="multilevel"/>
    <w:tmpl w:val="AC3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94939"/>
    <w:multiLevelType w:val="multilevel"/>
    <w:tmpl w:val="89D0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37A70"/>
    <w:multiLevelType w:val="multilevel"/>
    <w:tmpl w:val="BE1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5173"/>
    <w:multiLevelType w:val="multilevel"/>
    <w:tmpl w:val="E75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5756"/>
    <w:multiLevelType w:val="multilevel"/>
    <w:tmpl w:val="AC945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37B1B"/>
    <w:multiLevelType w:val="multilevel"/>
    <w:tmpl w:val="17F0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4217F"/>
    <w:multiLevelType w:val="multilevel"/>
    <w:tmpl w:val="5E8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70E20"/>
    <w:multiLevelType w:val="multilevel"/>
    <w:tmpl w:val="332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F4280"/>
    <w:multiLevelType w:val="multilevel"/>
    <w:tmpl w:val="CE04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674EB"/>
    <w:multiLevelType w:val="multilevel"/>
    <w:tmpl w:val="541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86420"/>
    <w:multiLevelType w:val="multilevel"/>
    <w:tmpl w:val="BA06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64AC8"/>
    <w:multiLevelType w:val="multilevel"/>
    <w:tmpl w:val="43B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E18B7"/>
    <w:multiLevelType w:val="multilevel"/>
    <w:tmpl w:val="94D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8521B"/>
    <w:multiLevelType w:val="multilevel"/>
    <w:tmpl w:val="3510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9F3583"/>
    <w:multiLevelType w:val="multilevel"/>
    <w:tmpl w:val="4E0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50094"/>
    <w:multiLevelType w:val="multilevel"/>
    <w:tmpl w:val="D70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705F1"/>
    <w:multiLevelType w:val="multilevel"/>
    <w:tmpl w:val="32C8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A3E67"/>
    <w:multiLevelType w:val="multilevel"/>
    <w:tmpl w:val="8FB8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253752"/>
    <w:multiLevelType w:val="multilevel"/>
    <w:tmpl w:val="16C0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7667A"/>
    <w:multiLevelType w:val="multilevel"/>
    <w:tmpl w:val="39C2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A65E9A"/>
    <w:multiLevelType w:val="multilevel"/>
    <w:tmpl w:val="FE3A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7E4D31"/>
    <w:multiLevelType w:val="multilevel"/>
    <w:tmpl w:val="247E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AC2296"/>
    <w:multiLevelType w:val="multilevel"/>
    <w:tmpl w:val="30C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65274"/>
    <w:multiLevelType w:val="hybridMultilevel"/>
    <w:tmpl w:val="E7625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80FD4"/>
    <w:multiLevelType w:val="multilevel"/>
    <w:tmpl w:val="BB3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4A323B"/>
    <w:multiLevelType w:val="multilevel"/>
    <w:tmpl w:val="955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E5238"/>
    <w:multiLevelType w:val="multilevel"/>
    <w:tmpl w:val="EACC3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F4544B"/>
    <w:multiLevelType w:val="multilevel"/>
    <w:tmpl w:val="0C92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D7001"/>
    <w:multiLevelType w:val="multilevel"/>
    <w:tmpl w:val="2CEC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561955"/>
    <w:multiLevelType w:val="multilevel"/>
    <w:tmpl w:val="2412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23415"/>
    <w:multiLevelType w:val="multilevel"/>
    <w:tmpl w:val="68F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31892"/>
    <w:multiLevelType w:val="multilevel"/>
    <w:tmpl w:val="A49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70C62"/>
    <w:multiLevelType w:val="multilevel"/>
    <w:tmpl w:val="93F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AF2F94"/>
    <w:multiLevelType w:val="multilevel"/>
    <w:tmpl w:val="DC6A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489586">
    <w:abstractNumId w:val="5"/>
  </w:num>
  <w:num w:numId="2" w16cid:durableId="1858500608">
    <w:abstractNumId w:val="10"/>
  </w:num>
  <w:num w:numId="3" w16cid:durableId="1026636526">
    <w:abstractNumId w:val="4"/>
  </w:num>
  <w:num w:numId="4" w16cid:durableId="2082290046">
    <w:abstractNumId w:val="11"/>
  </w:num>
  <w:num w:numId="5" w16cid:durableId="1581791687">
    <w:abstractNumId w:val="32"/>
  </w:num>
  <w:num w:numId="6" w16cid:durableId="1328512707">
    <w:abstractNumId w:val="13"/>
  </w:num>
  <w:num w:numId="7" w16cid:durableId="1639604536">
    <w:abstractNumId w:val="6"/>
  </w:num>
  <w:num w:numId="8" w16cid:durableId="750155916">
    <w:abstractNumId w:val="19"/>
  </w:num>
  <w:num w:numId="9" w16cid:durableId="1176187633">
    <w:abstractNumId w:val="16"/>
  </w:num>
  <w:num w:numId="10" w16cid:durableId="444815405">
    <w:abstractNumId w:val="25"/>
  </w:num>
  <w:num w:numId="11" w16cid:durableId="21787306">
    <w:abstractNumId w:val="15"/>
  </w:num>
  <w:num w:numId="12" w16cid:durableId="316878664">
    <w:abstractNumId w:val="33"/>
  </w:num>
  <w:num w:numId="13" w16cid:durableId="430904120">
    <w:abstractNumId w:val="2"/>
  </w:num>
  <w:num w:numId="14" w16cid:durableId="113133296">
    <w:abstractNumId w:val="3"/>
  </w:num>
  <w:num w:numId="15" w16cid:durableId="1487286460">
    <w:abstractNumId w:val="21"/>
  </w:num>
  <w:num w:numId="16" w16cid:durableId="970282370">
    <w:abstractNumId w:val="22"/>
  </w:num>
  <w:num w:numId="17" w16cid:durableId="1988585975">
    <w:abstractNumId w:val="27"/>
  </w:num>
  <w:num w:numId="18" w16cid:durableId="1081366731">
    <w:abstractNumId w:val="1"/>
  </w:num>
  <w:num w:numId="19" w16cid:durableId="701394037">
    <w:abstractNumId w:val="30"/>
  </w:num>
  <w:num w:numId="20" w16cid:durableId="603078812">
    <w:abstractNumId w:val="24"/>
  </w:num>
  <w:num w:numId="21" w16cid:durableId="1896428501">
    <w:abstractNumId w:val="26"/>
  </w:num>
  <w:num w:numId="22" w16cid:durableId="1359814735">
    <w:abstractNumId w:val="20"/>
  </w:num>
  <w:num w:numId="23" w16cid:durableId="1803188436">
    <w:abstractNumId w:val="7"/>
  </w:num>
  <w:num w:numId="24" w16cid:durableId="1619141506">
    <w:abstractNumId w:val="12"/>
  </w:num>
  <w:num w:numId="25" w16cid:durableId="235670512">
    <w:abstractNumId w:val="29"/>
  </w:num>
  <w:num w:numId="26" w16cid:durableId="897013024">
    <w:abstractNumId w:val="28"/>
  </w:num>
  <w:num w:numId="27" w16cid:durableId="1430849823">
    <w:abstractNumId w:val="17"/>
  </w:num>
  <w:num w:numId="28" w16cid:durableId="1984431255">
    <w:abstractNumId w:val="0"/>
  </w:num>
  <w:num w:numId="29" w16cid:durableId="344023063">
    <w:abstractNumId w:val="18"/>
  </w:num>
  <w:num w:numId="30" w16cid:durableId="1663584901">
    <w:abstractNumId w:val="8"/>
  </w:num>
  <w:num w:numId="31" w16cid:durableId="80764720">
    <w:abstractNumId w:val="9"/>
  </w:num>
  <w:num w:numId="32" w16cid:durableId="1352493353">
    <w:abstractNumId w:val="14"/>
  </w:num>
  <w:num w:numId="33" w16cid:durableId="633486088">
    <w:abstractNumId w:val="31"/>
  </w:num>
  <w:num w:numId="34" w16cid:durableId="8364569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60"/>
    <w:rsid w:val="00043C83"/>
    <w:rsid w:val="00075459"/>
    <w:rsid w:val="000B536D"/>
    <w:rsid w:val="00137E95"/>
    <w:rsid w:val="001661EB"/>
    <w:rsid w:val="00183016"/>
    <w:rsid w:val="001A4F9E"/>
    <w:rsid w:val="001E7F78"/>
    <w:rsid w:val="00214FB3"/>
    <w:rsid w:val="00225197"/>
    <w:rsid w:val="00277640"/>
    <w:rsid w:val="00285FC0"/>
    <w:rsid w:val="00290AC9"/>
    <w:rsid w:val="002B439A"/>
    <w:rsid w:val="002C1A49"/>
    <w:rsid w:val="002C643E"/>
    <w:rsid w:val="00400BA4"/>
    <w:rsid w:val="004120EC"/>
    <w:rsid w:val="00477BC9"/>
    <w:rsid w:val="00540B6C"/>
    <w:rsid w:val="005D57E3"/>
    <w:rsid w:val="005E146A"/>
    <w:rsid w:val="005F1B66"/>
    <w:rsid w:val="005F7D0D"/>
    <w:rsid w:val="00696A44"/>
    <w:rsid w:val="006A53B4"/>
    <w:rsid w:val="006C54CE"/>
    <w:rsid w:val="006E6C3A"/>
    <w:rsid w:val="00703DD7"/>
    <w:rsid w:val="00753A65"/>
    <w:rsid w:val="0076780A"/>
    <w:rsid w:val="007D5FB7"/>
    <w:rsid w:val="007E4C91"/>
    <w:rsid w:val="0081656F"/>
    <w:rsid w:val="00824100"/>
    <w:rsid w:val="00882576"/>
    <w:rsid w:val="008C6AEA"/>
    <w:rsid w:val="00912337"/>
    <w:rsid w:val="00971D38"/>
    <w:rsid w:val="009C48EC"/>
    <w:rsid w:val="00A31B5E"/>
    <w:rsid w:val="00AA1529"/>
    <w:rsid w:val="00AA6254"/>
    <w:rsid w:val="00AF4F60"/>
    <w:rsid w:val="00B961AA"/>
    <w:rsid w:val="00BE18E0"/>
    <w:rsid w:val="00C205D5"/>
    <w:rsid w:val="00C5577F"/>
    <w:rsid w:val="00C72C63"/>
    <w:rsid w:val="00C90787"/>
    <w:rsid w:val="00CE2D5F"/>
    <w:rsid w:val="00DB538A"/>
    <w:rsid w:val="00EF4611"/>
    <w:rsid w:val="00F62E90"/>
    <w:rsid w:val="00FD0A30"/>
    <w:rsid w:val="00FD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87F4C"/>
  <w15:docId w15:val="{15D0A877-96B8-4803-ACDE-021D301A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56F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F4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F4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F4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F4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4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4F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4F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4F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4F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4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F4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F4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F4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4F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4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4F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4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4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4F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4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4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4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4F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4F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4F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4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4F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4F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4F6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AF4F60"/>
  </w:style>
  <w:style w:type="character" w:styleId="Forte">
    <w:name w:val="Strong"/>
    <w:basedOn w:val="Fontepargpadro"/>
    <w:uiPriority w:val="22"/>
    <w:qFormat/>
    <w:rsid w:val="00AF4F60"/>
    <w:rPr>
      <w:b/>
      <w:bCs/>
    </w:rPr>
  </w:style>
  <w:style w:type="character" w:styleId="nfase">
    <w:name w:val="Emphasis"/>
    <w:basedOn w:val="Fontepargpadro"/>
    <w:uiPriority w:val="20"/>
    <w:qFormat/>
    <w:rsid w:val="00AF4F60"/>
    <w:rPr>
      <w:i/>
      <w:iCs/>
    </w:rPr>
  </w:style>
  <w:style w:type="character" w:styleId="Hyperlink">
    <w:name w:val="Hyperlink"/>
    <w:basedOn w:val="Fontepargpadro"/>
    <w:uiPriority w:val="99"/>
    <w:unhideWhenUsed/>
    <w:rsid w:val="00AF4F60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F1B6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F4611"/>
    <w:rPr>
      <w:color w:val="96607D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E2D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E2D5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E2D5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E2D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E2D5F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E2D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E2D5F"/>
  </w:style>
  <w:style w:type="paragraph" w:styleId="Rodap">
    <w:name w:val="footer"/>
    <w:basedOn w:val="Normal"/>
    <w:link w:val="RodapChar"/>
    <w:uiPriority w:val="99"/>
    <w:unhideWhenUsed/>
    <w:rsid w:val="00CE2D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E2D5F"/>
  </w:style>
  <w:style w:type="character" w:customStyle="1" w:styleId="citation-89">
    <w:name w:val="citation-89"/>
    <w:basedOn w:val="Fontepargpadro"/>
    <w:rsid w:val="00B961AA"/>
  </w:style>
  <w:style w:type="character" w:customStyle="1" w:styleId="citation-143">
    <w:name w:val="citation-143"/>
    <w:basedOn w:val="Fontepargpadro"/>
    <w:rsid w:val="00AA6254"/>
  </w:style>
  <w:style w:type="character" w:customStyle="1" w:styleId="citation-142">
    <w:name w:val="citation-142"/>
    <w:basedOn w:val="Fontepargpadro"/>
    <w:rsid w:val="00AA6254"/>
  </w:style>
  <w:style w:type="character" w:customStyle="1" w:styleId="citation-141">
    <w:name w:val="citation-141"/>
    <w:basedOn w:val="Fontepargpadro"/>
    <w:rsid w:val="00AA6254"/>
  </w:style>
  <w:style w:type="character" w:customStyle="1" w:styleId="citation-140">
    <w:name w:val="citation-140"/>
    <w:basedOn w:val="Fontepargpadro"/>
    <w:rsid w:val="00AA6254"/>
  </w:style>
  <w:style w:type="character" w:customStyle="1" w:styleId="citation-139">
    <w:name w:val="citation-139"/>
    <w:basedOn w:val="Fontepargpadro"/>
    <w:rsid w:val="00AA6254"/>
  </w:style>
  <w:style w:type="character" w:customStyle="1" w:styleId="citation-138">
    <w:name w:val="citation-138"/>
    <w:basedOn w:val="Fontepargpadro"/>
    <w:rsid w:val="00AA6254"/>
  </w:style>
  <w:style w:type="character" w:customStyle="1" w:styleId="citation-137">
    <w:name w:val="citation-137"/>
    <w:basedOn w:val="Fontepargpadro"/>
    <w:rsid w:val="00AA6254"/>
  </w:style>
  <w:style w:type="character" w:customStyle="1" w:styleId="citation-136">
    <w:name w:val="citation-136"/>
    <w:basedOn w:val="Fontepargpadro"/>
    <w:rsid w:val="00AA6254"/>
  </w:style>
  <w:style w:type="character" w:customStyle="1" w:styleId="citation-135">
    <w:name w:val="citation-135"/>
    <w:basedOn w:val="Fontepargpadro"/>
    <w:rsid w:val="00AA6254"/>
  </w:style>
  <w:style w:type="character" w:customStyle="1" w:styleId="citation-134">
    <w:name w:val="citation-134"/>
    <w:basedOn w:val="Fontepargpadro"/>
    <w:rsid w:val="00AA6254"/>
  </w:style>
  <w:style w:type="character" w:customStyle="1" w:styleId="citation-133">
    <w:name w:val="citation-133"/>
    <w:basedOn w:val="Fontepargpadro"/>
    <w:rsid w:val="00AA6254"/>
  </w:style>
  <w:style w:type="character" w:customStyle="1" w:styleId="citation-179">
    <w:name w:val="citation-179"/>
    <w:basedOn w:val="Fontepargpadro"/>
    <w:rsid w:val="0081656F"/>
  </w:style>
  <w:style w:type="character" w:customStyle="1" w:styleId="citation-178">
    <w:name w:val="citation-178"/>
    <w:basedOn w:val="Fontepargpadro"/>
    <w:rsid w:val="0081656F"/>
  </w:style>
  <w:style w:type="character" w:customStyle="1" w:styleId="citation-177">
    <w:name w:val="citation-177"/>
    <w:basedOn w:val="Fontepargpadro"/>
    <w:rsid w:val="0081656F"/>
  </w:style>
  <w:style w:type="character" w:customStyle="1" w:styleId="citation-176">
    <w:name w:val="citation-176"/>
    <w:basedOn w:val="Fontepargpadro"/>
    <w:rsid w:val="0081656F"/>
  </w:style>
  <w:style w:type="character" w:customStyle="1" w:styleId="citation-175">
    <w:name w:val="citation-175"/>
    <w:basedOn w:val="Fontepargpadro"/>
    <w:rsid w:val="0081656F"/>
  </w:style>
  <w:style w:type="character" w:customStyle="1" w:styleId="citation-174">
    <w:name w:val="citation-174"/>
    <w:basedOn w:val="Fontepargpadro"/>
    <w:rsid w:val="0081656F"/>
  </w:style>
  <w:style w:type="character" w:customStyle="1" w:styleId="citation-173">
    <w:name w:val="citation-173"/>
    <w:basedOn w:val="Fontepargpadro"/>
    <w:rsid w:val="0081656F"/>
  </w:style>
  <w:style w:type="character" w:customStyle="1" w:styleId="citation-172">
    <w:name w:val="citation-172"/>
    <w:basedOn w:val="Fontepargpadro"/>
    <w:rsid w:val="0081656F"/>
  </w:style>
  <w:style w:type="character" w:customStyle="1" w:styleId="citation-171">
    <w:name w:val="citation-171"/>
    <w:basedOn w:val="Fontepargpadro"/>
    <w:rsid w:val="0081656F"/>
  </w:style>
  <w:style w:type="character" w:customStyle="1" w:styleId="citation-170">
    <w:name w:val="citation-170"/>
    <w:basedOn w:val="Fontepargpadro"/>
    <w:rsid w:val="0081656F"/>
  </w:style>
  <w:style w:type="character" w:customStyle="1" w:styleId="citation-169">
    <w:name w:val="citation-169"/>
    <w:basedOn w:val="Fontepargpadro"/>
    <w:rsid w:val="0081656F"/>
  </w:style>
  <w:style w:type="character" w:customStyle="1" w:styleId="citation-168">
    <w:name w:val="citation-168"/>
    <w:basedOn w:val="Fontepargpadro"/>
    <w:rsid w:val="0081656F"/>
  </w:style>
  <w:style w:type="paragraph" w:styleId="Textodebalo">
    <w:name w:val="Balloon Text"/>
    <w:basedOn w:val="Normal"/>
    <w:link w:val="TextodebaloChar"/>
    <w:uiPriority w:val="99"/>
    <w:semiHidden/>
    <w:unhideWhenUsed/>
    <w:rsid w:val="00703D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3DD7"/>
    <w:rPr>
      <w:rFonts w:ascii="Tahoma" w:eastAsia="Times New Roman" w:hAnsi="Tahoma" w:cs="Tahoma"/>
      <w:kern w:val="0"/>
      <w:sz w:val="16"/>
      <w:szCs w:val="16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7D5FB7"/>
    <w:pPr>
      <w:spacing w:before="480" w:after="0" w:line="276" w:lineRule="auto"/>
      <w:outlineLvl w:val="9"/>
    </w:pPr>
    <w:rPr>
      <w:b/>
      <w:bCs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7D5FB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D5FB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maratavarespsictics.pbworks.com/w/file/fetch/74304716/3-YIN-planejamento_metodologia.pdf" TargetMode="External"/><Relationship Id="rId26" Type="http://schemas.openxmlformats.org/officeDocument/2006/relationships/hyperlink" Target="https://us.sagepub.com/en-us/nam/case-study-research-and-applications/book250150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un.org/pt/global-issues/americas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clacso.org" TargetMode="External"/><Relationship Id="rId25" Type="http://schemas.openxmlformats.org/officeDocument/2006/relationships/hyperlink" Target="https://repositorio.utdt.edu/server/api/core/bitstreams/33311df7-2b39-455d-8e29-6e23db99873f/conten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as.org/pt/cidh/relatorios/ia.asp" TargetMode="External"/><Relationship Id="rId20" Type="http://schemas.openxmlformats.org/officeDocument/2006/relationships/hyperlink" Target="https://www.oas.org/pt/democracia/carta_democratica.asp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researchgate.net/publication/351369298_La_CELAC_mas_alla_del_regionalismo_poshegemonic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ibrosoa.unam.mx/handle/123456789/3576" TargetMode="External"/><Relationship Id="rId23" Type="http://schemas.openxmlformats.org/officeDocument/2006/relationships/hyperlink" Target="https://www.cries.org/wp-content/uploads/2017/02/007-sanahuja.pdf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nuso.org/articulo/sobre-crescente-irrelevancia-da-america-latina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oas.org/" TargetMode="External"/><Relationship Id="rId22" Type="http://schemas.openxmlformats.org/officeDocument/2006/relationships/hyperlink" Target="https://www.scielo.org.mx/scielo.php?script=sci_arttext&amp;pid=S0185-013X2015000200631" TargetMode="External"/><Relationship Id="rId27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DD6B85-9C09-4F0D-9B5D-9AA78C9FC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4205</Words>
  <Characters>22709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henrichs</dc:creator>
  <cp:lastModifiedBy>Pedro henrichs</cp:lastModifiedBy>
  <cp:revision>2</cp:revision>
  <cp:lastPrinted>2025-10-03T20:27:00Z</cp:lastPrinted>
  <dcterms:created xsi:type="dcterms:W3CDTF">2025-10-03T20:28:00Z</dcterms:created>
  <dcterms:modified xsi:type="dcterms:W3CDTF">2025-10-03T20:28:00Z</dcterms:modified>
</cp:coreProperties>
</file>