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7939" w14:textId="77777777" w:rsidR="00477BC9" w:rsidRPr="00730673" w:rsidRDefault="00696A44" w:rsidP="00477BC9">
      <w:pPr>
        <w:jc w:val="center"/>
        <w:outlineLvl w:val="0"/>
        <w:rPr>
          <w:bCs/>
          <w:color w:val="000000"/>
          <w:kern w:val="36"/>
        </w:rPr>
      </w:pPr>
      <w:bookmarkStart w:id="0" w:name="_Toc210315749"/>
      <w:bookmarkStart w:id="1" w:name="_Toc210326507"/>
      <w:r w:rsidRPr="00730673">
        <w:rPr>
          <w:rStyle w:val="Forte"/>
          <w:rFonts w:eastAsiaTheme="majorEastAsia"/>
          <w:color w:val="444444"/>
          <w:shd w:val="clear" w:color="auto" w:fill="FFFFFF"/>
        </w:rPr>
        <w:t>INSTITUTO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BRASILEIRO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DE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ENSINO</w:t>
      </w:r>
      <w:r w:rsidRPr="00730673">
        <w:rPr>
          <w:color w:val="444444"/>
          <w:shd w:val="clear" w:color="auto" w:fill="FFFFFF"/>
        </w:rPr>
        <w:t>,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DESENVOLVIMENTO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E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PESQUISA</w:t>
      </w:r>
      <w:bookmarkEnd w:id="0"/>
      <w:bookmarkEnd w:id="1"/>
    </w:p>
    <w:p w14:paraId="112288FB" w14:textId="77777777" w:rsidR="00477BC9" w:rsidRPr="00730673" w:rsidRDefault="00477BC9" w:rsidP="00477BC9">
      <w:pPr>
        <w:jc w:val="center"/>
        <w:outlineLvl w:val="0"/>
        <w:rPr>
          <w:bCs/>
          <w:color w:val="000000"/>
          <w:kern w:val="36"/>
        </w:rPr>
      </w:pPr>
    </w:p>
    <w:p w14:paraId="74EDAFAA" w14:textId="77777777" w:rsidR="00477BC9" w:rsidRPr="00730673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5D790C96" w14:textId="77777777" w:rsidR="00477BC9" w:rsidRPr="00730673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7E4ABD7" w14:textId="77777777" w:rsidR="00477BC9" w:rsidRPr="00730673" w:rsidRDefault="00477BC9" w:rsidP="00477BC9">
      <w:pPr>
        <w:spacing w:line="360" w:lineRule="auto"/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  <w:bookmarkStart w:id="2" w:name="_Toc210315750"/>
      <w:bookmarkStart w:id="3" w:name="_Toc210326508"/>
      <w:r w:rsidRPr="00730673">
        <w:rPr>
          <w:b/>
          <w:color w:val="000000" w:themeColor="text1"/>
        </w:rPr>
        <w:t>PEDRO PAULO HENRICHS NETO</w:t>
      </w:r>
      <w:bookmarkEnd w:id="2"/>
      <w:bookmarkEnd w:id="3"/>
    </w:p>
    <w:p w14:paraId="6AA1064F" w14:textId="77777777" w:rsidR="00477BC9" w:rsidRPr="00730673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3E7BEF2C" w14:textId="77777777" w:rsidR="00477BC9" w:rsidRPr="00730673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33934918" w14:textId="77777777" w:rsidR="00477BC9" w:rsidRPr="00730673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3467FCF4" w14:textId="77777777" w:rsidR="00477BC9" w:rsidRPr="00730673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145FF150" w14:textId="77777777" w:rsidR="00477BC9" w:rsidRPr="00730673" w:rsidRDefault="00477BC9" w:rsidP="00477BC9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3FB94747" w14:textId="77777777" w:rsidR="004120EC" w:rsidRPr="00730673" w:rsidRDefault="004120EC" w:rsidP="004120E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F057FE" w14:textId="77777777" w:rsidR="004120EC" w:rsidRPr="00730673" w:rsidRDefault="004120EC" w:rsidP="004120E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6C8603" w14:textId="77777777" w:rsidR="004120EC" w:rsidRPr="00730673" w:rsidRDefault="004120EC" w:rsidP="004120E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5DF9A8" w14:textId="77777777" w:rsidR="004120EC" w:rsidRPr="00730673" w:rsidRDefault="004120EC" w:rsidP="004120EC"/>
    <w:p w14:paraId="723F7054" w14:textId="77777777" w:rsidR="00BE18E0" w:rsidRPr="00730673" w:rsidRDefault="00BE18E0" w:rsidP="004120E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0315751"/>
      <w:bookmarkStart w:id="5" w:name="_Toc210326509"/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Entre hegemonia e autonomia: CELAC e OEA na disputa pela governança regional </w:t>
      </w:r>
      <w:r w:rsidR="005F7D0D"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</w:t>
      </w:r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atino-</w:t>
      </w:r>
      <w:r w:rsidR="005F7D0D"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mericana</w:t>
      </w:r>
      <w:bookmarkEnd w:id="4"/>
      <w:bookmarkEnd w:id="5"/>
    </w:p>
    <w:p w14:paraId="06C53F9B" w14:textId="77777777" w:rsidR="00703DD7" w:rsidRPr="00730673" w:rsidRDefault="00703DD7" w:rsidP="004120EC">
      <w:pPr>
        <w:spacing w:line="360" w:lineRule="auto"/>
      </w:pPr>
    </w:p>
    <w:p w14:paraId="5825BECD" w14:textId="77777777" w:rsidR="004120EC" w:rsidRPr="00730673" w:rsidRDefault="004120EC" w:rsidP="004120EC">
      <w:pPr>
        <w:spacing w:line="360" w:lineRule="auto"/>
      </w:pPr>
    </w:p>
    <w:p w14:paraId="3B159FBB" w14:textId="77777777" w:rsidR="004120EC" w:rsidRPr="00730673" w:rsidRDefault="004120EC" w:rsidP="004120EC">
      <w:pPr>
        <w:spacing w:line="360" w:lineRule="auto"/>
      </w:pPr>
    </w:p>
    <w:p w14:paraId="479D99EE" w14:textId="77777777" w:rsidR="004120EC" w:rsidRPr="00730673" w:rsidRDefault="004120EC" w:rsidP="004120EC">
      <w:pPr>
        <w:spacing w:line="360" w:lineRule="auto"/>
      </w:pPr>
    </w:p>
    <w:p w14:paraId="042726DE" w14:textId="77777777" w:rsidR="004120EC" w:rsidRPr="00730673" w:rsidRDefault="004120EC" w:rsidP="004120EC">
      <w:pPr>
        <w:spacing w:line="360" w:lineRule="auto"/>
      </w:pPr>
    </w:p>
    <w:p w14:paraId="6D0AB93C" w14:textId="77777777" w:rsidR="004120EC" w:rsidRPr="00730673" w:rsidRDefault="004120EC" w:rsidP="004120EC">
      <w:pPr>
        <w:spacing w:line="360" w:lineRule="auto"/>
      </w:pPr>
    </w:p>
    <w:p w14:paraId="4F71218A" w14:textId="77777777" w:rsidR="004120EC" w:rsidRPr="00730673" w:rsidRDefault="004120EC" w:rsidP="004120EC">
      <w:pPr>
        <w:spacing w:line="360" w:lineRule="auto"/>
      </w:pPr>
    </w:p>
    <w:p w14:paraId="422096F4" w14:textId="77777777" w:rsidR="004120EC" w:rsidRPr="00730673" w:rsidRDefault="004120EC" w:rsidP="004120EC">
      <w:pPr>
        <w:spacing w:line="360" w:lineRule="auto"/>
      </w:pPr>
    </w:p>
    <w:p w14:paraId="774BF716" w14:textId="77777777" w:rsidR="004120EC" w:rsidRPr="00730673" w:rsidRDefault="004120EC" w:rsidP="004120EC">
      <w:pPr>
        <w:spacing w:line="360" w:lineRule="auto"/>
      </w:pPr>
    </w:p>
    <w:p w14:paraId="38530F23" w14:textId="77777777" w:rsidR="004120EC" w:rsidRPr="00730673" w:rsidRDefault="004120EC" w:rsidP="004120EC">
      <w:pPr>
        <w:spacing w:line="360" w:lineRule="auto"/>
      </w:pPr>
    </w:p>
    <w:p w14:paraId="65788D33" w14:textId="77777777" w:rsidR="004120EC" w:rsidRPr="00730673" w:rsidRDefault="004120EC" w:rsidP="004120EC">
      <w:pPr>
        <w:spacing w:line="360" w:lineRule="auto"/>
      </w:pPr>
    </w:p>
    <w:p w14:paraId="5CCDD569" w14:textId="77777777" w:rsidR="004120EC" w:rsidRPr="00730673" w:rsidRDefault="004120EC" w:rsidP="004120EC">
      <w:pPr>
        <w:spacing w:line="360" w:lineRule="auto"/>
      </w:pPr>
    </w:p>
    <w:p w14:paraId="5F810EF6" w14:textId="77777777" w:rsidR="004120EC" w:rsidRPr="00730673" w:rsidRDefault="004120EC" w:rsidP="004120EC">
      <w:pPr>
        <w:spacing w:line="360" w:lineRule="auto"/>
      </w:pPr>
    </w:p>
    <w:p w14:paraId="7527C9D5" w14:textId="77777777" w:rsidR="004120EC" w:rsidRPr="00730673" w:rsidRDefault="004120EC" w:rsidP="004120EC">
      <w:pPr>
        <w:spacing w:line="360" w:lineRule="auto"/>
      </w:pPr>
    </w:p>
    <w:p w14:paraId="1276E1C0" w14:textId="77777777" w:rsidR="004120EC" w:rsidRPr="00730673" w:rsidRDefault="004120EC" w:rsidP="004120EC">
      <w:pPr>
        <w:spacing w:line="360" w:lineRule="auto"/>
      </w:pPr>
    </w:p>
    <w:p w14:paraId="75BF2F7B" w14:textId="77777777" w:rsidR="004120EC" w:rsidRPr="00730673" w:rsidRDefault="004120EC" w:rsidP="004120EC">
      <w:pPr>
        <w:spacing w:line="360" w:lineRule="auto"/>
      </w:pPr>
    </w:p>
    <w:p w14:paraId="428D6C62" w14:textId="77777777" w:rsidR="004120EC" w:rsidRPr="00730673" w:rsidRDefault="004120EC" w:rsidP="004120EC">
      <w:pPr>
        <w:spacing w:line="360" w:lineRule="auto"/>
      </w:pPr>
    </w:p>
    <w:p w14:paraId="4683B841" w14:textId="77777777" w:rsidR="004120EC" w:rsidRPr="00730673" w:rsidRDefault="004120EC" w:rsidP="004120EC">
      <w:pPr>
        <w:spacing w:line="360" w:lineRule="auto"/>
        <w:jc w:val="center"/>
      </w:pPr>
      <w:r w:rsidRPr="00730673">
        <w:t>Brasília/ DF</w:t>
      </w:r>
    </w:p>
    <w:p w14:paraId="4640687C" w14:textId="77777777" w:rsidR="004120EC" w:rsidRPr="00730673" w:rsidRDefault="004120EC" w:rsidP="004120EC">
      <w:pPr>
        <w:spacing w:line="360" w:lineRule="auto"/>
        <w:jc w:val="center"/>
      </w:pPr>
      <w:r w:rsidRPr="00730673">
        <w:t>2025</w:t>
      </w:r>
    </w:p>
    <w:p w14:paraId="2FF532D7" w14:textId="77777777" w:rsidR="005E146A" w:rsidRPr="00730673" w:rsidRDefault="005E146A" w:rsidP="004120EC">
      <w:pPr>
        <w:spacing w:line="360" w:lineRule="auto"/>
        <w:jc w:val="center"/>
      </w:pPr>
    </w:p>
    <w:p w14:paraId="6CAC3B1E" w14:textId="77777777" w:rsidR="00696A44" w:rsidRPr="00730673" w:rsidRDefault="00696A44" w:rsidP="00696A44">
      <w:pPr>
        <w:spacing w:line="360" w:lineRule="auto"/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  <w:r w:rsidRPr="00730673">
        <w:lastRenderedPageBreak/>
        <w:t xml:space="preserve"> </w:t>
      </w:r>
      <w:bookmarkStart w:id="6" w:name="_Toc210315752"/>
      <w:bookmarkStart w:id="7" w:name="_Toc210326510"/>
      <w:r w:rsidRPr="00730673">
        <w:rPr>
          <w:b/>
          <w:color w:val="000000" w:themeColor="text1"/>
        </w:rPr>
        <w:t>PEDRO PAULO HENRICHS NETO</w:t>
      </w:r>
      <w:bookmarkEnd w:id="6"/>
      <w:bookmarkEnd w:id="7"/>
    </w:p>
    <w:p w14:paraId="2664E603" w14:textId="77777777" w:rsidR="00696A44" w:rsidRPr="00730673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7D8BB2A" w14:textId="77777777" w:rsidR="00696A44" w:rsidRPr="00730673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2090E4F8" w14:textId="77777777" w:rsidR="00696A44" w:rsidRPr="00730673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71ACC619" w14:textId="77777777" w:rsidR="00696A44" w:rsidRPr="00730673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C389C47" w14:textId="77777777" w:rsidR="00696A44" w:rsidRPr="00730673" w:rsidRDefault="00696A44" w:rsidP="00696A44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72D0188C" w14:textId="77777777" w:rsidR="00696A44" w:rsidRPr="00730673" w:rsidRDefault="00696A44" w:rsidP="00696A44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90C13B" w14:textId="77777777" w:rsidR="00882576" w:rsidRPr="00730673" w:rsidRDefault="00882576" w:rsidP="00882576"/>
    <w:p w14:paraId="344A9B03" w14:textId="77777777" w:rsidR="00696A44" w:rsidRPr="00730673" w:rsidRDefault="00696A44" w:rsidP="00696A44"/>
    <w:p w14:paraId="2D298826" w14:textId="77777777" w:rsidR="00696A44" w:rsidRPr="00730673" w:rsidRDefault="00696A44" w:rsidP="00696A44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0315753"/>
      <w:bookmarkStart w:id="9" w:name="_Toc210326511"/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Entre hegemonia e autonomia: CELAC e OEA na disputa pela governança regional Latino-Americana</w:t>
      </w:r>
      <w:bookmarkEnd w:id="8"/>
      <w:bookmarkEnd w:id="9"/>
    </w:p>
    <w:p w14:paraId="2D58ED47" w14:textId="77777777" w:rsidR="004120EC" w:rsidRPr="00730673" w:rsidRDefault="004120EC" w:rsidP="004120EC">
      <w:pPr>
        <w:spacing w:line="360" w:lineRule="auto"/>
      </w:pPr>
    </w:p>
    <w:p w14:paraId="47937D9B" w14:textId="77777777" w:rsidR="005E146A" w:rsidRPr="00730673" w:rsidRDefault="005E146A" w:rsidP="004120EC">
      <w:pPr>
        <w:spacing w:line="360" w:lineRule="auto"/>
      </w:pPr>
    </w:p>
    <w:p w14:paraId="004681B9" w14:textId="77777777" w:rsidR="005E146A" w:rsidRPr="00730673" w:rsidRDefault="005E146A" w:rsidP="004120EC">
      <w:pPr>
        <w:spacing w:line="360" w:lineRule="auto"/>
      </w:pPr>
    </w:p>
    <w:p w14:paraId="06241376" w14:textId="77777777" w:rsidR="00882576" w:rsidRPr="00730673" w:rsidRDefault="00882576" w:rsidP="004120EC">
      <w:pPr>
        <w:spacing w:line="360" w:lineRule="auto"/>
      </w:pPr>
    </w:p>
    <w:p w14:paraId="2BEB4497" w14:textId="77777777" w:rsidR="004120EC" w:rsidRPr="00730673" w:rsidRDefault="004120EC" w:rsidP="004120EC">
      <w:pPr>
        <w:spacing w:line="360" w:lineRule="auto"/>
      </w:pPr>
    </w:p>
    <w:p w14:paraId="7BB3190A" w14:textId="04A715A5" w:rsidR="004120EC" w:rsidRPr="00730673" w:rsidRDefault="004120EC" w:rsidP="00696A44">
      <w:pPr>
        <w:pStyle w:val="NormalWeb"/>
        <w:spacing w:before="0" w:beforeAutospacing="0" w:after="0" w:afterAutospacing="0"/>
        <w:ind w:left="4536"/>
        <w:jc w:val="both"/>
        <w:rPr>
          <w:sz w:val="20"/>
          <w:szCs w:val="20"/>
        </w:rPr>
      </w:pPr>
      <w:r w:rsidRPr="00730673">
        <w:rPr>
          <w:rStyle w:val="Forte"/>
          <w:rFonts w:eastAsiaTheme="majorEastAsia"/>
          <w:b w:val="0"/>
          <w:sz w:val="20"/>
          <w:szCs w:val="20"/>
        </w:rPr>
        <w:t>Pré-projeto de pesquisa apresentado ao Programa de Pós</w:t>
      </w:r>
      <w:r w:rsidR="00696A44" w:rsidRPr="00730673">
        <w:rPr>
          <w:rStyle w:val="Forte"/>
          <w:rFonts w:eastAsiaTheme="majorEastAsia"/>
          <w:b w:val="0"/>
          <w:sz w:val="20"/>
          <w:szCs w:val="20"/>
        </w:rPr>
        <w:t xml:space="preserve">-Graduação </w:t>
      </w:r>
      <w:r w:rsidR="00882576" w:rsidRPr="00730673">
        <w:rPr>
          <w:rStyle w:val="Forte"/>
          <w:rFonts w:eastAsiaTheme="majorEastAsia"/>
          <w:b w:val="0"/>
          <w:sz w:val="20"/>
          <w:szCs w:val="20"/>
        </w:rPr>
        <w:t>em do</w:t>
      </w:r>
      <w:r w:rsidRPr="00730673">
        <w:rPr>
          <w:rStyle w:val="Forte"/>
          <w:rFonts w:eastAsiaTheme="majorEastAsia"/>
          <w:b w:val="0"/>
          <w:sz w:val="20"/>
          <w:szCs w:val="20"/>
        </w:rPr>
        <w:t xml:space="preserve"> Instituto Brasileiro de Ensino, Desenvolvimento e Pesquisa – IDP, como requisito parcial para a seleção ao curso de Mestrado em </w:t>
      </w:r>
      <w:r w:rsidR="00696A44" w:rsidRPr="00730673">
        <w:rPr>
          <w:color w:val="000000" w:themeColor="text1"/>
          <w:sz w:val="20"/>
          <w:szCs w:val="20"/>
        </w:rPr>
        <w:t>Ciência Política e Relações Internacionais</w:t>
      </w:r>
    </w:p>
    <w:p w14:paraId="20D48819" w14:textId="77777777" w:rsidR="004120EC" w:rsidRPr="00730673" w:rsidRDefault="004120EC" w:rsidP="00696A44">
      <w:pPr>
        <w:ind w:left="4536"/>
        <w:jc w:val="both"/>
        <w:rPr>
          <w:sz w:val="20"/>
          <w:szCs w:val="20"/>
        </w:rPr>
      </w:pPr>
    </w:p>
    <w:p w14:paraId="1475FD7A" w14:textId="77777777" w:rsidR="004120EC" w:rsidRPr="00730673" w:rsidRDefault="004120EC" w:rsidP="004120EC">
      <w:pPr>
        <w:spacing w:line="360" w:lineRule="auto"/>
      </w:pPr>
    </w:p>
    <w:p w14:paraId="0D89F55C" w14:textId="77777777" w:rsidR="004120EC" w:rsidRPr="00730673" w:rsidRDefault="004120EC" w:rsidP="004120EC">
      <w:pPr>
        <w:spacing w:line="360" w:lineRule="auto"/>
      </w:pPr>
    </w:p>
    <w:p w14:paraId="00967B34" w14:textId="77777777" w:rsidR="004120EC" w:rsidRPr="00730673" w:rsidRDefault="004120EC" w:rsidP="004120EC">
      <w:pPr>
        <w:spacing w:line="360" w:lineRule="auto"/>
      </w:pPr>
    </w:p>
    <w:p w14:paraId="280136E2" w14:textId="77777777" w:rsidR="00696A44" w:rsidRPr="00730673" w:rsidRDefault="00696A44" w:rsidP="00C5577F">
      <w:pPr>
        <w:rPr>
          <w:color w:val="000000" w:themeColor="text1"/>
        </w:rPr>
      </w:pPr>
    </w:p>
    <w:p w14:paraId="51A35065" w14:textId="77777777" w:rsidR="00696A44" w:rsidRPr="00730673" w:rsidRDefault="00696A44" w:rsidP="00C5577F">
      <w:pPr>
        <w:rPr>
          <w:color w:val="000000" w:themeColor="text1"/>
        </w:rPr>
      </w:pPr>
    </w:p>
    <w:p w14:paraId="0150254C" w14:textId="77777777" w:rsidR="00696A44" w:rsidRPr="00730673" w:rsidRDefault="00696A44" w:rsidP="00C5577F">
      <w:pPr>
        <w:rPr>
          <w:color w:val="000000" w:themeColor="text1"/>
        </w:rPr>
      </w:pPr>
    </w:p>
    <w:p w14:paraId="7AB3944C" w14:textId="77777777" w:rsidR="00696A44" w:rsidRPr="00730673" w:rsidRDefault="00696A44" w:rsidP="00C5577F">
      <w:pPr>
        <w:rPr>
          <w:color w:val="000000" w:themeColor="text1"/>
        </w:rPr>
      </w:pPr>
    </w:p>
    <w:p w14:paraId="564D1096" w14:textId="77777777" w:rsidR="005E146A" w:rsidRPr="00730673" w:rsidRDefault="005E146A" w:rsidP="00C5577F">
      <w:pPr>
        <w:rPr>
          <w:color w:val="000000" w:themeColor="text1"/>
        </w:rPr>
      </w:pPr>
    </w:p>
    <w:p w14:paraId="65821BF0" w14:textId="77777777" w:rsidR="005E146A" w:rsidRPr="00730673" w:rsidRDefault="005E146A" w:rsidP="00C5577F">
      <w:pPr>
        <w:rPr>
          <w:color w:val="000000" w:themeColor="text1"/>
        </w:rPr>
      </w:pPr>
    </w:p>
    <w:p w14:paraId="4B76B109" w14:textId="77777777" w:rsidR="005E146A" w:rsidRPr="00730673" w:rsidRDefault="005E146A" w:rsidP="00C5577F">
      <w:pPr>
        <w:rPr>
          <w:color w:val="000000" w:themeColor="text1"/>
        </w:rPr>
      </w:pPr>
    </w:p>
    <w:p w14:paraId="237280DC" w14:textId="77777777" w:rsidR="005E146A" w:rsidRPr="00730673" w:rsidRDefault="005E146A" w:rsidP="00C5577F">
      <w:pPr>
        <w:rPr>
          <w:color w:val="000000" w:themeColor="text1"/>
        </w:rPr>
      </w:pPr>
    </w:p>
    <w:p w14:paraId="7AC6428C" w14:textId="77777777" w:rsidR="005E146A" w:rsidRPr="00730673" w:rsidRDefault="005E146A" w:rsidP="00C5577F">
      <w:pPr>
        <w:rPr>
          <w:color w:val="000000" w:themeColor="text1"/>
        </w:rPr>
      </w:pPr>
    </w:p>
    <w:p w14:paraId="22F3F1C4" w14:textId="77777777" w:rsidR="005E146A" w:rsidRPr="00730673" w:rsidRDefault="005E146A" w:rsidP="00C5577F">
      <w:pPr>
        <w:rPr>
          <w:color w:val="000000" w:themeColor="text1"/>
        </w:rPr>
      </w:pPr>
    </w:p>
    <w:p w14:paraId="038EBE41" w14:textId="77777777" w:rsidR="005E146A" w:rsidRPr="00730673" w:rsidRDefault="005E146A" w:rsidP="00C5577F">
      <w:pPr>
        <w:rPr>
          <w:color w:val="000000" w:themeColor="text1"/>
        </w:rPr>
      </w:pPr>
    </w:p>
    <w:p w14:paraId="1625731F" w14:textId="77777777" w:rsidR="005E146A" w:rsidRPr="00730673" w:rsidRDefault="005E146A" w:rsidP="00C5577F">
      <w:pPr>
        <w:rPr>
          <w:color w:val="000000" w:themeColor="text1"/>
        </w:rPr>
      </w:pPr>
    </w:p>
    <w:p w14:paraId="35BE25E2" w14:textId="77777777" w:rsidR="005E146A" w:rsidRPr="00730673" w:rsidRDefault="005E146A" w:rsidP="00C5577F">
      <w:pPr>
        <w:rPr>
          <w:color w:val="000000" w:themeColor="text1"/>
        </w:rPr>
      </w:pPr>
    </w:p>
    <w:p w14:paraId="5AC01CBA" w14:textId="77777777" w:rsidR="005E146A" w:rsidRPr="00730673" w:rsidRDefault="005E146A" w:rsidP="00C5577F">
      <w:pPr>
        <w:rPr>
          <w:color w:val="000000" w:themeColor="text1"/>
        </w:rPr>
      </w:pPr>
    </w:p>
    <w:p w14:paraId="7EE832EA" w14:textId="77777777" w:rsidR="00696A44" w:rsidRPr="00730673" w:rsidRDefault="00696A44" w:rsidP="00C5577F">
      <w:pPr>
        <w:rPr>
          <w:color w:val="000000" w:themeColor="text1"/>
        </w:rPr>
      </w:pPr>
    </w:p>
    <w:p w14:paraId="2CF63F42" w14:textId="77777777" w:rsidR="005E146A" w:rsidRPr="00730673" w:rsidRDefault="005E146A" w:rsidP="00882576">
      <w:pPr>
        <w:spacing w:line="360" w:lineRule="auto"/>
        <w:jc w:val="center"/>
        <w:rPr>
          <w:color w:val="000000" w:themeColor="text1"/>
        </w:rPr>
      </w:pPr>
      <w:r w:rsidRPr="00730673">
        <w:rPr>
          <w:color w:val="000000" w:themeColor="text1"/>
        </w:rPr>
        <w:br/>
        <w:t xml:space="preserve">Brasília/DF </w:t>
      </w:r>
    </w:p>
    <w:p w14:paraId="7DE59160" w14:textId="77777777" w:rsidR="00BE18E0" w:rsidRPr="00730673" w:rsidRDefault="00BE18E0" w:rsidP="00882576">
      <w:pPr>
        <w:spacing w:line="360" w:lineRule="auto"/>
        <w:jc w:val="center"/>
        <w:rPr>
          <w:color w:val="000000" w:themeColor="text1"/>
        </w:rPr>
      </w:pPr>
      <w:r w:rsidRPr="00730673">
        <w:rPr>
          <w:color w:val="000000" w:themeColor="text1"/>
        </w:rPr>
        <w:t>2025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pt-BR"/>
        </w:rPr>
        <w:id w:val="9558360"/>
        <w:docPartObj>
          <w:docPartGallery w:val="Table of Contents"/>
          <w:docPartUnique/>
        </w:docPartObj>
      </w:sdtPr>
      <w:sdtContent>
        <w:p w14:paraId="0B1FE880" w14:textId="77777777" w:rsidR="007D5FB7" w:rsidRPr="00730673" w:rsidRDefault="007D5FB7" w:rsidP="007D5FB7">
          <w:pPr>
            <w:pStyle w:val="CabealhodoSumrio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30673">
            <w:rPr>
              <w:rFonts w:ascii="Times New Roman" w:hAnsi="Times New Roman" w:cs="Times New Roman"/>
              <w:color w:val="auto"/>
              <w:sz w:val="24"/>
              <w:szCs w:val="24"/>
            </w:rPr>
            <w:t>SUMÁRIO</w:t>
          </w:r>
        </w:p>
        <w:p w14:paraId="1F1845B6" w14:textId="64D9A4E9" w:rsidR="000B536D" w:rsidRPr="00730673" w:rsidRDefault="007D5FB7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r w:rsidRPr="00730673">
            <w:rPr>
              <w:rFonts w:eastAsiaTheme="majorEastAsia"/>
              <w:b/>
              <w:bCs/>
              <w:color w:val="0F4761" w:themeColor="accent1" w:themeShade="BF"/>
              <w:lang w:eastAsia="en-US"/>
            </w:rPr>
            <w:fldChar w:fldCharType="begin"/>
          </w:r>
          <w:r w:rsidRPr="00730673">
            <w:instrText xml:space="preserve"> TOC \o "1-3" \h \z \u </w:instrText>
          </w:r>
          <w:r w:rsidRPr="00730673">
            <w:rPr>
              <w:rFonts w:eastAsiaTheme="majorEastAsia"/>
              <w:b/>
              <w:bCs/>
              <w:color w:val="0F4761" w:themeColor="accent1" w:themeShade="BF"/>
              <w:lang w:eastAsia="en-US"/>
            </w:rPr>
            <w:fldChar w:fldCharType="separate"/>
          </w:r>
          <w:hyperlink w:anchor="_Toc210326512" w:history="1">
            <w:r w:rsidR="000B536D" w:rsidRPr="00730673">
              <w:rPr>
                <w:rStyle w:val="Hyperlink"/>
                <w:b/>
                <w:noProof/>
              </w:rPr>
              <w:t>1 TEMA</w:t>
            </w:r>
            <w:r w:rsidR="000B536D" w:rsidRPr="00730673">
              <w:rPr>
                <w:noProof/>
                <w:webHidden/>
              </w:rPr>
              <w:tab/>
            </w:r>
            <w:r w:rsidR="000B536D" w:rsidRPr="00730673">
              <w:rPr>
                <w:noProof/>
                <w:webHidden/>
              </w:rPr>
              <w:fldChar w:fldCharType="begin"/>
            </w:r>
            <w:r w:rsidR="000B536D" w:rsidRPr="00730673">
              <w:rPr>
                <w:noProof/>
                <w:webHidden/>
              </w:rPr>
              <w:instrText xml:space="preserve"> PAGEREF _Toc210326512 \h </w:instrText>
            </w:r>
            <w:r w:rsidR="000B536D" w:rsidRPr="00730673">
              <w:rPr>
                <w:noProof/>
                <w:webHidden/>
              </w:rPr>
            </w:r>
            <w:r w:rsidR="000B536D"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4</w:t>
            </w:r>
            <w:r w:rsidR="000B536D" w:rsidRPr="00730673">
              <w:rPr>
                <w:noProof/>
                <w:webHidden/>
              </w:rPr>
              <w:fldChar w:fldCharType="end"/>
            </w:r>
          </w:hyperlink>
        </w:p>
        <w:p w14:paraId="013713F7" w14:textId="18D56B79" w:rsidR="000B536D" w:rsidRPr="00730673" w:rsidRDefault="000B536D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3" w:history="1">
            <w:r w:rsidRPr="00730673">
              <w:rPr>
                <w:rStyle w:val="Hyperlink"/>
                <w:b/>
                <w:noProof/>
              </w:rPr>
              <w:t>2 PERGUNTA DE PESQUISA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_Toc210326513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5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39058ABA" w14:textId="715BAB81" w:rsidR="000B536D" w:rsidRPr="00730673" w:rsidRDefault="000B536D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4" w:history="1">
            <w:r w:rsidRPr="00730673">
              <w:rPr>
                <w:rStyle w:val="Hyperlink"/>
                <w:b/>
                <w:noProof/>
              </w:rPr>
              <w:t>3 REVISÃO DA LITERATURA E REFERENCIAL TEÓRICO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_Toc210326514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5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24A7CA8E" w14:textId="05D83F99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5" w:history="1">
            <w:r w:rsidRPr="00730673">
              <w:rPr>
                <w:rStyle w:val="Hyperlink"/>
                <w:b/>
                <w:noProof/>
              </w:rPr>
              <w:t>3.1 A OEA e a tradição interamericana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_Toc210326515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5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54126561" w14:textId="008ED57A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6" w:history="1">
            <w:r w:rsidRPr="00730673">
              <w:rPr>
                <w:rStyle w:val="Hyperlink"/>
                <w:b/>
                <w:noProof/>
              </w:rPr>
              <w:t>3.2 A emergência da CELAC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_Toc210326516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6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60C81221" w14:textId="5D06706D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7" w:history="1">
            <w:r w:rsidRPr="00730673">
              <w:rPr>
                <w:rStyle w:val="Hyperlink"/>
                <w:b/>
                <w:noProof/>
              </w:rPr>
              <w:t>3.3 Regionalismo pós-hegemônico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_Toc210326517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7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766C584C" w14:textId="292DFFC1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8" w:history="1">
            <w:r w:rsidRPr="00730673">
              <w:rPr>
                <w:rStyle w:val="Hyperlink"/>
                <w:b/>
                <w:noProof/>
              </w:rPr>
              <w:t>3.4 Hegemonia, autonomia e política externa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_Toc210326518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8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3584536C" w14:textId="3794AEF8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19" w:history="1">
            <w:r w:rsidRPr="00730673">
              <w:rPr>
                <w:rStyle w:val="Hyperlink"/>
                <w:b/>
                <w:noProof/>
              </w:rPr>
              <w:t>3.5 Estudos de caso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_Toc210326519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8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30811ACC" w14:textId="222BA111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0" w:history="1">
            <w:r w:rsidRPr="00730673">
              <w:rPr>
                <w:rStyle w:val="Hyperlink"/>
                <w:b/>
                <w:noProof/>
              </w:rPr>
              <w:t>4 HIPÓTESE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_Toc210326520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9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63EDBF4D" w14:textId="618BE643" w:rsidR="000B536D" w:rsidRPr="00730673" w:rsidRDefault="000B536D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1" w:history="1">
            <w:r w:rsidRPr="00730673">
              <w:rPr>
                <w:rStyle w:val="Hyperlink"/>
                <w:b/>
                <w:noProof/>
              </w:rPr>
              <w:t>5 MÉTODO DE ABORDAGEM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_Toc210326521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9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32D0D9D8" w14:textId="5454C430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2" w:history="1">
            <w:r w:rsidRPr="00730673">
              <w:rPr>
                <w:rStyle w:val="Hyperlink"/>
                <w:b/>
                <w:noProof/>
              </w:rPr>
              <w:t>5.1 Método comparativo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_Toc210326522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10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11420A64" w14:textId="758AB2B3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3" w:history="1">
            <w:r w:rsidRPr="00730673">
              <w:rPr>
                <w:rStyle w:val="Hyperlink"/>
                <w:b/>
                <w:noProof/>
              </w:rPr>
              <w:t>5.2 Seleção dos casos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_Toc210326523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11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2D95466B" w14:textId="5D016B45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4" w:history="1">
            <w:r w:rsidRPr="00730673">
              <w:rPr>
                <w:rStyle w:val="Hyperlink"/>
                <w:b/>
                <w:bCs/>
                <w:noProof/>
              </w:rPr>
              <w:t>5.3 Pesquisa documental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_Toc210326524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11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52BB312A" w14:textId="4AE6684E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5" w:history="1">
            <w:r w:rsidRPr="00730673">
              <w:rPr>
                <w:rStyle w:val="Hyperlink"/>
                <w:b/>
                <w:noProof/>
              </w:rPr>
              <w:t>5.4 Entrevistas semiestruturadas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_Toc210326525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12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7259FE3C" w14:textId="1BC15C26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6" w:history="1">
            <w:r w:rsidRPr="00730673">
              <w:rPr>
                <w:rStyle w:val="Hyperlink"/>
                <w:b/>
                <w:noProof/>
              </w:rPr>
              <w:t>5.5 Procedimentos de análise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_Toc210326526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12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017B25CF" w14:textId="5C815D51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7" w:history="1">
            <w:r w:rsidRPr="00730673">
              <w:rPr>
                <w:rStyle w:val="Hyperlink"/>
                <w:b/>
                <w:bCs/>
                <w:noProof/>
              </w:rPr>
              <w:t>5.6 Limitações metodológicas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_Toc210326527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13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6C6619CA" w14:textId="3169740E" w:rsidR="000B536D" w:rsidRPr="00730673" w:rsidRDefault="000B536D" w:rsidP="000B536D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8" w:history="1">
            <w:r w:rsidRPr="00730673">
              <w:rPr>
                <w:rStyle w:val="Hyperlink"/>
                <w:b/>
                <w:bCs/>
                <w:noProof/>
              </w:rPr>
              <w:t>6 CONSIDERAÇÕES FINAIS PRELIMINARES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_Toc210326528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13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23F83EF1" w14:textId="56E3D755" w:rsidR="000B536D" w:rsidRPr="00730673" w:rsidRDefault="000B536D" w:rsidP="000B536D">
          <w:pPr>
            <w:pStyle w:val="Sumrio1"/>
            <w:tabs>
              <w:tab w:val="right" w:leader="dot" w:pos="9061"/>
            </w:tabs>
            <w:spacing w:after="0" w:line="360" w:lineRule="auto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0326529" w:history="1">
            <w:r w:rsidRPr="00730673">
              <w:rPr>
                <w:rStyle w:val="Hyperlink"/>
                <w:b/>
                <w:bCs/>
                <w:noProof/>
              </w:rPr>
              <w:t>REFERÊNCIAS</w:t>
            </w:r>
            <w:r w:rsidRPr="00730673">
              <w:rPr>
                <w:noProof/>
                <w:webHidden/>
              </w:rPr>
              <w:tab/>
            </w:r>
            <w:r w:rsidRPr="00730673">
              <w:rPr>
                <w:noProof/>
                <w:webHidden/>
              </w:rPr>
              <w:fldChar w:fldCharType="begin"/>
            </w:r>
            <w:r w:rsidRPr="00730673">
              <w:rPr>
                <w:noProof/>
                <w:webHidden/>
              </w:rPr>
              <w:instrText xml:space="preserve"> PAGEREF _Toc210326529 \h </w:instrText>
            </w:r>
            <w:r w:rsidRPr="00730673">
              <w:rPr>
                <w:noProof/>
                <w:webHidden/>
              </w:rPr>
            </w:r>
            <w:r w:rsidRPr="00730673">
              <w:rPr>
                <w:noProof/>
                <w:webHidden/>
              </w:rPr>
              <w:fldChar w:fldCharType="separate"/>
            </w:r>
            <w:r w:rsidR="00C90787" w:rsidRPr="00730673">
              <w:rPr>
                <w:noProof/>
                <w:webHidden/>
              </w:rPr>
              <w:t>14</w:t>
            </w:r>
            <w:r w:rsidRPr="00730673">
              <w:rPr>
                <w:noProof/>
                <w:webHidden/>
              </w:rPr>
              <w:fldChar w:fldCharType="end"/>
            </w:r>
          </w:hyperlink>
        </w:p>
        <w:p w14:paraId="1D83ABF0" w14:textId="0593596E" w:rsidR="007D5FB7" w:rsidRPr="00730673" w:rsidRDefault="007D5FB7" w:rsidP="007D5FB7">
          <w:pPr>
            <w:spacing w:line="360" w:lineRule="auto"/>
          </w:pPr>
          <w:r w:rsidRPr="00730673">
            <w:fldChar w:fldCharType="end"/>
          </w:r>
        </w:p>
      </w:sdtContent>
    </w:sdt>
    <w:p w14:paraId="5F67E4C9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2FC0E19D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5E70AB9F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5404F42B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793C1FB1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0AF5A5EC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314D25EF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77AB94AE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51F0DCB4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305F157A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4A5FB881" w14:textId="72EF19E7" w:rsidR="00730673" w:rsidRPr="00730673" w:rsidRDefault="00730673" w:rsidP="00730673">
      <w:pPr>
        <w:rPr>
          <w:b/>
          <w:bCs/>
          <w:color w:val="000000"/>
        </w:rPr>
      </w:pPr>
    </w:p>
    <w:p w14:paraId="55360401" w14:textId="77777777" w:rsidR="00730673" w:rsidRDefault="00730673" w:rsidP="00730673">
      <w:pPr>
        <w:pStyle w:val="Ttulo2"/>
        <w:spacing w:before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30673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DICIONÁRIO DE ABREVIATURAS E SIGLAS</w:t>
      </w:r>
    </w:p>
    <w:p w14:paraId="16287AE7" w14:textId="77777777" w:rsidR="00730673" w:rsidRPr="00730673" w:rsidRDefault="00730673" w:rsidP="0073067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439"/>
        <w:gridCol w:w="3941"/>
      </w:tblGrid>
      <w:tr w:rsidR="00730673" w:rsidRPr="00730673" w14:paraId="1003EA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47DB9" w14:textId="77777777" w:rsidR="00730673" w:rsidRPr="00730673" w:rsidRDefault="00730673">
            <w:pPr>
              <w:spacing w:after="480"/>
            </w:pPr>
            <w:r w:rsidRPr="00730673">
              <w:t>Sigla / Abreviatura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7D024" w14:textId="77777777" w:rsidR="00730673" w:rsidRPr="00730673" w:rsidRDefault="00730673">
            <w:pPr>
              <w:spacing w:after="480"/>
            </w:pPr>
            <w:r w:rsidRPr="00730673">
              <w:t>Significado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8B5D1" w14:textId="77777777" w:rsidR="00730673" w:rsidRPr="00730673" w:rsidRDefault="00730673">
            <w:pPr>
              <w:spacing w:after="480"/>
            </w:pPr>
            <w:r w:rsidRPr="00730673">
              <w:t>Contexto no Projeto</w:t>
            </w:r>
          </w:p>
        </w:tc>
      </w:tr>
      <w:tr w:rsidR="00730673" w:rsidRPr="00730673" w14:paraId="4E309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2F104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ACQ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4EA44" w14:textId="77777777" w:rsidR="00730673" w:rsidRPr="00730673" w:rsidRDefault="00730673">
            <w:pPr>
              <w:spacing w:after="480"/>
            </w:pPr>
            <w:r w:rsidRPr="00730673">
              <w:t>Análise de Conteúdo Qualitativa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BF4F1" w14:textId="77777777" w:rsidR="00730673" w:rsidRPr="00730673" w:rsidRDefault="00730673">
            <w:pPr>
              <w:spacing w:after="480"/>
            </w:pPr>
            <w:r w:rsidRPr="00730673">
              <w:t>Técnica metodológica utilizada para analisar a Narrativa Política.</w:t>
            </w:r>
          </w:p>
        </w:tc>
      </w:tr>
      <w:tr w:rsidR="00730673" w:rsidRPr="00730673" w14:paraId="14B65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6E17C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ALBA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51362" w14:textId="77777777" w:rsidR="00730673" w:rsidRPr="00730673" w:rsidRDefault="00730673">
            <w:pPr>
              <w:spacing w:after="480"/>
            </w:pPr>
            <w:r w:rsidRPr="00730673">
              <w:t>Aliança Bolivariana para os Povos de Nossa América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57F6D" w14:textId="77777777" w:rsidR="00730673" w:rsidRPr="00730673" w:rsidRDefault="00730673">
            <w:pPr>
              <w:spacing w:after="480"/>
            </w:pPr>
            <w:r w:rsidRPr="00730673">
              <w:t>Organismo pós-hegemônico correlato, citado na Revisão da Literatura.</w:t>
            </w:r>
          </w:p>
        </w:tc>
      </w:tr>
      <w:tr w:rsidR="00730673" w:rsidRPr="00730673" w14:paraId="716A4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EFCBB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CELAC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25E5C" w14:textId="77777777" w:rsidR="00730673" w:rsidRPr="00730673" w:rsidRDefault="00730673">
            <w:pPr>
              <w:spacing w:after="480"/>
            </w:pPr>
            <w:r w:rsidRPr="00730673">
              <w:t>Comunidade de Estados Latino-Americanos e Caribenhos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AD3C1" w14:textId="77777777" w:rsidR="00730673" w:rsidRPr="00730673" w:rsidRDefault="00730673">
            <w:pPr>
              <w:spacing w:after="480"/>
            </w:pPr>
            <w:r w:rsidRPr="00730673">
              <w:t>Fórum pós-hegemônico e foco principal da comparação.</w:t>
            </w:r>
          </w:p>
        </w:tc>
      </w:tr>
      <w:tr w:rsidR="00730673" w:rsidRPr="00730673" w14:paraId="0EE27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1F22D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CEPAL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45E5F" w14:textId="77777777" w:rsidR="00730673" w:rsidRPr="00730673" w:rsidRDefault="00730673">
            <w:pPr>
              <w:spacing w:after="480"/>
            </w:pPr>
            <w:r w:rsidRPr="00730673">
              <w:t>Comissão Econômica para a América Latina e o Caribe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53AED" w14:textId="77777777" w:rsidR="00730673" w:rsidRPr="00730673" w:rsidRDefault="00730673">
            <w:pPr>
              <w:spacing w:after="480"/>
            </w:pPr>
            <w:r w:rsidRPr="00730673">
              <w:t>Fonte de dados e contexto para o regionalismo.</w:t>
            </w:r>
          </w:p>
        </w:tc>
      </w:tr>
      <w:tr w:rsidR="00730673" w:rsidRPr="00730673" w14:paraId="4C4BF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B859E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CIDH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1C580" w14:textId="77777777" w:rsidR="00730673" w:rsidRPr="00730673" w:rsidRDefault="00730673">
            <w:pPr>
              <w:spacing w:after="480"/>
            </w:pPr>
            <w:r w:rsidRPr="00730673">
              <w:t>Comissão Interamericana de Direitos Humanos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2CE2A" w14:textId="77777777" w:rsidR="00730673" w:rsidRPr="00730673" w:rsidRDefault="00730673">
            <w:pPr>
              <w:spacing w:after="480"/>
            </w:pPr>
            <w:r w:rsidRPr="00730673">
              <w:t>Órgão especializado da OEA, crucial na avaliação de direitos humanos.</w:t>
            </w:r>
          </w:p>
        </w:tc>
      </w:tr>
      <w:tr w:rsidR="00730673" w:rsidRPr="00730673" w14:paraId="31C00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6CA1A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EUA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41140" w14:textId="77777777" w:rsidR="00730673" w:rsidRPr="00730673" w:rsidRDefault="00730673">
            <w:pPr>
              <w:spacing w:after="480"/>
            </w:pPr>
            <w:r w:rsidRPr="00730673">
              <w:t>Estados Unidos da América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69ADE" w14:textId="77777777" w:rsidR="00730673" w:rsidRPr="00730673" w:rsidRDefault="00730673">
            <w:pPr>
              <w:spacing w:after="480"/>
            </w:pPr>
            <w:r w:rsidRPr="00730673">
              <w:t>Principal ator da hegemonia regional, excluído da CELAC.</w:t>
            </w:r>
          </w:p>
        </w:tc>
      </w:tr>
      <w:tr w:rsidR="00730673" w:rsidRPr="00730673" w14:paraId="3B59F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2DEA3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MAPP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3D155" w14:textId="77777777" w:rsidR="00730673" w:rsidRPr="00730673" w:rsidRDefault="00730673">
            <w:pPr>
              <w:spacing w:after="480"/>
            </w:pPr>
            <w:r w:rsidRPr="00730673">
              <w:t>Missão de Apoio ao Processo de Paz na Colômbia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2739C" w14:textId="77777777" w:rsidR="00730673" w:rsidRPr="00730673" w:rsidRDefault="00730673">
            <w:pPr>
              <w:spacing w:after="480"/>
            </w:pPr>
            <w:r w:rsidRPr="00730673">
              <w:t>Mecanismo de atuação da OEA em um dos estudos de caso.</w:t>
            </w:r>
          </w:p>
        </w:tc>
      </w:tr>
      <w:tr w:rsidR="00730673" w:rsidRPr="00730673" w14:paraId="7FD8D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1E1DB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MERCOSUL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23299" w14:textId="77777777" w:rsidR="00730673" w:rsidRPr="00730673" w:rsidRDefault="00730673">
            <w:pPr>
              <w:spacing w:after="480"/>
            </w:pPr>
            <w:r w:rsidRPr="00730673">
              <w:t>Mercado Comum do 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BFF94" w14:textId="77777777" w:rsidR="00730673" w:rsidRPr="00730673" w:rsidRDefault="00730673">
            <w:pPr>
              <w:spacing w:after="480"/>
            </w:pPr>
            <w:r w:rsidRPr="00730673">
              <w:t>Bloco regional citado na comparação de ações no caso Paraguai.</w:t>
            </w:r>
          </w:p>
        </w:tc>
      </w:tr>
      <w:tr w:rsidR="00730673" w:rsidRPr="00730673" w14:paraId="16AFE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20415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NV-AUT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368FA" w14:textId="77777777" w:rsidR="00730673" w:rsidRPr="00730673" w:rsidRDefault="00730673">
            <w:pPr>
              <w:spacing w:after="480"/>
            </w:pPr>
            <w:r w:rsidRPr="00730673">
              <w:t>Autodeterminação dos Povos (Código de Análise)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F265F" w14:textId="77777777" w:rsidR="00730673" w:rsidRPr="00730673" w:rsidRDefault="00730673">
            <w:pPr>
              <w:spacing w:after="480"/>
            </w:pPr>
            <w:r w:rsidRPr="00730673">
              <w:t>Código primário para a codificação da Narrativa Política.</w:t>
            </w:r>
          </w:p>
        </w:tc>
      </w:tr>
      <w:tr w:rsidR="00730673" w:rsidRPr="00730673" w14:paraId="6FDC9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0608E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NV-NI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51402" w14:textId="77777777" w:rsidR="00730673" w:rsidRPr="00730673" w:rsidRDefault="00730673">
            <w:pPr>
              <w:spacing w:after="480"/>
            </w:pPr>
            <w:r w:rsidRPr="00730673">
              <w:t>Não-Intervenção / Não-Ingerência (Código de Análise)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D6445" w14:textId="77777777" w:rsidR="00730673" w:rsidRPr="00730673" w:rsidRDefault="00730673">
            <w:pPr>
              <w:spacing w:after="480"/>
            </w:pPr>
            <w:r w:rsidRPr="00730673">
              <w:t>Código primário para a codificação da Narrativa Política.</w:t>
            </w:r>
          </w:p>
        </w:tc>
      </w:tr>
      <w:tr w:rsidR="00730673" w:rsidRPr="00730673" w14:paraId="70636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E86E7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lastRenderedPageBreak/>
              <w:t>NV-SOB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A4779" w14:textId="77777777" w:rsidR="00730673" w:rsidRPr="00730673" w:rsidRDefault="00730673">
            <w:pPr>
              <w:spacing w:after="480"/>
            </w:pPr>
            <w:r w:rsidRPr="00730673">
              <w:t>Soberania Nacional (Código de Análise)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4DB07" w14:textId="77777777" w:rsidR="00730673" w:rsidRPr="00730673" w:rsidRDefault="00730673">
            <w:pPr>
              <w:spacing w:after="480"/>
            </w:pPr>
            <w:r w:rsidRPr="00730673">
              <w:t>Código primário para a codificação da Narrativa Política.</w:t>
            </w:r>
          </w:p>
        </w:tc>
      </w:tr>
      <w:tr w:rsidR="00730673" w:rsidRPr="00730673" w14:paraId="209EC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0ED87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OEA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51469" w14:textId="77777777" w:rsidR="00730673" w:rsidRPr="00730673" w:rsidRDefault="00730673">
            <w:pPr>
              <w:spacing w:after="480"/>
            </w:pPr>
            <w:r w:rsidRPr="00730673">
              <w:t>Organização dos Estados Americanos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CB4BE" w14:textId="77777777" w:rsidR="00730673" w:rsidRPr="00730673" w:rsidRDefault="00730673">
            <w:pPr>
              <w:spacing w:after="480"/>
            </w:pPr>
            <w:r w:rsidRPr="00730673">
              <w:t>Instituição hegemônica e foco principal da comparação.</w:t>
            </w:r>
          </w:p>
        </w:tc>
      </w:tr>
      <w:tr w:rsidR="00730673" w:rsidRPr="00730673" w14:paraId="6B833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B2C27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9889E" w14:textId="77777777" w:rsidR="00730673" w:rsidRPr="00730673" w:rsidRDefault="00730673">
            <w:pPr>
              <w:spacing w:after="480"/>
            </w:pPr>
            <w:r w:rsidRPr="00730673">
              <w:t>Organização das Nações Unidas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AF4EE" w14:textId="77777777" w:rsidR="00730673" w:rsidRPr="00730673" w:rsidRDefault="00730673">
            <w:pPr>
              <w:spacing w:after="480"/>
            </w:pPr>
            <w:r w:rsidRPr="00730673">
              <w:t>Organismo multilateral de referência, citado na coleta de dados e entrevistas.</w:t>
            </w:r>
          </w:p>
        </w:tc>
      </w:tr>
      <w:tr w:rsidR="00730673" w:rsidRPr="00730673" w14:paraId="5A648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4DC76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PPT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A5F47" w14:textId="77777777" w:rsidR="00730673" w:rsidRPr="00730673" w:rsidRDefault="00730673">
            <w:pPr>
              <w:spacing w:after="480"/>
            </w:pPr>
            <w:r w:rsidRPr="00730673">
              <w:t>Presidência</w:t>
            </w:r>
            <w:r w:rsidRPr="00730673">
              <w:rPr>
                <w:rStyle w:val="apple-converted-space"/>
                <w:rFonts w:eastAsiaTheme="majorEastAsia"/>
              </w:rPr>
              <w:t> </w:t>
            </w:r>
            <w:r w:rsidRPr="00730673">
              <w:rPr>
                <w:i/>
                <w:iCs/>
              </w:rPr>
              <w:t>Pro Tempore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5FA6A" w14:textId="77777777" w:rsidR="00730673" w:rsidRPr="00730673" w:rsidRDefault="00730673">
            <w:pPr>
              <w:spacing w:after="480"/>
            </w:pPr>
            <w:r w:rsidRPr="00730673">
              <w:t>Mecanismo de liderança temporária e rotativa da CELAC.</w:t>
            </w:r>
          </w:p>
        </w:tc>
      </w:tr>
      <w:tr w:rsidR="00730673" w:rsidRPr="00730673" w14:paraId="5C55D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C5125" w14:textId="77777777" w:rsidR="00730673" w:rsidRPr="00730673" w:rsidRDefault="00730673">
            <w:pPr>
              <w:spacing w:after="480"/>
            </w:pPr>
            <w:r w:rsidRPr="00730673">
              <w:rPr>
                <w:b/>
                <w:bCs/>
              </w:rPr>
              <w:t>UNASUL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1CDEF" w14:textId="77777777" w:rsidR="00730673" w:rsidRPr="00730673" w:rsidRDefault="00730673">
            <w:pPr>
              <w:spacing w:after="480"/>
            </w:pPr>
            <w:r w:rsidRPr="00730673">
              <w:t>União de Nações Sul-Americanas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62D54" w14:textId="77777777" w:rsidR="00730673" w:rsidRPr="00730673" w:rsidRDefault="00730673">
            <w:pPr>
              <w:spacing w:after="480"/>
            </w:pPr>
            <w:r w:rsidRPr="00730673">
              <w:t>Organismo pós-hegemônico correlato, citado na Revisão da Literatura.</w:t>
            </w:r>
          </w:p>
        </w:tc>
      </w:tr>
    </w:tbl>
    <w:p w14:paraId="635C6B3E" w14:textId="087CD449" w:rsidR="00730673" w:rsidRPr="00730673" w:rsidRDefault="00730673" w:rsidP="00730673">
      <w:pPr>
        <w:rPr>
          <w:color w:val="000000"/>
        </w:rPr>
      </w:pPr>
    </w:p>
    <w:p w14:paraId="6B8B2813" w14:textId="37E8A42D" w:rsidR="00730673" w:rsidRPr="00730673" w:rsidRDefault="00730673" w:rsidP="00730673">
      <w:pPr>
        <w:pStyle w:val="NormalWeb"/>
        <w:spacing w:before="0" w:beforeAutospacing="0"/>
        <w:rPr>
          <w:color w:val="000000"/>
        </w:rPr>
      </w:pPr>
    </w:p>
    <w:p w14:paraId="67EDE33C" w14:textId="77777777" w:rsidR="00730673" w:rsidRPr="00730673" w:rsidRDefault="00730673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159C21C6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21C86553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1FE3E411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04B11B86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197991C3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67D9B483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25EEFB27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5C25E0C8" w14:textId="77777777" w:rsidR="006A53B4" w:rsidRPr="00730673" w:rsidRDefault="006A53B4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</w:pPr>
    </w:p>
    <w:p w14:paraId="342D3BCA" w14:textId="77777777" w:rsidR="007D5FB7" w:rsidRPr="00730673" w:rsidRDefault="007D5FB7" w:rsidP="00C5577F">
      <w:pPr>
        <w:spacing w:before="100" w:beforeAutospacing="1" w:after="100" w:afterAutospacing="1"/>
        <w:jc w:val="both"/>
        <w:outlineLvl w:val="2"/>
        <w:rPr>
          <w:b/>
          <w:bCs/>
          <w:color w:val="000000"/>
        </w:rPr>
        <w:sectPr w:rsidR="007D5FB7" w:rsidRPr="00730673" w:rsidSect="00703D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465B73C6" w14:textId="77777777" w:rsidR="00137E95" w:rsidRPr="00730673" w:rsidRDefault="00C205D5" w:rsidP="00C205D5">
      <w:pPr>
        <w:pStyle w:val="Ttulo1"/>
        <w:spacing w:before="0"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10" w:name="_Toc210326512"/>
      <w:r w:rsidRPr="00730673">
        <w:rPr>
          <w:rFonts w:ascii="Times New Roman" w:hAnsi="Times New Roman" w:cs="Times New Roman"/>
          <w:b/>
          <w:sz w:val="24"/>
          <w:szCs w:val="24"/>
        </w:rPr>
        <w:lastRenderedPageBreak/>
        <w:t>1 TEMA</w:t>
      </w:r>
      <w:bookmarkEnd w:id="10"/>
    </w:p>
    <w:p w14:paraId="3D754008" w14:textId="77777777" w:rsidR="00C205D5" w:rsidRPr="00730673" w:rsidRDefault="00C205D5" w:rsidP="00C205D5">
      <w:pPr>
        <w:spacing w:line="360" w:lineRule="auto"/>
        <w:ind w:firstLine="709"/>
        <w:jc w:val="both"/>
        <w:rPr>
          <w:color w:val="000000"/>
        </w:rPr>
      </w:pPr>
    </w:p>
    <w:p w14:paraId="56264939" w14:textId="77777777" w:rsidR="00AA6254" w:rsidRPr="00730673" w:rsidRDefault="00AA6254" w:rsidP="005E146A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O presente trabalho de pesquisa propõe investigar a disputa entre diferentes modelos de governança regional na América Latina e no Caribe, tendo como foco comparativo a Organização dos Estados Americanos (OEA) e a Comunidade de Estados Latino-Americanos e Caribenhos (CELAC). O tema se insere no debate mais amplo sobre o </w:t>
      </w:r>
      <w:r w:rsidRPr="00730673">
        <w:rPr>
          <w:b/>
          <w:bCs/>
          <w:color w:val="000000"/>
        </w:rPr>
        <w:t>regionalismo pós-hegemônico</w:t>
      </w:r>
      <w:r w:rsidRPr="00730673">
        <w:rPr>
          <w:color w:val="000000"/>
        </w:rPr>
        <w:t>, conceito formulado por autores como </w:t>
      </w:r>
      <w:proofErr w:type="spellStart"/>
      <w:r w:rsidRPr="00730673">
        <w:rPr>
          <w:b/>
          <w:bCs/>
          <w:color w:val="000000"/>
        </w:rPr>
        <w:t>Pía</w:t>
      </w:r>
      <w:proofErr w:type="spellEnd"/>
      <w:r w:rsidRPr="00730673">
        <w:rPr>
          <w:b/>
          <w:bCs/>
          <w:color w:val="000000"/>
        </w:rPr>
        <w:t xml:space="preserve"> </w:t>
      </w:r>
      <w:proofErr w:type="spellStart"/>
      <w:r w:rsidRPr="00730673">
        <w:rPr>
          <w:b/>
          <w:bCs/>
          <w:color w:val="000000"/>
        </w:rPr>
        <w:t>Riggirozzi</w:t>
      </w:r>
      <w:proofErr w:type="spellEnd"/>
      <w:r w:rsidRPr="00730673">
        <w:rPr>
          <w:b/>
          <w:bCs/>
          <w:color w:val="000000"/>
        </w:rPr>
        <w:t xml:space="preserve"> e Diana </w:t>
      </w:r>
      <w:proofErr w:type="spellStart"/>
      <w:r w:rsidRPr="00730673">
        <w:rPr>
          <w:b/>
          <w:bCs/>
          <w:color w:val="000000"/>
        </w:rPr>
        <w:t>Tussie</w:t>
      </w:r>
      <w:proofErr w:type="spellEnd"/>
      <w:r w:rsidRPr="00730673">
        <w:rPr>
          <w:color w:val="000000"/>
        </w:rPr>
        <w:t> que descreve um modelo de integração que emergiu nos anos 2000, em reação tanto ao neoliberalismo quanto à hegemonia estadunidense. O objetivo central é compreender em que medida a CELAC, mesmo sem a institucionalidade rígida de organismos tradicionais, pode ser interpretada como uma alternativa pós-hegemônica diante da OEA, que historicamente se consolidou como braço institucional da hegemonia estadunidense no hemisfério.</w:t>
      </w:r>
    </w:p>
    <w:p w14:paraId="15D3F324" w14:textId="77777777" w:rsidR="005F7D0D" w:rsidRPr="00730673" w:rsidRDefault="005F7D0D" w:rsidP="005E146A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Busca-se analisar as manifestações dessas disputas não apenas no âmbito politico-normativo, mas também em seus reflexos econômicos e comerciais nos países membro, especialmente durante as crises regionais. </w:t>
      </w:r>
    </w:p>
    <w:p w14:paraId="7F2360F9" w14:textId="77777777" w:rsidR="00AA6254" w:rsidRPr="00730673" w:rsidRDefault="00AA6254" w:rsidP="005E146A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A OEA, fundada em 1948, no contexto da Guerra Fria, com sede em </w:t>
      </w:r>
      <w:r w:rsidR="0081656F" w:rsidRPr="00730673">
        <w:rPr>
          <w:color w:val="000000"/>
        </w:rPr>
        <w:t>Washington,</w:t>
      </w:r>
      <w:r w:rsidRPr="00730673">
        <w:rPr>
          <w:color w:val="000000"/>
        </w:rPr>
        <w:t xml:space="preserve"> foi dotada de uma estrutura robusta com carta constitutiva, orçamento regular, secretariado permanente e órgãos especializados, como a Comissão Interamericana de Direitos Humanos (CIDH). No entanto, essa institucionalidade também gerou a percepção de que a OEA é um mecanismo instrumentalizado pelos Estados Unidos para projetar sua influência política, econômica e militar na região.</w:t>
      </w:r>
    </w:p>
    <w:p w14:paraId="0B4C39CE" w14:textId="77777777" w:rsidR="00AA6254" w:rsidRPr="00730673" w:rsidRDefault="00AA6254" w:rsidP="005E146A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Já a CELAC, criada em 2010 e formalmente institucionalizada em 2011, distingue-se por ser um fórum intergovernamental flexível, sem sede permanente, carta constitutiva ou orçamento fixo. O seu traço mais marcante é a exclusão deliberada dos Estados Unidos e do Canadá, reunindo apenas os 33 países da América Latina e do Caribe. Ao se organizar dessa forma, a CELAC afirma sua vocação política de criar um espaço de diálogo regional livre da tutela de Washington.</w:t>
      </w:r>
    </w:p>
    <w:p w14:paraId="0652455E" w14:textId="77777777" w:rsidR="00B961AA" w:rsidRPr="00730673" w:rsidRDefault="00B961AA" w:rsidP="005E146A">
      <w:pPr>
        <w:spacing w:line="360" w:lineRule="auto"/>
        <w:ind w:firstLine="709"/>
        <w:jc w:val="both"/>
        <w:rPr>
          <w:color w:val="000000"/>
        </w:rPr>
      </w:pPr>
      <w:r w:rsidRPr="00730673">
        <w:rPr>
          <w:rStyle w:val="citation-89"/>
          <w:color w:val="000000"/>
        </w:rPr>
        <w:t xml:space="preserve">Observação: </w:t>
      </w:r>
      <w:r w:rsidRPr="00730673">
        <w:rPr>
          <w:rStyle w:val="citation-89"/>
          <w:rFonts w:eastAsiaTheme="majorEastAsia"/>
          <w:color w:val="000000"/>
        </w:rPr>
        <w:t>"Embora haja vasta literatura sobre a OEA, sua instrumentalização pelos Estados Unidos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color w:val="000000"/>
        </w:rPr>
        <w:t>e suas fragilidades, e também sobre a emergência da CELAC como uma alternativa política, a literatura carece de uma análise comparativa aprofundada que examine como a coexistência desses dois modelos (o interamericaníssimo tradicional da OEA e o regionalismo pós-hegemônico da CELAC) se manifesta em crises regionais específicas. Este trabalho busca dar uma contribuição, investigando as dinâmicas de governança, legitimidade e eficácia de cada organismo."</w:t>
      </w:r>
    </w:p>
    <w:p w14:paraId="18238CF0" w14:textId="77777777" w:rsidR="00730673" w:rsidRPr="00730673" w:rsidRDefault="00730673" w:rsidP="00730673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 JUSTIFICATIVA</w:t>
      </w:r>
    </w:p>
    <w:p w14:paraId="3ECC563F" w14:textId="6A45F060" w:rsidR="00730673" w:rsidRPr="00730673" w:rsidRDefault="00730673" w:rsidP="00730673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7306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F1A5395" w14:textId="019EA92A" w:rsidR="00730673" w:rsidRPr="00730673" w:rsidRDefault="00730673" w:rsidP="00730673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O presente trabalho de pesquisa é de fundamental importância e justifica-se em três níveis distintos: a contribuição para o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b/>
          <w:bCs/>
          <w:color w:val="000000"/>
        </w:rPr>
        <w:t>debate acadêmico</w:t>
      </w:r>
      <w:r w:rsidRPr="00730673">
        <w:rPr>
          <w:color w:val="000000"/>
        </w:rPr>
        <w:t>, a relevância para a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b/>
          <w:bCs/>
          <w:color w:val="000000"/>
        </w:rPr>
        <w:t>política externa e a governança regional</w:t>
      </w:r>
      <w:r w:rsidRPr="00730673">
        <w:rPr>
          <w:color w:val="000000"/>
        </w:rPr>
        <w:t>, e o impacto na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b/>
          <w:bCs/>
          <w:color w:val="000000"/>
        </w:rPr>
        <w:t>compreensão das dinâmicas econômico-comerciais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color w:val="000000"/>
        </w:rPr>
        <w:t>na América Latina.</w:t>
      </w:r>
    </w:p>
    <w:p w14:paraId="29F047A9" w14:textId="77777777" w:rsidR="00730673" w:rsidRPr="00730673" w:rsidRDefault="00730673" w:rsidP="00730673">
      <w:pPr>
        <w:spacing w:line="360" w:lineRule="auto"/>
        <w:ind w:firstLine="709"/>
        <w:jc w:val="both"/>
        <w:rPr>
          <w:color w:val="000000"/>
        </w:rPr>
      </w:pPr>
    </w:p>
    <w:p w14:paraId="1AB8813A" w14:textId="77777777" w:rsidR="00730673" w:rsidRPr="00730673" w:rsidRDefault="00730673" w:rsidP="00730673">
      <w:pPr>
        <w:spacing w:line="360" w:lineRule="auto"/>
        <w:jc w:val="both"/>
        <w:rPr>
          <w:b/>
          <w:bCs/>
        </w:rPr>
      </w:pPr>
      <w:r w:rsidRPr="00730673">
        <w:rPr>
          <w:b/>
          <w:bCs/>
        </w:rPr>
        <w:t>2.1 Relevância Acadêmica</w:t>
      </w:r>
    </w:p>
    <w:p w14:paraId="6754885D" w14:textId="77777777" w:rsidR="00730673" w:rsidRPr="00730673" w:rsidRDefault="00730673" w:rsidP="00730673">
      <w:pPr>
        <w:spacing w:line="360" w:lineRule="auto"/>
        <w:jc w:val="both"/>
      </w:pPr>
    </w:p>
    <w:p w14:paraId="3342419F" w14:textId="77777777" w:rsidR="00730673" w:rsidRPr="00730673" w:rsidRDefault="00730673" w:rsidP="00730673">
      <w:pPr>
        <w:spacing w:line="360" w:lineRule="auto"/>
        <w:jc w:val="both"/>
      </w:pPr>
      <w:r w:rsidRPr="00730673">
        <w:rPr>
          <w:rStyle w:val="citation-884"/>
          <w:rFonts w:eastAsiaTheme="majorEastAsia"/>
          <w:color w:val="000000"/>
        </w:rPr>
        <w:t>A literatura existente sobre governança regional latino-americana demonstra-se robusta ao tratar individualmente da tradição interamericana da OEA, marcada pela institucionalidade hegemônica estadunidense, e da emergência do regionalismo pós-hegemônico da CELAC</w:t>
      </w:r>
      <w:r w:rsidRPr="00730673">
        <w:t>. No entanto, esta pesquisa preenche uma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b/>
          <w:bCs/>
        </w:rPr>
        <w:t>lacuna crítica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t>ao fornecer uma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b/>
          <w:bCs/>
        </w:rPr>
        <w:t>análise comparativa aprofundada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t>sobre a coexistência e o desempenho desses dois modelos antagônicos em crises regionais específicas.</w:t>
      </w:r>
    </w:p>
    <w:p w14:paraId="6E7689CD" w14:textId="77777777" w:rsidR="00730673" w:rsidRPr="00730673" w:rsidRDefault="00730673" w:rsidP="00730673">
      <w:pPr>
        <w:spacing w:line="360" w:lineRule="auto"/>
        <w:jc w:val="both"/>
      </w:pPr>
    </w:p>
    <w:p w14:paraId="72E93BD0" w14:textId="17E91B20" w:rsidR="00730673" w:rsidRPr="00730673" w:rsidRDefault="00730673" w:rsidP="00730673">
      <w:pPr>
        <w:spacing w:line="360" w:lineRule="auto"/>
        <w:jc w:val="both"/>
      </w:pPr>
      <w:r w:rsidRPr="00730673">
        <w:t>Ao utilizar um método comparativo e a triangulação de dados (documentos</w:t>
      </w:r>
      <w:r w:rsidRPr="00730673">
        <w:t xml:space="preserve"> e </w:t>
      </w:r>
      <w:r w:rsidRPr="00730673">
        <w:t>entrevistas), o projeto vai além da descrição para testar empiricamente as hipóteses de legitimidade e eficácia. A principal contribuição teórica reside em demonstrar que a governança regional contemporânea não pode ser explicada apenas pela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b/>
          <w:bCs/>
        </w:rPr>
        <w:t>institucionalidade formal</w:t>
      </w:r>
      <w:r w:rsidRPr="00730673">
        <w:t>, mas também pela</w:t>
      </w:r>
      <w:r w:rsidRPr="00730673">
        <w:rPr>
          <w:rStyle w:val="apple-converted-space"/>
          <w:rFonts w:eastAsiaTheme="majorEastAsia"/>
          <w:color w:val="000000"/>
        </w:rPr>
        <w:t> </w:t>
      </w:r>
      <w:r w:rsidRPr="00730673">
        <w:rPr>
          <w:b/>
          <w:bCs/>
        </w:rPr>
        <w:t xml:space="preserve">legitimidade política, simbólica </w:t>
      </w:r>
      <w:r w:rsidRPr="00730673">
        <w:t>do alinhamento regional.</w:t>
      </w:r>
    </w:p>
    <w:p w14:paraId="112EDF99" w14:textId="77777777" w:rsidR="00730673" w:rsidRPr="00730673" w:rsidRDefault="00730673" w:rsidP="00730673">
      <w:pPr>
        <w:spacing w:line="360" w:lineRule="auto"/>
        <w:jc w:val="both"/>
      </w:pPr>
    </w:p>
    <w:p w14:paraId="27B40AB2" w14:textId="45604D18" w:rsidR="00730673" w:rsidRPr="00730673" w:rsidRDefault="00730673" w:rsidP="00730673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  <w:r w:rsidRPr="00730673">
        <w:rPr>
          <w:rFonts w:cs="Times New Roman"/>
          <w:b/>
          <w:bCs/>
          <w:color w:val="000000"/>
          <w:sz w:val="24"/>
          <w:szCs w:val="24"/>
        </w:rPr>
        <w:t>2</w:t>
      </w:r>
      <w:r w:rsidRPr="00730673">
        <w:rPr>
          <w:rFonts w:cs="Times New Roman"/>
          <w:b/>
          <w:bCs/>
          <w:color w:val="000000"/>
          <w:sz w:val="24"/>
          <w:szCs w:val="24"/>
        </w:rPr>
        <w:t>.2 Relevância Política e de Governança</w:t>
      </w:r>
    </w:p>
    <w:p w14:paraId="410B1925" w14:textId="77777777" w:rsidR="00730673" w:rsidRPr="00730673" w:rsidRDefault="00730673" w:rsidP="00730673">
      <w:pPr>
        <w:pStyle w:val="NormalWeb"/>
        <w:spacing w:line="360" w:lineRule="auto"/>
        <w:rPr>
          <w:color w:val="000000"/>
        </w:rPr>
      </w:pPr>
      <w:r w:rsidRPr="00730673">
        <w:rPr>
          <w:color w:val="000000"/>
        </w:rPr>
        <w:t>Do ponto de vista da Política Externa e das Relações Internacionais, o estudo é crucial para entender qual modelo regional (Hegemônico vs. Pós-Hegemônico) oferece as melhores ferramentas para a resolução de crises, a manutenção da democracia e a busca por autonomia na região.</w:t>
      </w:r>
    </w:p>
    <w:p w14:paraId="61D0690C" w14:textId="77777777" w:rsidR="00730673" w:rsidRPr="00730673" w:rsidRDefault="00730673" w:rsidP="00730673">
      <w:pPr>
        <w:pStyle w:val="NormalWeb"/>
        <w:spacing w:line="360" w:lineRule="auto"/>
        <w:rPr>
          <w:color w:val="000000"/>
        </w:rPr>
      </w:pPr>
      <w:r w:rsidRPr="00730673">
        <w:rPr>
          <w:color w:val="000000"/>
        </w:rPr>
        <w:t xml:space="preserve">A análise detalhada da seletividade da OEA (como nos casos de Honduras e Paraguai) e da legitimidade discursiva da CELAC (como no caso de Cuba) fornece subsídios essenciais para diplomatas e formuladores de política externa. O trabalho ilumina os caminhos para fortalecer mecanismos regionais de resolução de crises, destacando se a fragilidade institucional da </w:t>
      </w:r>
      <w:r w:rsidRPr="00730673">
        <w:rPr>
          <w:color w:val="000000"/>
        </w:rPr>
        <w:lastRenderedPageBreak/>
        <w:t>CELAC é um limite intransponível para a eficácia ou se, ao contrário, sua flexibilidade aumenta sua capacidade de diálogo político e resistência à tutela externa.</w:t>
      </w:r>
    </w:p>
    <w:p w14:paraId="3B59597B" w14:textId="77777777" w:rsidR="00730673" w:rsidRPr="00730673" w:rsidRDefault="00730673" w:rsidP="00730673">
      <w:pPr>
        <w:jc w:val="both"/>
        <w:rPr>
          <w:color w:val="000000"/>
        </w:rPr>
      </w:pPr>
    </w:p>
    <w:p w14:paraId="73AB6C63" w14:textId="77777777" w:rsidR="00730673" w:rsidRPr="00730673" w:rsidRDefault="00730673" w:rsidP="005E146A">
      <w:pPr>
        <w:spacing w:line="360" w:lineRule="auto"/>
        <w:ind w:firstLine="709"/>
        <w:jc w:val="both"/>
        <w:rPr>
          <w:color w:val="000000"/>
        </w:rPr>
      </w:pPr>
    </w:p>
    <w:p w14:paraId="1D3BDD19" w14:textId="77777777" w:rsidR="00137E95" w:rsidRPr="00730673" w:rsidRDefault="00C205D5" w:rsidP="00C205D5">
      <w:pPr>
        <w:pStyle w:val="Ttulo1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210326513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2 PERGUNTA DE PESQUISA</w:t>
      </w:r>
      <w:bookmarkEnd w:id="11"/>
    </w:p>
    <w:p w14:paraId="1C9DD988" w14:textId="77777777" w:rsidR="00285FC0" w:rsidRPr="00730673" w:rsidRDefault="00285FC0" w:rsidP="00C205D5">
      <w:pPr>
        <w:spacing w:line="360" w:lineRule="auto"/>
        <w:ind w:firstLine="709"/>
        <w:jc w:val="both"/>
        <w:rPr>
          <w:bCs/>
          <w:color w:val="000000"/>
        </w:rPr>
      </w:pPr>
    </w:p>
    <w:p w14:paraId="6EAEFAE3" w14:textId="519EDC26" w:rsidR="00137E95" w:rsidRPr="00730673" w:rsidRDefault="00882576" w:rsidP="00C205D5">
      <w:pPr>
        <w:spacing w:line="360" w:lineRule="auto"/>
        <w:ind w:firstLine="709"/>
        <w:jc w:val="both"/>
        <w:rPr>
          <w:color w:val="000000"/>
        </w:rPr>
      </w:pPr>
      <w:r w:rsidRPr="00730673">
        <w:rPr>
          <w:bCs/>
          <w:color w:val="000000"/>
        </w:rPr>
        <w:t>Como a</w:t>
      </w:r>
      <w:r w:rsidR="00137E95" w:rsidRPr="00730673">
        <w:rPr>
          <w:bCs/>
          <w:color w:val="000000"/>
        </w:rPr>
        <w:t xml:space="preserve"> CELAC </w:t>
      </w:r>
      <w:r w:rsidR="00B961AA" w:rsidRPr="00730673">
        <w:rPr>
          <w:bCs/>
          <w:color w:val="000000"/>
        </w:rPr>
        <w:t>exp</w:t>
      </w:r>
      <w:r w:rsidR="00C205D5" w:rsidRPr="00730673">
        <w:rPr>
          <w:bCs/>
          <w:color w:val="000000"/>
        </w:rPr>
        <w:t>ressa um modelo de governança pó</w:t>
      </w:r>
      <w:r w:rsidR="00B961AA" w:rsidRPr="00730673">
        <w:rPr>
          <w:bCs/>
          <w:color w:val="000000"/>
        </w:rPr>
        <w:t>s-hegemônica em contraste com a institucionalidade hegemônica da OEA na América Latina e no Caribe</w:t>
      </w:r>
      <w:r w:rsidR="00730673" w:rsidRPr="00730673">
        <w:rPr>
          <w:bCs/>
          <w:color w:val="000000"/>
        </w:rPr>
        <w:t>?</w:t>
      </w:r>
    </w:p>
    <w:p w14:paraId="49DBD76B" w14:textId="77777777" w:rsidR="00285FC0" w:rsidRPr="00730673" w:rsidRDefault="00285FC0" w:rsidP="00C205D5">
      <w:pPr>
        <w:spacing w:line="360" w:lineRule="auto"/>
        <w:jc w:val="both"/>
        <w:outlineLvl w:val="2"/>
        <w:rPr>
          <w:b/>
          <w:bCs/>
          <w:color w:val="000000"/>
        </w:rPr>
      </w:pPr>
    </w:p>
    <w:p w14:paraId="11E3EE94" w14:textId="6F9BE6F2" w:rsidR="00137E95" w:rsidRPr="00730673" w:rsidRDefault="00C205D5" w:rsidP="00C205D5">
      <w:pPr>
        <w:pStyle w:val="Ttulo1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210326514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 xml:space="preserve">3 REVISÃO DA </w:t>
      </w:r>
      <w:bookmarkEnd w:id="12"/>
      <w:r w:rsidR="00753A65" w:rsidRPr="00730673">
        <w:rPr>
          <w:rFonts w:ascii="Times New Roman" w:hAnsi="Times New Roman" w:cs="Times New Roman"/>
          <w:b/>
          <w:color w:val="auto"/>
          <w:sz w:val="24"/>
          <w:szCs w:val="24"/>
        </w:rPr>
        <w:t>LITERATURA E REFERENCIAL TEÓRICOS</w:t>
      </w:r>
    </w:p>
    <w:p w14:paraId="70445AE9" w14:textId="77777777" w:rsidR="00285FC0" w:rsidRPr="00730673" w:rsidRDefault="00285FC0" w:rsidP="00C205D5">
      <w:pPr>
        <w:spacing w:line="360" w:lineRule="auto"/>
        <w:ind w:firstLine="708"/>
        <w:jc w:val="both"/>
        <w:rPr>
          <w:color w:val="000000"/>
        </w:rPr>
      </w:pPr>
    </w:p>
    <w:p w14:paraId="096090DD" w14:textId="02477B0F" w:rsidR="00137E95" w:rsidRPr="00730673" w:rsidRDefault="00137E95" w:rsidP="00285FC0">
      <w:pPr>
        <w:spacing w:line="360" w:lineRule="auto"/>
        <w:ind w:firstLine="708"/>
        <w:jc w:val="both"/>
        <w:rPr>
          <w:color w:val="000000"/>
        </w:rPr>
      </w:pPr>
      <w:r w:rsidRPr="00730673">
        <w:rPr>
          <w:color w:val="000000"/>
        </w:rPr>
        <w:t>A revisão de literatura e o referencial teórico são organizados em quatro blocos: (a) a tradição interamericana representada pela OEA; (b) a emergência da CELAC como fórum político; (c) a conceituação do regionalismo pós-hegemônico; (d) os debates sobre hegemonia e autonomia na política externa latino-americana</w:t>
      </w:r>
      <w:r w:rsidR="005F7D0D" w:rsidRPr="00730673">
        <w:rPr>
          <w:color w:val="000000"/>
        </w:rPr>
        <w:t xml:space="preserve">; </w:t>
      </w:r>
      <w:r w:rsidRPr="00730673">
        <w:rPr>
          <w:color w:val="000000"/>
        </w:rPr>
        <w:t>Em seguida, serão apresentados os estudos de caso que servirão de base empírica para a pesquisa.</w:t>
      </w:r>
    </w:p>
    <w:p w14:paraId="58A21745" w14:textId="77777777" w:rsidR="00C205D5" w:rsidRPr="00730673" w:rsidRDefault="00C205D5" w:rsidP="00C205D5">
      <w:pPr>
        <w:spacing w:line="360" w:lineRule="auto"/>
        <w:ind w:firstLine="708"/>
        <w:jc w:val="both"/>
        <w:rPr>
          <w:color w:val="000000"/>
        </w:rPr>
      </w:pPr>
    </w:p>
    <w:p w14:paraId="5D63999E" w14:textId="77777777" w:rsidR="00137E95" w:rsidRPr="00730673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3" w:name="_Toc210326515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3.1 A OEA e a tradição interamericana</w:t>
      </w:r>
      <w:bookmarkEnd w:id="13"/>
    </w:p>
    <w:p w14:paraId="51091D49" w14:textId="77777777" w:rsidR="00C205D5" w:rsidRPr="00730673" w:rsidRDefault="00C205D5" w:rsidP="00C205D5"/>
    <w:p w14:paraId="65B56005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OEA foi criada na Conferência de Bogotá, em 1948, como parte do esforço estadunidense de consolidar sua liderança hemisférica no início da Guerra Fria. A Carta da OEA estabeleceu princípios como democracia representativa, defesa coletiva e não intervenção. Contudo, na prática, a organização operou como instrumento da política externa dos EUA.</w:t>
      </w:r>
    </w:p>
    <w:p w14:paraId="7A318C3C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Exemplos não faltam. Em 1962, a OEA suspendeu Cuba após a revolução socialista liderada por Fidel Castro, alegando incompatibilidade entre marxismo-leninismo e os princípios do sistema interamericano. Essa decisão simbolizou a exclusão ideológica e reforçou a percepção de que a OEA servia como braço da Guerra Fria.</w:t>
      </w:r>
    </w:p>
    <w:p w14:paraId="59DDD3A1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Outro episódio foi a intervenção na República Dominicana em 1965. Sob o pretexto de conter o avanço do comunismo, os EUA enviaram tropas ao país caribenho e a OEA legitimou a ação, estabelecendo a Força Interamericana de Paz. Esse caso reforçou críticas de que a organização, em vez de garantir a não intervenção, funcionava como mecanismo de validação para a política de segurança de Washington.</w:t>
      </w:r>
    </w:p>
    <w:p w14:paraId="2E0CAED1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Nas décadas de 1970 e 1980, a OEA conviveu com ditaduras militares em diversos países do Cone Sul. Apesar de dispor da CIDH desde 1959, o organismo teve dificuldades para </w:t>
      </w:r>
      <w:r w:rsidRPr="00730673">
        <w:rPr>
          <w:color w:val="000000"/>
        </w:rPr>
        <w:lastRenderedPageBreak/>
        <w:t>enfrentar violações de direitos humanos. Ainda assim, a CIDH publicou relatórios históricos denunciando abusos na Argentina (1979) e no Chile (1985). Tais relatórios, embora relevantes, foram insuficientes para reverter a percepção de seletividade e ineficácia.</w:t>
      </w:r>
    </w:p>
    <w:p w14:paraId="379B4DE9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Nos anos 1990, com a redemocratização da região e o fim da Guerra Fria, a OEA buscou se reposicionar como defensora da democracia. Foi nesse contexto que lançou missões de observação eleitoral e, em 2001, aprovou a Carta Democrática Interamericana. Esse documento representou avanço normativo, mas sua aplicação prática continuou desigual.</w:t>
      </w:r>
    </w:p>
    <w:p w14:paraId="5C08B025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Em Honduras (2009), após o golpe contra Manuel Zelaya, a OEA suspendeu o país, demonstrando rapidez na aplicação da Carta Democrática. Porém, no Paraguai (2012), diante do impeachment sumário de Fernando Lugo, a organização foi criticada por complacência e timidez. Essa seletividade confirma a tese de </w:t>
      </w:r>
      <w:proofErr w:type="spellStart"/>
      <w:r w:rsidRPr="00730673">
        <w:rPr>
          <w:color w:val="000000"/>
        </w:rPr>
        <w:t>Malamud</w:t>
      </w:r>
      <w:proofErr w:type="spellEnd"/>
      <w:r w:rsidRPr="00730673">
        <w:rPr>
          <w:color w:val="000000"/>
        </w:rPr>
        <w:t xml:space="preserve"> (2017), segundo a qual a OEA é ao mesmo tempo necessária e irrelevante: necessária porque mantém institucionalidade, irrelevante porque raramente atua de forma autônoma em relação aos EUA.</w:t>
      </w:r>
    </w:p>
    <w:p w14:paraId="545A66BD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Do ponto de vista teórico, a OEA encarna o </w:t>
      </w:r>
      <w:r w:rsidRPr="00730673">
        <w:rPr>
          <w:bCs/>
          <w:color w:val="000000"/>
        </w:rPr>
        <w:t>interamericanismo tradicional</w:t>
      </w:r>
      <w:r w:rsidRPr="00730673">
        <w:rPr>
          <w:color w:val="000000"/>
        </w:rPr>
        <w:t>, baseado na centralidade de Washington e na crença de que a democracia e a estabilidade hemisférica só podem ser garantidas sob liderança estadunidense. Essa concepção, entretanto, entrou em crise à medida que emergiram alternativas regionais.</w:t>
      </w:r>
    </w:p>
    <w:p w14:paraId="2B243EB2" w14:textId="77777777" w:rsidR="00285FC0" w:rsidRPr="00730673" w:rsidRDefault="00285FC0" w:rsidP="00C205D5">
      <w:pPr>
        <w:spacing w:line="360" w:lineRule="auto"/>
        <w:jc w:val="both"/>
        <w:rPr>
          <w:color w:val="000000"/>
        </w:rPr>
      </w:pPr>
    </w:p>
    <w:p w14:paraId="28860AEE" w14:textId="77777777" w:rsidR="00137E95" w:rsidRPr="00730673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210326516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3.2 A emergência da CELAC</w:t>
      </w:r>
      <w:bookmarkEnd w:id="14"/>
    </w:p>
    <w:p w14:paraId="395E2540" w14:textId="77777777" w:rsidR="00C205D5" w:rsidRPr="00730673" w:rsidRDefault="00C205D5" w:rsidP="00C205D5">
      <w:pPr>
        <w:spacing w:line="360" w:lineRule="auto"/>
      </w:pPr>
    </w:p>
    <w:p w14:paraId="6BC7EB74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CELAC surgiu em 2010, na cúpula de Cancún, e foi institucionalizada em 2011, em Caracas. Diferente da OEA, não é um organismo internacional com carta constitutiva, mas sim um fórum intergovernamental baseado no consenso. Reúne todos os 33 países da América Latina e Caribe, excluindo explicitamente os Estados Unidos e o Canadá.</w:t>
      </w:r>
    </w:p>
    <w:p w14:paraId="6FA0ADDC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criação da CELAC reflete o contexto político da chamada “onda progressista” latino-americana. Presidentes como Hugo Chávez (Venezuela), Luiz Inácio Lula da Silva (Brasil), Rafael Correa (Equador) e Evo Morales (Bolívia) buscavam maior autonomia regional, afastando-se da lógica hegemônica da OEA. Nesse sentido, a CELAC nasceu como espaço de concertação política, e não como instituição com poderes jurídicos vinculantes.</w:t>
      </w:r>
    </w:p>
    <w:p w14:paraId="023AC058" w14:textId="4AF7BC76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Sua fragilidade institucional é evidente: não possui sede, orçamento fixo, secretariado permanente ou mecanismos de sanção. No entanto, essa mesma fragilidade é </w:t>
      </w:r>
      <w:proofErr w:type="spellStart"/>
      <w:r w:rsidRPr="00730673">
        <w:rPr>
          <w:color w:val="000000"/>
        </w:rPr>
        <w:t>interp</w:t>
      </w:r>
      <w:proofErr w:type="spellEnd"/>
      <w:r w:rsidR="00753A65" w:rsidRPr="00730673">
        <w:rPr>
          <w:color w:val="000000"/>
        </w:rPr>
        <w:t xml:space="preserve"> </w:t>
      </w:r>
      <w:r w:rsidRPr="00730673">
        <w:rPr>
          <w:color w:val="000000"/>
        </w:rPr>
        <w:t xml:space="preserve">retada por alguns autores como recurso político. </w:t>
      </w:r>
      <w:proofErr w:type="spellStart"/>
      <w:r w:rsidRPr="00730673">
        <w:rPr>
          <w:color w:val="000000"/>
        </w:rPr>
        <w:t>Sanahuja</w:t>
      </w:r>
      <w:proofErr w:type="spellEnd"/>
      <w:r w:rsidRPr="00730673">
        <w:rPr>
          <w:color w:val="000000"/>
        </w:rPr>
        <w:t xml:space="preserve"> (2014) argumenta que a CELAC é símbolo do regionalismo pós-hegemônico: ao excluir Washington, afirma autonomia regional; ao funcionar com base no consenso, reforça soberania dos Estados.</w:t>
      </w:r>
    </w:p>
    <w:p w14:paraId="22F1A758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lastRenderedPageBreak/>
        <w:t>A CELAC protagonizou declarações políticas relevantes. Em Havana (2014), proclamou a América Latina e Caribe como “zona de paz”, destacando a solução pacífica de controvérsias e o respeito à soberania. Em outros momentos, atuou como espaço de diálogo sobre integração produtiva, infraestrutura e desenvolvimento sustentável.</w:t>
      </w:r>
    </w:p>
    <w:p w14:paraId="2BAD975D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CELAC também teve papel simbólico na reinserção de Cuba no cenário regional. Enquanto a OEA manteve a suspensão de Havana por décadas, a CELAC sempre contou com Cuba como membro pleno. Esse contraste evidencia o caráter inclusivo da CELAC e sua disposição de questionar exclusões ideológicas herdadas da Guerra Fria.</w:t>
      </w:r>
    </w:p>
    <w:p w14:paraId="3D94A4B3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Ainda que limitada em termos de capacidade operacional, a CELAC se consolidou como foro alternativo que dá voz a uma concepção distinta de governança regional, menos hierárquica e mais autônoma.</w:t>
      </w:r>
    </w:p>
    <w:p w14:paraId="0A7F3FAC" w14:textId="77777777" w:rsidR="00C205D5" w:rsidRPr="00730673" w:rsidRDefault="00C205D5" w:rsidP="00285FC0">
      <w:pPr>
        <w:spacing w:line="360" w:lineRule="auto"/>
        <w:ind w:firstLine="709"/>
        <w:jc w:val="both"/>
        <w:rPr>
          <w:color w:val="000000"/>
        </w:rPr>
      </w:pPr>
    </w:p>
    <w:p w14:paraId="4EBA5864" w14:textId="77777777" w:rsidR="00137E95" w:rsidRPr="00730673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5" w:name="_Toc210326517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3.3 Regionalismo pós-hegemônico</w:t>
      </w:r>
      <w:bookmarkEnd w:id="15"/>
    </w:p>
    <w:p w14:paraId="5DDDC2ED" w14:textId="77777777" w:rsidR="00285FC0" w:rsidRPr="00730673" w:rsidRDefault="00285FC0" w:rsidP="00C205D5">
      <w:pPr>
        <w:spacing w:line="360" w:lineRule="auto"/>
        <w:ind w:firstLine="709"/>
        <w:jc w:val="both"/>
        <w:rPr>
          <w:color w:val="000000"/>
        </w:rPr>
      </w:pPr>
    </w:p>
    <w:p w14:paraId="1F8BECB2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O conceito de regionalismo pós-hegemônico é central para compreender a CELAC. Formulado por autores como </w:t>
      </w:r>
      <w:proofErr w:type="spellStart"/>
      <w:r w:rsidRPr="00730673">
        <w:rPr>
          <w:color w:val="000000"/>
        </w:rPr>
        <w:t>Pía</w:t>
      </w:r>
      <w:proofErr w:type="spellEnd"/>
      <w:r w:rsidRPr="00730673">
        <w:rPr>
          <w:color w:val="000000"/>
        </w:rPr>
        <w:t xml:space="preserve"> </w:t>
      </w:r>
      <w:proofErr w:type="spellStart"/>
      <w:r w:rsidRPr="00730673">
        <w:rPr>
          <w:color w:val="000000"/>
        </w:rPr>
        <w:t>Riggirozzi</w:t>
      </w:r>
      <w:proofErr w:type="spellEnd"/>
      <w:r w:rsidRPr="00730673">
        <w:rPr>
          <w:color w:val="000000"/>
        </w:rPr>
        <w:t xml:space="preserve"> e Diana </w:t>
      </w:r>
      <w:proofErr w:type="spellStart"/>
      <w:r w:rsidRPr="00730673">
        <w:rPr>
          <w:color w:val="000000"/>
        </w:rPr>
        <w:t>Tussie</w:t>
      </w:r>
      <w:proofErr w:type="spellEnd"/>
      <w:r w:rsidRPr="00730673">
        <w:rPr>
          <w:color w:val="000000"/>
        </w:rPr>
        <w:t xml:space="preserve"> (2012), descreve um modelo de integração que emergiu nos anos 2000, em reação tanto ao neoliberalismo dos anos 1990 quanto à hegemonia estadunidense.</w:t>
      </w:r>
    </w:p>
    <w:p w14:paraId="56042009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Três características principais marcam esse regionalismo:</w:t>
      </w:r>
    </w:p>
    <w:p w14:paraId="774DDC06" w14:textId="77777777" w:rsidR="00137E95" w:rsidRPr="00730673" w:rsidRDefault="00137E95" w:rsidP="00285FC0">
      <w:pPr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</w:rPr>
      </w:pPr>
      <w:r w:rsidRPr="00730673">
        <w:rPr>
          <w:bCs/>
          <w:color w:val="000000"/>
        </w:rPr>
        <w:t>Exclusão dos EUA dos processos decisórios.</w:t>
      </w:r>
    </w:p>
    <w:p w14:paraId="00FEBB75" w14:textId="77777777" w:rsidR="00137E95" w:rsidRPr="00730673" w:rsidRDefault="00137E95" w:rsidP="00285FC0">
      <w:pPr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</w:rPr>
      </w:pPr>
      <w:r w:rsidRPr="00730673">
        <w:rPr>
          <w:bCs/>
          <w:color w:val="000000"/>
        </w:rPr>
        <w:t>Ênfase na soberania e na não intervenção.</w:t>
      </w:r>
    </w:p>
    <w:p w14:paraId="476A32EC" w14:textId="77777777" w:rsidR="00137E95" w:rsidRPr="00730673" w:rsidRDefault="00137E95" w:rsidP="00285FC0">
      <w:pPr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</w:rPr>
      </w:pPr>
      <w:r w:rsidRPr="00730673">
        <w:rPr>
          <w:bCs/>
          <w:color w:val="000000"/>
        </w:rPr>
        <w:t>Flexibilidade institucional, sem regras vinculantes.</w:t>
      </w:r>
    </w:p>
    <w:p w14:paraId="50306326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proofErr w:type="spellStart"/>
      <w:r w:rsidRPr="00730673">
        <w:rPr>
          <w:color w:val="000000"/>
        </w:rPr>
        <w:t>Briceño</w:t>
      </w:r>
      <w:proofErr w:type="spellEnd"/>
      <w:r w:rsidRPr="00730673">
        <w:rPr>
          <w:color w:val="000000"/>
        </w:rPr>
        <w:t xml:space="preserve"> Ruiz (2013) sustenta que o pós-hegemonismo não deve ser entendido apenas como resistência, mas como afirmação de agendas próprias de desenvolvimento e inclusão social. Autores como </w:t>
      </w:r>
      <w:proofErr w:type="spellStart"/>
      <w:r w:rsidRPr="00730673">
        <w:rPr>
          <w:color w:val="000000"/>
        </w:rPr>
        <w:t>Detlef</w:t>
      </w:r>
      <w:proofErr w:type="spellEnd"/>
      <w:r w:rsidRPr="00730673">
        <w:rPr>
          <w:color w:val="000000"/>
        </w:rPr>
        <w:t xml:space="preserve"> Nolte (2018) acrescentam que o regionalismo pós-hegemônico expressa a fragmentação das iniciativas regionais, resultando em múltiplos arranjos sobrepostos, entre eles CELAC, UNASUL e ALBA.</w:t>
      </w:r>
    </w:p>
    <w:p w14:paraId="6B587ED2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CELAC exemplifica esse modelo ao priorizar soberania, consenso e inclusão. Seu funcionamento contrasta com a OEA, que dispõe de institucionalidade rígida, mas é percebida como instrumento hegemônico.</w:t>
      </w:r>
    </w:p>
    <w:p w14:paraId="3D062C36" w14:textId="77777777" w:rsidR="00285FC0" w:rsidRPr="00730673" w:rsidRDefault="00285FC0" w:rsidP="00285FC0">
      <w:pPr>
        <w:jc w:val="both"/>
        <w:outlineLvl w:val="3"/>
        <w:rPr>
          <w:b/>
          <w:bCs/>
          <w:color w:val="000000"/>
        </w:rPr>
      </w:pPr>
    </w:p>
    <w:p w14:paraId="30DAD914" w14:textId="77777777" w:rsidR="00C205D5" w:rsidRPr="00730673" w:rsidRDefault="00C205D5" w:rsidP="00285FC0">
      <w:pPr>
        <w:jc w:val="both"/>
        <w:outlineLvl w:val="3"/>
        <w:rPr>
          <w:b/>
          <w:bCs/>
          <w:color w:val="000000"/>
        </w:rPr>
      </w:pPr>
    </w:p>
    <w:p w14:paraId="56C6965A" w14:textId="77777777" w:rsidR="00C205D5" w:rsidRPr="00730673" w:rsidRDefault="00C205D5" w:rsidP="00285FC0">
      <w:pPr>
        <w:jc w:val="both"/>
        <w:outlineLvl w:val="3"/>
        <w:rPr>
          <w:b/>
          <w:bCs/>
          <w:color w:val="000000"/>
        </w:rPr>
      </w:pPr>
    </w:p>
    <w:p w14:paraId="1B82DC7B" w14:textId="77777777" w:rsidR="00C205D5" w:rsidRPr="00730673" w:rsidRDefault="00C205D5" w:rsidP="00285FC0">
      <w:pPr>
        <w:jc w:val="both"/>
        <w:outlineLvl w:val="3"/>
        <w:rPr>
          <w:b/>
          <w:bCs/>
          <w:color w:val="000000"/>
        </w:rPr>
      </w:pPr>
    </w:p>
    <w:p w14:paraId="06510FBD" w14:textId="77777777" w:rsidR="00137E95" w:rsidRPr="00730673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210326518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3.4 Hegemonia, autonomia e política externa</w:t>
      </w:r>
      <w:bookmarkEnd w:id="16"/>
    </w:p>
    <w:p w14:paraId="6ED569D9" w14:textId="77777777" w:rsidR="00C205D5" w:rsidRPr="00730673" w:rsidRDefault="00C205D5" w:rsidP="00C205D5"/>
    <w:p w14:paraId="0C4A9FC6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O conceito de hegemonia, inspirado em Gramsci, é aplicado às relações internacionais por Robert Cox (1987), que define hegemonia como combinação de poder material, liderança ideológica e institucionalização de normas. No sistema interamericano, a OEA representa a institucionalização da hegemonia estadunidense.</w:t>
      </w:r>
    </w:p>
    <w:p w14:paraId="25E01ED0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Por outro lado, </w:t>
      </w:r>
      <w:proofErr w:type="spellStart"/>
      <w:r w:rsidRPr="00730673">
        <w:rPr>
          <w:color w:val="000000"/>
        </w:rPr>
        <w:t>Tokatlian</w:t>
      </w:r>
      <w:proofErr w:type="spellEnd"/>
      <w:r w:rsidRPr="00730673">
        <w:rPr>
          <w:color w:val="000000"/>
        </w:rPr>
        <w:t xml:space="preserve"> (2011) argumenta que a política externa latino-americana oscila entre acomodação e autonomia. A CELAC encarna essa busca de autonomia coletiva, funcionando como espaço de contestação e resistência.</w:t>
      </w:r>
    </w:p>
    <w:p w14:paraId="220AC7AA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Andrew </w:t>
      </w:r>
      <w:proofErr w:type="spellStart"/>
      <w:r w:rsidRPr="00730673">
        <w:rPr>
          <w:color w:val="000000"/>
        </w:rPr>
        <w:t>Hurrell</w:t>
      </w:r>
      <w:proofErr w:type="spellEnd"/>
      <w:r w:rsidRPr="00730673">
        <w:rPr>
          <w:color w:val="000000"/>
        </w:rPr>
        <w:t xml:space="preserve"> (1995) acrescenta que os projetos de integração regional refletem não apenas condições externas, mas também disputas internas de identidade e legitimidade. A CELAC simboliza a tentativa de construir identidade política latino-americana autônoma, ainda que sem mecanismos de </w:t>
      </w:r>
      <w:proofErr w:type="spellStart"/>
      <w:r w:rsidRPr="00730673">
        <w:rPr>
          <w:i/>
          <w:color w:val="000000"/>
        </w:rPr>
        <w:t>enforcement</w:t>
      </w:r>
      <w:proofErr w:type="spellEnd"/>
      <w:r w:rsidRPr="00730673">
        <w:rPr>
          <w:color w:val="000000"/>
        </w:rPr>
        <w:t>.</w:t>
      </w:r>
    </w:p>
    <w:p w14:paraId="129A7DC8" w14:textId="77777777" w:rsidR="00285FC0" w:rsidRPr="00730673" w:rsidRDefault="00285FC0" w:rsidP="00285FC0">
      <w:pPr>
        <w:spacing w:line="360" w:lineRule="auto"/>
        <w:ind w:firstLine="709"/>
        <w:jc w:val="both"/>
        <w:rPr>
          <w:color w:val="000000"/>
        </w:rPr>
      </w:pPr>
    </w:p>
    <w:p w14:paraId="4BD81DE6" w14:textId="77777777" w:rsidR="00137E95" w:rsidRPr="00730673" w:rsidRDefault="00137E95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7" w:name="_Toc210326519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3.5 Estudos de caso</w:t>
      </w:r>
      <w:bookmarkEnd w:id="17"/>
    </w:p>
    <w:p w14:paraId="3CFFDBE5" w14:textId="77777777" w:rsidR="00285FC0" w:rsidRPr="00730673" w:rsidRDefault="00285FC0" w:rsidP="00285FC0">
      <w:pPr>
        <w:spacing w:line="360" w:lineRule="auto"/>
        <w:ind w:firstLine="709"/>
        <w:jc w:val="both"/>
        <w:rPr>
          <w:color w:val="000000"/>
        </w:rPr>
      </w:pPr>
    </w:p>
    <w:p w14:paraId="3EA3A3C7" w14:textId="77777777" w:rsidR="00137E95" w:rsidRPr="00730673" w:rsidRDefault="00137E95" w:rsidP="00285FC0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Os estudos de caso escolhidos ilustram como a OEA e a CELAC se posicionaram diante de crises específicas:</w:t>
      </w:r>
    </w:p>
    <w:p w14:paraId="26CEDCFD" w14:textId="77777777" w:rsidR="00137E95" w:rsidRPr="00730673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bCs/>
          <w:color w:val="000000"/>
        </w:rPr>
        <w:t>Honduras (2009):</w:t>
      </w:r>
      <w:r w:rsidRPr="00730673">
        <w:rPr>
          <w:color w:val="000000"/>
        </w:rPr>
        <w:t> após o golpe contra Manuel Zelaya, a OEA suspendeu o país, mas não conseguiu reverter a ruptura. A crise estimulou a criação da CELAC como alternativa.</w:t>
      </w:r>
    </w:p>
    <w:p w14:paraId="59C51189" w14:textId="77777777" w:rsidR="00137E95" w:rsidRPr="00730673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bCs/>
          <w:color w:val="000000"/>
        </w:rPr>
        <w:t>Paraguai (2012):</w:t>
      </w:r>
      <w:r w:rsidRPr="00730673">
        <w:rPr>
          <w:color w:val="000000"/>
        </w:rPr>
        <w:t> o impeachment sumário de Fernando Lugo foi tratado timidamente pela OEA; a CELAC e o MERCOSUL condenaram o processo.</w:t>
      </w:r>
    </w:p>
    <w:p w14:paraId="783E8AA2" w14:textId="77777777" w:rsidR="00137E95" w:rsidRPr="00730673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bCs/>
          <w:color w:val="000000"/>
        </w:rPr>
        <w:t>Nicarágua (2018):</w:t>
      </w:r>
      <w:r w:rsidRPr="00730673">
        <w:rPr>
          <w:color w:val="000000"/>
        </w:rPr>
        <w:t> a OEA condenou a repressão de Ortega; a CELAC defendeu soberania.</w:t>
      </w:r>
    </w:p>
    <w:p w14:paraId="12596F33" w14:textId="77777777" w:rsidR="00137E95" w:rsidRPr="00730673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bCs/>
          <w:color w:val="000000"/>
        </w:rPr>
        <w:t>Bolívia (2019):</w:t>
      </w:r>
      <w:r w:rsidRPr="00730673">
        <w:rPr>
          <w:color w:val="000000"/>
        </w:rPr>
        <w:t> a OEA denunciou fraude eleitoral, legitimando a queda de Evo Morales; a CELAC manteve neutralidade.</w:t>
      </w:r>
    </w:p>
    <w:p w14:paraId="0C0BC53B" w14:textId="77777777" w:rsidR="00137E95" w:rsidRPr="00730673" w:rsidRDefault="00137E95" w:rsidP="00285FC0">
      <w:pPr>
        <w:numPr>
          <w:ilvl w:val="0"/>
          <w:numId w:val="16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bCs/>
          <w:color w:val="000000"/>
        </w:rPr>
        <w:t>Colômbia (2016+):</w:t>
      </w:r>
      <w:r w:rsidRPr="00730673">
        <w:rPr>
          <w:color w:val="000000"/>
        </w:rPr>
        <w:t> a OEA atuou por meio da MAPP no acompanhamento do acordo de paz; a CELAC declarou apoio político.</w:t>
      </w:r>
    </w:p>
    <w:p w14:paraId="47415364" w14:textId="77777777" w:rsidR="00285FC0" w:rsidRPr="00730673" w:rsidRDefault="00285FC0" w:rsidP="00285FC0">
      <w:pPr>
        <w:spacing w:line="360" w:lineRule="auto"/>
        <w:ind w:left="714"/>
        <w:jc w:val="both"/>
        <w:rPr>
          <w:color w:val="000000"/>
        </w:rPr>
      </w:pPr>
    </w:p>
    <w:p w14:paraId="30290197" w14:textId="5F9B1CB2" w:rsidR="00BE18E0" w:rsidRPr="00730673" w:rsidRDefault="00882576" w:rsidP="00C205D5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8" w:name="_Toc210326520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4 HIPÓTESE</w:t>
      </w:r>
      <w:bookmarkEnd w:id="18"/>
    </w:p>
    <w:p w14:paraId="302EC4AA" w14:textId="77777777" w:rsidR="00285FC0" w:rsidRPr="00730673" w:rsidRDefault="00285FC0" w:rsidP="00C205D5">
      <w:pPr>
        <w:spacing w:line="360" w:lineRule="auto"/>
        <w:ind w:firstLine="709"/>
        <w:jc w:val="both"/>
        <w:rPr>
          <w:color w:val="000000"/>
        </w:rPr>
      </w:pPr>
    </w:p>
    <w:p w14:paraId="3A129080" w14:textId="77777777" w:rsidR="00730673" w:rsidRPr="00105E72" w:rsidRDefault="00730673" w:rsidP="00730673">
      <w:pPr>
        <w:spacing w:after="100" w:afterAutospacing="1"/>
        <w:outlineLvl w:val="2"/>
        <w:rPr>
          <w:b/>
          <w:bCs/>
          <w:color w:val="000000"/>
          <w:sz w:val="27"/>
          <w:szCs w:val="27"/>
        </w:rPr>
      </w:pPr>
      <w:r w:rsidRPr="00105E72">
        <w:rPr>
          <w:b/>
          <w:bCs/>
          <w:color w:val="000000"/>
          <w:sz w:val="27"/>
          <w:szCs w:val="27"/>
        </w:rPr>
        <w:t xml:space="preserve">Hipótese Central </w:t>
      </w:r>
    </w:p>
    <w:p w14:paraId="753E635A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lastRenderedPageBreak/>
        <w:t>A </w:t>
      </w:r>
      <w:r w:rsidRPr="00105E72">
        <w:rPr>
          <w:b/>
          <w:bCs/>
          <w:color w:val="000000"/>
        </w:rPr>
        <w:t>Comunidade de Estados Latino-Americanos e Caribenhos (CELAC) opera primariamente como um fórum político de governança pós-hegemônica, utilizando a flexibilidade institucional e a coerência discursiva como fontes de legitimidade e autonomia regional, em contraste direto com a Organização dos Estados Americanos (OEA), que representa a institucionalização histórica da hegemonia estadunidense no hemisfério</w:t>
      </w:r>
      <w:r w:rsidRPr="00105E72">
        <w:rPr>
          <w:color w:val="000000"/>
        </w:rPr>
        <w:t>.</w:t>
      </w:r>
    </w:p>
    <w:p w14:paraId="75766043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Esta hipótese estabelece que a CELAC não deve ser avaliada apenas por sua </w:t>
      </w:r>
      <w:r w:rsidRPr="00105E72">
        <w:rPr>
          <w:b/>
          <w:bCs/>
          <w:color w:val="000000"/>
        </w:rPr>
        <w:t>eficácia prática</w:t>
      </w:r>
      <w:r w:rsidRPr="00105E72">
        <w:rPr>
          <w:color w:val="000000"/>
        </w:rPr>
        <w:t> (capacidade de reverter crises), mas sim por sua </w:t>
      </w:r>
      <w:r w:rsidRPr="00105E72">
        <w:rPr>
          <w:b/>
          <w:bCs/>
          <w:color w:val="000000"/>
        </w:rPr>
        <w:t>eficácia simbólica e política</w:t>
      </w:r>
      <w:r w:rsidRPr="00105E72">
        <w:rPr>
          <w:color w:val="000000"/>
        </w:rPr>
        <w:t> (capacidade de criar uma narrativa autônoma e inclusiva que desafie a OEA). O contraste é definido pela natureza da legitimidade: a OEA busca legitimidade na </w:t>
      </w:r>
      <w:r w:rsidRPr="00105E72">
        <w:rPr>
          <w:b/>
          <w:bCs/>
          <w:color w:val="000000"/>
        </w:rPr>
        <w:t>institucionalidade formal</w:t>
      </w:r>
      <w:r w:rsidRPr="00105E72">
        <w:rPr>
          <w:color w:val="000000"/>
        </w:rPr>
        <w:t> e na condicionalidade democrática, ao passo que a CELAC a constrói na </w:t>
      </w:r>
      <w:r w:rsidRPr="00105E72">
        <w:rPr>
          <w:b/>
          <w:bCs/>
          <w:color w:val="000000"/>
        </w:rPr>
        <w:t>soberania absoluta, no consenso político e na exclusão da tutela externa</w:t>
      </w:r>
      <w:r w:rsidRPr="00105E72">
        <w:rPr>
          <w:color w:val="000000"/>
        </w:rPr>
        <w:t>.</w:t>
      </w:r>
    </w:p>
    <w:p w14:paraId="5957F22F" w14:textId="77777777" w:rsidR="00730673" w:rsidRPr="00105E72" w:rsidRDefault="00730673" w:rsidP="00730673">
      <w:pPr>
        <w:spacing w:line="360" w:lineRule="auto"/>
        <w:jc w:val="both"/>
        <w:rPr>
          <w:color w:val="000000"/>
        </w:rPr>
      </w:pPr>
    </w:p>
    <w:p w14:paraId="1DF2DB0E" w14:textId="77777777" w:rsidR="00730673" w:rsidRPr="00105E72" w:rsidRDefault="00730673" w:rsidP="00730673">
      <w:pPr>
        <w:spacing w:after="100" w:afterAutospacing="1" w:line="360" w:lineRule="auto"/>
        <w:jc w:val="both"/>
        <w:outlineLvl w:val="2"/>
        <w:rPr>
          <w:b/>
          <w:bCs/>
          <w:color w:val="000000"/>
          <w:sz w:val="27"/>
          <w:szCs w:val="27"/>
        </w:rPr>
      </w:pPr>
      <w:r w:rsidRPr="00105E72">
        <w:rPr>
          <w:b/>
          <w:bCs/>
          <w:color w:val="000000"/>
          <w:sz w:val="27"/>
          <w:szCs w:val="27"/>
        </w:rPr>
        <w:t xml:space="preserve">Hipótese Secundária </w:t>
      </w:r>
    </w:p>
    <w:p w14:paraId="08CA63BC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A </w:t>
      </w:r>
      <w:r w:rsidRPr="00105E72">
        <w:rPr>
          <w:b/>
          <w:bCs/>
          <w:color w:val="000000"/>
        </w:rPr>
        <w:t>coexistência entre a OEA e a CELAC não representa uma redundância desnecessária de organismos regionais, mas sim a manifestação de uma dualidade funcional de modelos de governança: a OEA prevalece como uma arena normativa e jurídica dotada de mecanismos coercitivos, enquanto a CELAC se consolidou como o fórum essencial de diálogo político e resistência à hegemonia externa</w:t>
      </w:r>
      <w:r w:rsidRPr="00105E72">
        <w:rPr>
          <w:color w:val="000000"/>
        </w:rPr>
        <w:t>.</w:t>
      </w:r>
    </w:p>
    <w:p w14:paraId="5760C6E3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Esta hipótese aprofunda o entendimento da coexistência, argumentando que a irrelevância de um organismo não implica a eliminação do outro. Pelo contrário, a competição funcional sustenta a sobrevivência de ambos. A CELAC, ao oferecer um espaço de diálogo livre dos EUA, exerce uma função de </w:t>
      </w:r>
      <w:r w:rsidRPr="00105E72">
        <w:rPr>
          <w:b/>
          <w:bCs/>
          <w:color w:val="000000"/>
        </w:rPr>
        <w:t>legitimação política</w:t>
      </w:r>
      <w:r w:rsidRPr="00105E72">
        <w:rPr>
          <w:color w:val="000000"/>
        </w:rPr>
        <w:t> para governos que buscam autonomia, enquanto a OEA, mesmo sob críticas de seletividade, mantém o monopólio de funções cruciais como a observação eleitoral e a defesa dos Direitos Humanos por meio da CIDH. Assim, a dualidade reflete a complexa política externa latino-americana que oscila entre a </w:t>
      </w:r>
      <w:r w:rsidRPr="00105E72">
        <w:rPr>
          <w:b/>
          <w:bCs/>
          <w:color w:val="000000"/>
        </w:rPr>
        <w:t>acomodação pragmática (OEA)</w:t>
      </w:r>
      <w:r w:rsidRPr="00105E72">
        <w:rPr>
          <w:color w:val="000000"/>
        </w:rPr>
        <w:t> e a </w:t>
      </w:r>
      <w:r w:rsidRPr="00105E72">
        <w:rPr>
          <w:b/>
          <w:bCs/>
          <w:color w:val="000000"/>
        </w:rPr>
        <w:t>autonomia ideológica (CELAC)</w:t>
      </w:r>
      <w:r w:rsidRPr="00105E72">
        <w:rPr>
          <w:color w:val="000000"/>
        </w:rPr>
        <w:t>.</w:t>
      </w:r>
    </w:p>
    <w:p w14:paraId="1D2075D7" w14:textId="77777777" w:rsidR="00285FC0" w:rsidRPr="00730673" w:rsidRDefault="00285FC0" w:rsidP="00285FC0">
      <w:pPr>
        <w:spacing w:line="360" w:lineRule="auto"/>
        <w:jc w:val="both"/>
        <w:rPr>
          <w:color w:val="000000"/>
        </w:rPr>
      </w:pPr>
    </w:p>
    <w:p w14:paraId="0155694A" w14:textId="77777777" w:rsidR="00BE18E0" w:rsidRPr="00730673" w:rsidRDefault="00C205D5" w:rsidP="00C205D5">
      <w:pPr>
        <w:pStyle w:val="Ttulo1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9" w:name="_Toc210326521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5 MÉTODO DE ABORDAGEM</w:t>
      </w:r>
      <w:bookmarkEnd w:id="19"/>
    </w:p>
    <w:p w14:paraId="0A3E1427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A metodologia adotada para este trabalho será </w:t>
      </w:r>
      <w:r w:rsidRPr="00105E72">
        <w:rPr>
          <w:b/>
          <w:bCs/>
          <w:color w:val="000000"/>
        </w:rPr>
        <w:t>qualitativa, comparativa e exploratória</w:t>
      </w:r>
      <w:r w:rsidRPr="00105E72">
        <w:rPr>
          <w:color w:val="000000"/>
        </w:rPr>
        <w:t xml:space="preserve">, combinando análise documental, entrevistas </w:t>
      </w:r>
      <w:proofErr w:type="spellStart"/>
      <w:r w:rsidRPr="00105E72">
        <w:rPr>
          <w:color w:val="000000"/>
        </w:rPr>
        <w:t>semiestrutradas</w:t>
      </w:r>
      <w:proofErr w:type="spellEnd"/>
      <w:r w:rsidRPr="00105E72">
        <w:rPr>
          <w:color w:val="000000"/>
        </w:rPr>
        <w:t xml:space="preserve"> e, subsequentemente, a rigorosa triangulação de dados. O objetivo central não é apenas a descrição de eventos históricos, mas sim a busca por uma </w:t>
      </w:r>
      <w:r w:rsidRPr="00105E72">
        <w:rPr>
          <w:b/>
          <w:bCs/>
          <w:color w:val="000000"/>
        </w:rPr>
        <w:t>compreensão aprofundada</w:t>
      </w:r>
      <w:r w:rsidRPr="00105E72">
        <w:rPr>
          <w:color w:val="000000"/>
        </w:rPr>
        <w:t> das dinâmicas institucionais, das narrativas políticas e das percepções de legitimidade que permeiam a disputa pela governança regional entre a OEA e a CELAC.</w:t>
      </w:r>
    </w:p>
    <w:p w14:paraId="0A97C6E1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A meta metodológica final é atingir uma </w:t>
      </w:r>
      <w:r w:rsidRPr="00105E72">
        <w:rPr>
          <w:b/>
          <w:bCs/>
          <w:color w:val="000000"/>
        </w:rPr>
        <w:t>compreensão aprofundada</w:t>
      </w:r>
      <w:r w:rsidRPr="00105E72">
        <w:rPr>
          <w:color w:val="000000"/>
        </w:rPr>
        <w:t> da disputa pela governança regional na América Latina, comparando como a OEA e a CELAC agem e são percebidas em situações de crise. Isso será alcançado por meio da </w:t>
      </w:r>
      <w:r w:rsidRPr="00105E72">
        <w:rPr>
          <w:b/>
          <w:bCs/>
          <w:color w:val="000000"/>
        </w:rPr>
        <w:t>comparação estruturada de padrões de comportamento</w:t>
      </w:r>
      <w:r w:rsidRPr="00105E72">
        <w:rPr>
          <w:color w:val="000000"/>
        </w:rPr>
        <w:t>, da </w:t>
      </w:r>
      <w:r w:rsidRPr="00105E72">
        <w:rPr>
          <w:b/>
          <w:bCs/>
          <w:color w:val="000000"/>
        </w:rPr>
        <w:t>triangulação metodológica</w:t>
      </w:r>
      <w:r w:rsidRPr="00105E72">
        <w:rPr>
          <w:color w:val="000000"/>
        </w:rPr>
        <w:t> para validar conclusões e da </w:t>
      </w:r>
      <w:r w:rsidRPr="00105E72">
        <w:rPr>
          <w:b/>
          <w:bCs/>
          <w:color w:val="000000"/>
        </w:rPr>
        <w:t>avaliação da legitimidade política</w:t>
      </w:r>
      <w:r w:rsidRPr="00105E72">
        <w:rPr>
          <w:color w:val="000000"/>
        </w:rPr>
        <w:t> dos dois modelos de integração, contribuindo, em última instância, para o debate teórico sobre hegemonia e autonomia.</w:t>
      </w:r>
    </w:p>
    <w:p w14:paraId="72DD13BE" w14:textId="307DA3AC" w:rsidR="00730673" w:rsidRPr="00730673" w:rsidRDefault="00730673" w:rsidP="00730673">
      <w:pPr>
        <w:pStyle w:val="Ttulo2"/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  <w:r w:rsidRPr="00730673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 xml:space="preserve">5.1 Método comparativo </w:t>
      </w:r>
    </w:p>
    <w:p w14:paraId="29DDF684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O método central é a </w:t>
      </w:r>
      <w:r w:rsidRPr="00105E72">
        <w:rPr>
          <w:b/>
          <w:bCs/>
          <w:color w:val="000000"/>
        </w:rPr>
        <w:t>Comparação Focada e Estruturada</w:t>
      </w:r>
      <w:r w:rsidRPr="00105E72">
        <w:rPr>
          <w:color w:val="000000"/>
        </w:rPr>
        <w:t> (</w:t>
      </w:r>
      <w:proofErr w:type="spellStart"/>
      <w:r w:rsidRPr="00105E72">
        <w:rPr>
          <w:i/>
          <w:iCs/>
          <w:color w:val="000000"/>
        </w:rPr>
        <w:t>Structured</w:t>
      </w:r>
      <w:proofErr w:type="spellEnd"/>
      <w:r w:rsidRPr="00105E72">
        <w:rPr>
          <w:i/>
          <w:iCs/>
          <w:color w:val="000000"/>
        </w:rPr>
        <w:t xml:space="preserve"> </w:t>
      </w:r>
      <w:proofErr w:type="spellStart"/>
      <w:r w:rsidRPr="00105E72">
        <w:rPr>
          <w:i/>
          <w:iCs/>
          <w:color w:val="000000"/>
        </w:rPr>
        <w:t>Focused</w:t>
      </w:r>
      <w:proofErr w:type="spellEnd"/>
      <w:r w:rsidRPr="00105E72">
        <w:rPr>
          <w:i/>
          <w:iCs/>
          <w:color w:val="000000"/>
        </w:rPr>
        <w:t xml:space="preserve"> </w:t>
      </w:r>
      <w:proofErr w:type="spellStart"/>
      <w:r w:rsidRPr="00105E72">
        <w:rPr>
          <w:i/>
          <w:iCs/>
          <w:color w:val="000000"/>
        </w:rPr>
        <w:t>Comparison</w:t>
      </w:r>
      <w:proofErr w:type="spellEnd"/>
      <w:r w:rsidRPr="00105E72">
        <w:rPr>
          <w:color w:val="000000"/>
        </w:rPr>
        <w:t xml:space="preserve">), conforme preconizado por </w:t>
      </w:r>
      <w:proofErr w:type="spellStart"/>
      <w:r w:rsidRPr="00105E72">
        <w:rPr>
          <w:color w:val="000000"/>
        </w:rPr>
        <w:t>Gerring</w:t>
      </w:r>
      <w:proofErr w:type="spellEnd"/>
      <w:r w:rsidRPr="00105E72">
        <w:rPr>
          <w:color w:val="000000"/>
        </w:rPr>
        <w:t xml:space="preserve"> (2007) e Yin (2018), que prioriza a profundidade contextual dos casos em detrimento da generalização estatística. Este método é o mais adequado para o tema, pois permite o exame minucioso dos mesmos episódios históricos sob o olhar de duas estruturas organizacionais distintas, identificando contradições e lacunas de atuação.</w:t>
      </w:r>
    </w:p>
    <w:p w14:paraId="4346FFDE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As hipóteses serão testadas a partir de </w:t>
      </w:r>
      <w:r w:rsidRPr="00105E72">
        <w:rPr>
          <w:b/>
          <w:bCs/>
          <w:color w:val="000000"/>
        </w:rPr>
        <w:t>três dimensões</w:t>
      </w:r>
      <w:r w:rsidRPr="00105E72">
        <w:rPr>
          <w:color w:val="000000"/>
        </w:rPr>
        <w:t> principais, que atuam como variáveis de estudo no quadro comparativo:</w:t>
      </w:r>
    </w:p>
    <w:p w14:paraId="15D2C04B" w14:textId="77777777" w:rsidR="00730673" w:rsidRPr="00105E72" w:rsidRDefault="00730673" w:rsidP="00730673">
      <w:pPr>
        <w:numPr>
          <w:ilvl w:val="0"/>
          <w:numId w:val="37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Institucionalidade (Estrutura e Ação Formal):</w:t>
      </w:r>
    </w:p>
    <w:p w14:paraId="5127AC27" w14:textId="77777777" w:rsidR="00730673" w:rsidRPr="00105E72" w:rsidRDefault="00730673" w:rsidP="00730673">
      <w:pPr>
        <w:numPr>
          <w:ilvl w:val="1"/>
          <w:numId w:val="37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Argumento de Escolha:</w:t>
      </w:r>
      <w:r w:rsidRPr="00105E72">
        <w:rPr>
          <w:color w:val="000000"/>
        </w:rPr>
        <w:t> Esta variável é crucial porque a diferença mais tangível entre OEA e CELAC é a sua estrutura. A OEA é a encarnação da institucionalidade robusta, com Carta Constitutiva, Secretariado Permanente e mecanismos de sanção. A CELAC, ao contrário, é um fórum flexível, sem sede, orçamento fixo ou capacidade coercitiva.</w:t>
      </w:r>
    </w:p>
    <w:p w14:paraId="7A0422C4" w14:textId="77777777" w:rsidR="00730673" w:rsidRPr="00105E72" w:rsidRDefault="00730673" w:rsidP="00730673">
      <w:pPr>
        <w:numPr>
          <w:ilvl w:val="1"/>
          <w:numId w:val="37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Medição:</w:t>
      </w:r>
      <w:r w:rsidRPr="00105E72">
        <w:rPr>
          <w:color w:val="000000"/>
        </w:rPr>
        <w:t> Na OEA, a institucionalidade será medida pela </w:t>
      </w:r>
      <w:r w:rsidRPr="00105E72">
        <w:rPr>
          <w:b/>
          <w:bCs/>
          <w:color w:val="000000"/>
        </w:rPr>
        <w:t>aplicação de mecanismos formais</w:t>
      </w:r>
      <w:r w:rsidRPr="00105E72">
        <w:rPr>
          <w:color w:val="000000"/>
        </w:rPr>
        <w:t xml:space="preserve"> como o acionamento da Carta Democrática Interamericana e a imposição de suspensões. Na CELAC, será avaliada a </w:t>
      </w:r>
      <w:r w:rsidRPr="00105E72">
        <w:rPr>
          <w:color w:val="000000"/>
        </w:rPr>
        <w:lastRenderedPageBreak/>
        <w:t>eficácia da </w:t>
      </w:r>
      <w:r w:rsidRPr="00105E72">
        <w:rPr>
          <w:b/>
          <w:bCs/>
          <w:color w:val="000000"/>
        </w:rPr>
        <w:t>ausência institucional</w:t>
      </w:r>
      <w:r w:rsidRPr="00105E72">
        <w:rPr>
          <w:color w:val="000000"/>
        </w:rPr>
        <w:t> como recurso político, priorizando o consenso e a declaração sobre a sanção.</w:t>
      </w:r>
    </w:p>
    <w:p w14:paraId="0BB6A7CD" w14:textId="77777777" w:rsidR="00730673" w:rsidRPr="00105E72" w:rsidRDefault="00730673" w:rsidP="00730673">
      <w:pPr>
        <w:numPr>
          <w:ilvl w:val="0"/>
          <w:numId w:val="37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Narrativa Política (Legitimidade Discursiva):</w:t>
      </w:r>
    </w:p>
    <w:p w14:paraId="79501AD7" w14:textId="77777777" w:rsidR="00730673" w:rsidRPr="00105E72" w:rsidRDefault="00730673" w:rsidP="00730673">
      <w:pPr>
        <w:numPr>
          <w:ilvl w:val="1"/>
          <w:numId w:val="37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Argumento de Escolha:</w:t>
      </w:r>
      <w:r w:rsidRPr="00105E72">
        <w:rPr>
          <w:color w:val="000000"/>
        </w:rPr>
        <w:t> Esta dimensão é o cerne da hipótese pós-hegemônica. A eficácia de um organismo flexível como a CELAC reside em sua capacidade de </w:t>
      </w:r>
      <w:r w:rsidRPr="00105E72">
        <w:rPr>
          <w:b/>
          <w:bCs/>
          <w:color w:val="000000"/>
        </w:rPr>
        <w:t>construir e manter uma narrativa de legitimidade</w:t>
      </w:r>
      <w:r w:rsidRPr="00105E72">
        <w:rPr>
          <w:color w:val="000000"/>
        </w:rPr>
        <w:t> que desafie a hegemonia da OEA. A análise do discurso revela o real posicionamento ideológico e os limites da autonomia regional.</w:t>
      </w:r>
    </w:p>
    <w:p w14:paraId="1122B33A" w14:textId="77777777" w:rsidR="00730673" w:rsidRPr="00105E72" w:rsidRDefault="00730673" w:rsidP="00730673">
      <w:pPr>
        <w:numPr>
          <w:ilvl w:val="0"/>
          <w:numId w:val="37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Resultados Práticos (Eficácia e Seletividade):</w:t>
      </w:r>
    </w:p>
    <w:p w14:paraId="7B427AFA" w14:textId="77777777" w:rsidR="00730673" w:rsidRPr="00105E72" w:rsidRDefault="00730673" w:rsidP="00730673">
      <w:pPr>
        <w:numPr>
          <w:ilvl w:val="1"/>
          <w:numId w:val="37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Argumento de Escolha:</w:t>
      </w:r>
      <w:r w:rsidRPr="00105E72">
        <w:rPr>
          <w:color w:val="000000"/>
        </w:rPr>
        <w:t> Esta variável move o foco do </w:t>
      </w:r>
      <w:r w:rsidRPr="00105E72">
        <w:rPr>
          <w:i/>
          <w:iCs/>
          <w:color w:val="000000"/>
        </w:rPr>
        <w:t>dizer</w:t>
      </w:r>
      <w:r w:rsidRPr="00105E72">
        <w:rPr>
          <w:color w:val="000000"/>
        </w:rPr>
        <w:t> para o </w:t>
      </w:r>
      <w:r w:rsidRPr="00105E72">
        <w:rPr>
          <w:i/>
          <w:iCs/>
          <w:color w:val="000000"/>
        </w:rPr>
        <w:t>fazer</w:t>
      </w:r>
      <w:r w:rsidRPr="00105E72">
        <w:rPr>
          <w:color w:val="000000"/>
        </w:rPr>
        <w:t>. Ela testa a utilidade empírica de cada modelo: a OEA, com poder de sanção, e a CELAC, com poder de consenso. A eficácia será medida pela capacidade de reversão de rupturas ou de consolidação de acordos políticos.</w:t>
      </w:r>
    </w:p>
    <w:p w14:paraId="4074D0E4" w14:textId="77777777" w:rsidR="00730673" w:rsidRPr="00105E72" w:rsidRDefault="00730673" w:rsidP="00730673">
      <w:pPr>
        <w:numPr>
          <w:ilvl w:val="1"/>
          <w:numId w:val="37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Seletividade:</w:t>
      </w:r>
      <w:r w:rsidRPr="00105E72">
        <w:rPr>
          <w:color w:val="000000"/>
        </w:rPr>
        <w:t> A </w:t>
      </w:r>
      <w:r w:rsidRPr="00105E72">
        <w:rPr>
          <w:b/>
          <w:bCs/>
          <w:color w:val="000000"/>
        </w:rPr>
        <w:t>seletividade</w:t>
      </w:r>
      <w:r w:rsidRPr="00105E72">
        <w:rPr>
          <w:color w:val="000000"/>
        </w:rPr>
        <w:t xml:space="preserve"> é uma </w:t>
      </w:r>
      <w:proofErr w:type="spellStart"/>
      <w:r w:rsidRPr="00105E72">
        <w:rPr>
          <w:color w:val="000000"/>
        </w:rPr>
        <w:t>subvariável</w:t>
      </w:r>
      <w:proofErr w:type="spellEnd"/>
      <w:r w:rsidRPr="00105E72">
        <w:rPr>
          <w:color w:val="000000"/>
        </w:rPr>
        <w:t xml:space="preserve"> crítica, observada ao contrastar posturas em crises similares (</w:t>
      </w:r>
      <w:proofErr w:type="spellStart"/>
      <w:r w:rsidRPr="00105E72">
        <w:rPr>
          <w:color w:val="000000"/>
        </w:rPr>
        <w:t>ex</w:t>
      </w:r>
      <w:proofErr w:type="spellEnd"/>
      <w:r w:rsidRPr="00105E72">
        <w:rPr>
          <w:color w:val="000000"/>
        </w:rPr>
        <w:t>: Honduras e Paraguai), o que permite testar a tese de instrumentalização pelos Estados Unidos.</w:t>
      </w:r>
    </w:p>
    <w:p w14:paraId="21B51C41" w14:textId="77777777" w:rsidR="00285FC0" w:rsidRPr="00730673" w:rsidRDefault="00285FC0" w:rsidP="007E4C91">
      <w:pPr>
        <w:spacing w:line="360" w:lineRule="auto"/>
        <w:jc w:val="both"/>
        <w:rPr>
          <w:color w:val="000000"/>
        </w:rPr>
      </w:pPr>
    </w:p>
    <w:p w14:paraId="3C09B2BE" w14:textId="77777777" w:rsidR="00DB538A" w:rsidRPr="00730673" w:rsidRDefault="00DB538A" w:rsidP="007E4C91">
      <w:pPr>
        <w:spacing w:line="360" w:lineRule="auto"/>
        <w:jc w:val="both"/>
        <w:rPr>
          <w:color w:val="000000"/>
        </w:rPr>
      </w:pPr>
    </w:p>
    <w:p w14:paraId="5B1B07A7" w14:textId="77777777" w:rsidR="00DB538A" w:rsidRPr="00730673" w:rsidRDefault="00DB538A" w:rsidP="007E4C91">
      <w:pPr>
        <w:spacing w:line="360" w:lineRule="auto"/>
        <w:jc w:val="both"/>
        <w:rPr>
          <w:color w:val="000000"/>
        </w:rPr>
      </w:pPr>
    </w:p>
    <w:p w14:paraId="1CDF707A" w14:textId="529452BF" w:rsidR="00730673" w:rsidRPr="00730673" w:rsidRDefault="00730673" w:rsidP="00730673">
      <w:bookmarkStart w:id="20" w:name="_Toc210326523"/>
    </w:p>
    <w:p w14:paraId="42EABB62" w14:textId="3366B881" w:rsidR="00730673" w:rsidRPr="00730673" w:rsidRDefault="00730673" w:rsidP="00730673">
      <w:pPr>
        <w:shd w:val="clear" w:color="auto" w:fill="FFFF00"/>
        <w:jc w:val="both"/>
        <w:rPr>
          <w:b/>
          <w:bCs/>
        </w:rPr>
      </w:pPr>
      <w:r w:rsidRPr="00730673">
        <w:rPr>
          <w:b/>
          <w:bCs/>
        </w:rPr>
        <w:t xml:space="preserve">5.2 Seleção dos Casos </w:t>
      </w:r>
    </w:p>
    <w:p w14:paraId="1902F316" w14:textId="77777777" w:rsidR="00730673" w:rsidRPr="00730673" w:rsidRDefault="00730673" w:rsidP="00730673">
      <w:pPr>
        <w:shd w:val="clear" w:color="auto" w:fill="FFFF00"/>
        <w:jc w:val="both"/>
        <w:rPr>
          <w:b/>
          <w:bCs/>
        </w:rPr>
      </w:pPr>
    </w:p>
    <w:p w14:paraId="2F26DF28" w14:textId="3CB74646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 xml:space="preserve">Os </w:t>
      </w:r>
      <w:r w:rsidRPr="00730673">
        <w:rPr>
          <w:color w:val="000000"/>
        </w:rPr>
        <w:t>6</w:t>
      </w:r>
      <w:r w:rsidRPr="00105E72">
        <w:rPr>
          <w:color w:val="000000"/>
        </w:rPr>
        <w:t xml:space="preserve"> casos críticos selecionados (Honduras 2009, Haiti 2010, Paraguai 2012, Nicarágua 2018, Bolívia 2019</w:t>
      </w:r>
      <w:r w:rsidRPr="00730673">
        <w:rPr>
          <w:color w:val="000000"/>
        </w:rPr>
        <w:t xml:space="preserve"> e </w:t>
      </w:r>
      <w:r w:rsidRPr="00105E72">
        <w:rPr>
          <w:color w:val="000000"/>
        </w:rPr>
        <w:t>Colômbia 2016, foram escolhidos pela </w:t>
      </w:r>
      <w:r w:rsidRPr="00105E72">
        <w:rPr>
          <w:b/>
          <w:bCs/>
          <w:color w:val="000000"/>
        </w:rPr>
        <w:t>amostragem intencional</w:t>
      </w:r>
      <w:r w:rsidRPr="00105E72">
        <w:rPr>
          <w:color w:val="000000"/>
        </w:rPr>
        <w:t> e pela </w:t>
      </w:r>
      <w:r w:rsidRPr="00105E72">
        <w:rPr>
          <w:b/>
          <w:bCs/>
          <w:color w:val="000000"/>
        </w:rPr>
        <w:t>máxima variação nos resultados esperados</w:t>
      </w:r>
      <w:r w:rsidRPr="00105E72">
        <w:rPr>
          <w:color w:val="000000"/>
        </w:rPr>
        <w:t>. Eles garantem a </w:t>
      </w:r>
      <w:r w:rsidRPr="00105E72">
        <w:rPr>
          <w:b/>
          <w:bCs/>
          <w:color w:val="000000"/>
        </w:rPr>
        <w:t>presença e o contraste simultâneo</w:t>
      </w:r>
      <w:r w:rsidRPr="00105E72">
        <w:rPr>
          <w:color w:val="000000"/>
        </w:rPr>
        <w:t> de OEA e CELAC.</w:t>
      </w:r>
    </w:p>
    <w:p w14:paraId="014BC233" w14:textId="77777777" w:rsidR="00730673" w:rsidRPr="00105E72" w:rsidRDefault="00730673" w:rsidP="00730673">
      <w:pPr>
        <w:spacing w:after="100" w:afterAutospacing="1" w:line="360" w:lineRule="auto"/>
        <w:jc w:val="both"/>
        <w:outlineLvl w:val="3"/>
        <w:rPr>
          <w:b/>
          <w:bCs/>
          <w:color w:val="000000"/>
        </w:rPr>
      </w:pPr>
      <w:r w:rsidRPr="00105E72">
        <w:rPr>
          <w:b/>
          <w:bCs/>
          <w:color w:val="000000"/>
        </w:rPr>
        <w:t>Justificativa da Relevância dos Casos:</w:t>
      </w:r>
    </w:p>
    <w:p w14:paraId="5265C8A3" w14:textId="77777777" w:rsidR="00730673" w:rsidRPr="00105E72" w:rsidRDefault="00730673" w:rsidP="00730673">
      <w:pPr>
        <w:numPr>
          <w:ilvl w:val="0"/>
          <w:numId w:val="38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Casos de Extremo Contraste Ideológico (Cuba e Honduras):</w:t>
      </w:r>
      <w:r w:rsidRPr="00105E72">
        <w:rPr>
          <w:color w:val="000000"/>
        </w:rPr>
        <w:t> São os marcos da dissidência. Cuba é o caso fundacional da exclusão ideológica da OEA e o ápice da inclusão política da CELAC. Honduras é o </w:t>
      </w:r>
      <w:r w:rsidRPr="00105E72">
        <w:rPr>
          <w:b/>
          <w:bCs/>
          <w:color w:val="000000"/>
        </w:rPr>
        <w:t>catalisador prático</w:t>
      </w:r>
      <w:r w:rsidRPr="00105E72">
        <w:rPr>
          <w:color w:val="000000"/>
        </w:rPr>
        <w:t> que, ao demonstrar a ineficácia da OEA em reverter o golpe, impulsionou a criação do modelo CELAC.</w:t>
      </w:r>
    </w:p>
    <w:p w14:paraId="25CEF234" w14:textId="77777777" w:rsidR="00730673" w:rsidRPr="00105E72" w:rsidRDefault="00730673" w:rsidP="00730673">
      <w:pPr>
        <w:numPr>
          <w:ilvl w:val="0"/>
          <w:numId w:val="38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Casos de Seletividade Institucional (Honduras x Paraguai):</w:t>
      </w:r>
      <w:r w:rsidRPr="00105E72">
        <w:rPr>
          <w:color w:val="000000"/>
        </w:rPr>
        <w:t> Permitem a medição direta da </w:t>
      </w:r>
      <w:r w:rsidRPr="00105E72">
        <w:rPr>
          <w:b/>
          <w:bCs/>
          <w:color w:val="000000"/>
        </w:rPr>
        <w:t>seletividade da OEA</w:t>
      </w:r>
      <w:r w:rsidRPr="00105E72">
        <w:rPr>
          <w:color w:val="000000"/>
        </w:rPr>
        <w:t xml:space="preserve">. A suspensão rápida de Honduras e a brandura diante </w:t>
      </w:r>
      <w:r w:rsidRPr="00105E72">
        <w:rPr>
          <w:color w:val="000000"/>
        </w:rPr>
        <w:lastRenderedPageBreak/>
        <w:t>do </w:t>
      </w:r>
      <w:r w:rsidRPr="00105E72">
        <w:rPr>
          <w:i/>
          <w:iCs/>
          <w:color w:val="000000"/>
        </w:rPr>
        <w:t>impeachment</w:t>
      </w:r>
      <w:r w:rsidRPr="00105E72">
        <w:rPr>
          <w:color w:val="000000"/>
        </w:rPr>
        <w:t> de Lugo no Paraguai são essenciais para testar a tese de que a OEA age conforme a posição dos EUA.</w:t>
      </w:r>
    </w:p>
    <w:p w14:paraId="0F2E83CB" w14:textId="77777777" w:rsidR="00730673" w:rsidRPr="00105E72" w:rsidRDefault="00730673" w:rsidP="00730673">
      <w:pPr>
        <w:numPr>
          <w:ilvl w:val="0"/>
          <w:numId w:val="38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Casos de Ambiguidade Pós-Hegemônica (Bolívia x Nicarágua):</w:t>
      </w:r>
      <w:r w:rsidRPr="00105E72">
        <w:rPr>
          <w:color w:val="000000"/>
        </w:rPr>
        <w:t> Evidenciam o limite da CELAC. Na Bolívia, a CELAC manteve a neutralidade após a denúncia de fraude pela OEA; na Nicarágua, defendeu a soberania frente à condenação da OEA. O contraste entre a defesa da soberania e a não condenação de rupturas internas expõe o dilema da eficácia da CELAC.</w:t>
      </w:r>
    </w:p>
    <w:p w14:paraId="0682C07E" w14:textId="77777777" w:rsidR="00730673" w:rsidRPr="00105E72" w:rsidRDefault="00730673" w:rsidP="00730673">
      <w:pPr>
        <w:spacing w:after="100" w:afterAutospacing="1" w:line="360" w:lineRule="auto"/>
        <w:jc w:val="both"/>
        <w:outlineLvl w:val="3"/>
        <w:rPr>
          <w:b/>
          <w:bCs/>
          <w:color w:val="000000"/>
        </w:rPr>
      </w:pPr>
      <w:r w:rsidRPr="00105E72">
        <w:rPr>
          <w:b/>
          <w:bCs/>
          <w:color w:val="000000"/>
        </w:rPr>
        <w:t>Justificativa da Não-Seleção de Casos (Exclusão Estratégica):</w:t>
      </w:r>
    </w:p>
    <w:p w14:paraId="611F48A9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Para demonstrar o rigor do recorte, é necessário justificar a exclusão de casos que poderiam ser relevantes, mas não se adequam à estrutura comparativa de </w:t>
      </w:r>
      <w:r w:rsidRPr="00105E72">
        <w:rPr>
          <w:i/>
          <w:iCs/>
          <w:color w:val="000000"/>
        </w:rPr>
        <w:t>Hegemonia vs. Autonomia</w:t>
      </w:r>
      <w:r w:rsidRPr="00105E72">
        <w:rPr>
          <w:color w:val="000000"/>
        </w:rPr>
        <w:t>.</w:t>
      </w:r>
    </w:p>
    <w:p w14:paraId="08335FA7" w14:textId="77777777" w:rsidR="00730673" w:rsidRPr="00105E72" w:rsidRDefault="00730673" w:rsidP="00730673">
      <w:pPr>
        <w:numPr>
          <w:ilvl w:val="0"/>
          <w:numId w:val="39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Crise Venezuela (2015 em diante):</w:t>
      </w:r>
      <w:r w:rsidRPr="00105E72">
        <w:rPr>
          <w:color w:val="000000"/>
        </w:rPr>
        <w:t> Embora seja a crise contemporânea mais proeminente, ela é excluída por sua </w:t>
      </w:r>
      <w:r w:rsidRPr="00105E72">
        <w:rPr>
          <w:b/>
          <w:bCs/>
          <w:color w:val="000000"/>
        </w:rPr>
        <w:t>simetria ideológica</w:t>
      </w:r>
      <w:r w:rsidRPr="00105E72">
        <w:rPr>
          <w:color w:val="000000"/>
        </w:rPr>
        <w:t>. A CELAC se dividiu e, em muitos momentos, parou de funcionar como bloco em relação à Venezuela, enquanto a OEA se posicionou fortemente contra o regime. A crise venezuelana não é um caso de dualidade estável, mas sim de </w:t>
      </w:r>
      <w:r w:rsidRPr="00105E72">
        <w:rPr>
          <w:b/>
          <w:bCs/>
          <w:color w:val="000000"/>
        </w:rPr>
        <w:t>fragmentação regional</w:t>
      </w:r>
      <w:r w:rsidRPr="00105E72">
        <w:rPr>
          <w:color w:val="000000"/>
        </w:rPr>
        <w:t>, o que comprometeria a análise da CELAC como um bloco coeso.</w:t>
      </w:r>
    </w:p>
    <w:p w14:paraId="35E93E7E" w14:textId="77777777" w:rsidR="00730673" w:rsidRPr="00105E72" w:rsidRDefault="00730673" w:rsidP="00730673">
      <w:pPr>
        <w:numPr>
          <w:ilvl w:val="0"/>
          <w:numId w:val="39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Criação da UNASUL (2008):</w:t>
      </w:r>
      <w:r w:rsidRPr="00105E72">
        <w:rPr>
          <w:color w:val="000000"/>
        </w:rPr>
        <w:t> Embora a UNASUL (União de Nações Sul-Americanas) seja um organismo pós-hegemônico, o foco deste trabalho está na CELAC. A UNASUL atuou em crises (</w:t>
      </w:r>
      <w:proofErr w:type="spellStart"/>
      <w:r w:rsidRPr="00105E72">
        <w:rPr>
          <w:color w:val="000000"/>
        </w:rPr>
        <w:t>ex</w:t>
      </w:r>
      <w:proofErr w:type="spellEnd"/>
      <w:r w:rsidRPr="00105E72">
        <w:rPr>
          <w:color w:val="000000"/>
        </w:rPr>
        <w:t>: Bolívia 2008) em um período de </w:t>
      </w:r>
      <w:proofErr w:type="spellStart"/>
      <w:r w:rsidRPr="00105E72">
        <w:rPr>
          <w:b/>
          <w:bCs/>
          <w:color w:val="000000"/>
        </w:rPr>
        <w:t>pré</w:t>
      </w:r>
      <w:proofErr w:type="spellEnd"/>
      <w:r w:rsidRPr="00105E72">
        <w:rPr>
          <w:b/>
          <w:bCs/>
          <w:color w:val="000000"/>
        </w:rPr>
        <w:t>-fundação</w:t>
      </w:r>
      <w:r w:rsidRPr="00105E72">
        <w:rPr>
          <w:color w:val="000000"/>
        </w:rPr>
        <w:t> da CELAC, o que não permitiria a análise da </w:t>
      </w:r>
      <w:r w:rsidRPr="00105E72">
        <w:rPr>
          <w:b/>
          <w:bCs/>
          <w:color w:val="000000"/>
        </w:rPr>
        <w:t>ação simultânea</w:t>
      </w:r>
      <w:r w:rsidRPr="00105E72">
        <w:rPr>
          <w:color w:val="000000"/>
        </w:rPr>
        <w:t> e do contraste direto entre OEA e CELAC.</w:t>
      </w:r>
    </w:p>
    <w:p w14:paraId="500F43C9" w14:textId="77777777" w:rsidR="00730673" w:rsidRPr="00105E72" w:rsidRDefault="00730673" w:rsidP="00730673">
      <w:pPr>
        <w:numPr>
          <w:ilvl w:val="0"/>
          <w:numId w:val="39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Guerra das Malvinas/Falklands (1982):</w:t>
      </w:r>
      <w:r w:rsidRPr="00105E72">
        <w:rPr>
          <w:color w:val="000000"/>
        </w:rPr>
        <w:t> O caso é excluído por </w:t>
      </w:r>
      <w:r w:rsidRPr="00105E72">
        <w:rPr>
          <w:b/>
          <w:bCs/>
          <w:color w:val="000000"/>
        </w:rPr>
        <w:t>incompatibilidade temporal e temática</w:t>
      </w:r>
      <w:r w:rsidRPr="00105E72">
        <w:rPr>
          <w:color w:val="000000"/>
        </w:rPr>
        <w:t>. O foco do projeto é o regionalismo pós-hegemônico (pós-2000). A OEA falhou em atuar em 1982, mas a CELAC ainda não existia, impossibilitando a comparação das variáveis de </w:t>
      </w:r>
      <w:r w:rsidRPr="00105E72">
        <w:rPr>
          <w:b/>
          <w:bCs/>
          <w:color w:val="000000"/>
        </w:rPr>
        <w:t>Institucionalidade</w:t>
      </w:r>
      <w:r w:rsidRPr="00105E72">
        <w:rPr>
          <w:color w:val="000000"/>
        </w:rPr>
        <w:t> e </w:t>
      </w:r>
      <w:r w:rsidRPr="00105E72">
        <w:rPr>
          <w:b/>
          <w:bCs/>
          <w:color w:val="000000"/>
        </w:rPr>
        <w:t>Resultados Práticos</w:t>
      </w:r>
      <w:r w:rsidRPr="00105E72">
        <w:rPr>
          <w:color w:val="000000"/>
        </w:rPr>
        <w:t>.</w:t>
      </w:r>
    </w:p>
    <w:p w14:paraId="7DF2BB7F" w14:textId="77777777" w:rsidR="00730673" w:rsidRPr="00730673" w:rsidRDefault="00730673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</w:p>
    <w:bookmarkEnd w:id="20"/>
    <w:p w14:paraId="7E3C6CEF" w14:textId="77777777" w:rsidR="00DB538A" w:rsidRPr="00730673" w:rsidRDefault="00DB538A" w:rsidP="00290AC9">
      <w:pPr>
        <w:tabs>
          <w:tab w:val="left" w:pos="1927"/>
        </w:tabs>
        <w:spacing w:line="360" w:lineRule="auto"/>
        <w:jc w:val="both"/>
      </w:pPr>
    </w:p>
    <w:p w14:paraId="6F2C1B56" w14:textId="77777777" w:rsidR="00BE18E0" w:rsidRPr="00730673" w:rsidRDefault="00BE18E0" w:rsidP="00290AC9">
      <w:pPr>
        <w:pStyle w:val="Ttulo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0326524"/>
      <w:r w:rsidRPr="00730673">
        <w:rPr>
          <w:rFonts w:ascii="Times New Roman" w:hAnsi="Times New Roman" w:cs="Times New Roman"/>
          <w:b/>
          <w:bCs/>
          <w:color w:val="auto"/>
          <w:sz w:val="24"/>
          <w:szCs w:val="24"/>
        </w:rPr>
        <w:t>5.3 Pesquisa documental</w:t>
      </w:r>
      <w:bookmarkEnd w:id="21"/>
    </w:p>
    <w:p w14:paraId="0A219EAB" w14:textId="77777777" w:rsidR="007E4C91" w:rsidRPr="00730673" w:rsidRDefault="007E4C91" w:rsidP="00290AC9">
      <w:pPr>
        <w:spacing w:line="360" w:lineRule="auto"/>
        <w:ind w:firstLine="709"/>
        <w:jc w:val="both"/>
        <w:rPr>
          <w:color w:val="000000"/>
        </w:rPr>
      </w:pPr>
    </w:p>
    <w:p w14:paraId="46D0B34E" w14:textId="77777777" w:rsidR="00BE18E0" w:rsidRPr="00730673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primeira etapa metodológica será a </w:t>
      </w:r>
      <w:r w:rsidRPr="00730673">
        <w:rPr>
          <w:b/>
          <w:bCs/>
          <w:color w:val="000000"/>
        </w:rPr>
        <w:t>análise documental</w:t>
      </w:r>
      <w:r w:rsidRPr="00730673">
        <w:rPr>
          <w:color w:val="000000"/>
        </w:rPr>
        <w:t>, envolvendo:</w:t>
      </w:r>
    </w:p>
    <w:p w14:paraId="4F7B7F1E" w14:textId="77777777" w:rsidR="00BE18E0" w:rsidRPr="00730673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730673">
        <w:rPr>
          <w:b/>
          <w:bCs/>
          <w:color w:val="000000"/>
        </w:rPr>
        <w:t>Resoluções oficiais da OEA:</w:t>
      </w:r>
      <w:r w:rsidRPr="00730673">
        <w:rPr>
          <w:color w:val="000000"/>
        </w:rPr>
        <w:t> disponíveis em </w:t>
      </w:r>
      <w:hyperlink r:id="rId14" w:history="1">
        <w:r w:rsidRPr="00730673">
          <w:rPr>
            <w:color w:val="0000FF"/>
            <w:u w:val="single"/>
          </w:rPr>
          <w:t>https://www.oas.org</w:t>
        </w:r>
      </w:hyperlink>
      <w:r w:rsidRPr="00730673">
        <w:rPr>
          <w:color w:val="000000"/>
        </w:rPr>
        <w:t>.</w:t>
      </w:r>
    </w:p>
    <w:p w14:paraId="4FC87C30" w14:textId="77777777" w:rsidR="00BE18E0" w:rsidRPr="00730673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730673">
        <w:rPr>
          <w:b/>
          <w:bCs/>
          <w:color w:val="000000"/>
        </w:rPr>
        <w:lastRenderedPageBreak/>
        <w:t>Relatórios da CIDH:</w:t>
      </w:r>
      <w:r w:rsidRPr="00730673">
        <w:rPr>
          <w:color w:val="000000"/>
        </w:rPr>
        <w:t> fonte crucial para avaliar posicionamentos da OEA em direitos humanos.</w:t>
      </w:r>
    </w:p>
    <w:p w14:paraId="5951128E" w14:textId="77777777" w:rsidR="00BE18E0" w:rsidRPr="00730673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730673">
        <w:rPr>
          <w:b/>
          <w:bCs/>
          <w:color w:val="000000"/>
        </w:rPr>
        <w:t>Declarações e comunicados da CELAC:</w:t>
      </w:r>
      <w:r w:rsidRPr="00730673">
        <w:rPr>
          <w:color w:val="000000"/>
        </w:rPr>
        <w:t> disponíveis em portais oficiais de cúpulas e no site da CEPAL.</w:t>
      </w:r>
    </w:p>
    <w:p w14:paraId="1641B89D" w14:textId="77777777" w:rsidR="00BE18E0" w:rsidRPr="00730673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730673">
        <w:rPr>
          <w:b/>
          <w:bCs/>
          <w:color w:val="000000"/>
        </w:rPr>
        <w:t>Documentos de organismos regionais correlatos:</w:t>
      </w:r>
      <w:r w:rsidRPr="00730673">
        <w:rPr>
          <w:color w:val="000000"/>
        </w:rPr>
        <w:t> MERCOSUL, UNASUL, ALBA, ONU.</w:t>
      </w:r>
    </w:p>
    <w:p w14:paraId="72542F81" w14:textId="77777777" w:rsidR="00BE18E0" w:rsidRPr="00730673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730673">
        <w:rPr>
          <w:b/>
          <w:bCs/>
          <w:color w:val="000000"/>
        </w:rPr>
        <w:t>Artigos acadêmicos de acesso aberto</w:t>
      </w:r>
      <w:r w:rsidRPr="00730673">
        <w:rPr>
          <w:color w:val="000000"/>
        </w:rPr>
        <w:t> (NUSO, CRIES, FLACSO, CLACSO</w:t>
      </w:r>
      <w:r w:rsidR="00971D38" w:rsidRPr="00730673">
        <w:rPr>
          <w:color w:val="000000"/>
        </w:rPr>
        <w:t>...</w:t>
      </w:r>
      <w:r w:rsidRPr="00730673">
        <w:rPr>
          <w:color w:val="000000"/>
        </w:rPr>
        <w:t>).</w:t>
      </w:r>
    </w:p>
    <w:p w14:paraId="22AF6B37" w14:textId="77777777" w:rsidR="007E4C91" w:rsidRPr="00730673" w:rsidRDefault="00BE18E0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730673">
        <w:rPr>
          <w:b/>
          <w:bCs/>
          <w:color w:val="000000"/>
        </w:rPr>
        <w:t>Reportagens jornalísticas</w:t>
      </w:r>
      <w:r w:rsidRPr="00730673">
        <w:rPr>
          <w:color w:val="000000"/>
        </w:rPr>
        <w:t> de veículos latino-americanos (Página/12, La Jornada, El País, BBC Mundo</w:t>
      </w:r>
      <w:r w:rsidR="00971D38" w:rsidRPr="00730673">
        <w:rPr>
          <w:color w:val="000000"/>
        </w:rPr>
        <w:t>...</w:t>
      </w:r>
      <w:r w:rsidRPr="00730673">
        <w:rPr>
          <w:color w:val="000000"/>
        </w:rPr>
        <w:t>).</w:t>
      </w:r>
    </w:p>
    <w:p w14:paraId="3EB0E07E" w14:textId="77777777" w:rsidR="005F7D0D" w:rsidRPr="00730673" w:rsidRDefault="005F7D0D" w:rsidP="007E4C91">
      <w:pPr>
        <w:numPr>
          <w:ilvl w:val="0"/>
          <w:numId w:val="20"/>
        </w:numPr>
        <w:spacing w:line="360" w:lineRule="auto"/>
        <w:ind w:firstLine="131"/>
        <w:jc w:val="both"/>
        <w:rPr>
          <w:color w:val="000000"/>
        </w:rPr>
      </w:pPr>
      <w:r w:rsidRPr="00730673">
        <w:rPr>
          <w:b/>
          <w:bCs/>
          <w:color w:val="000000"/>
        </w:rPr>
        <w:t xml:space="preserve">Dados Macroeconômicos: </w:t>
      </w:r>
      <w:r w:rsidRPr="00730673">
        <w:rPr>
          <w:color w:val="000000"/>
        </w:rPr>
        <w:t xml:space="preserve">Relatórios da </w:t>
      </w:r>
      <w:r w:rsidRPr="00730673">
        <w:rPr>
          <w:b/>
          <w:bCs/>
          <w:color w:val="000000"/>
        </w:rPr>
        <w:t>CEPAL</w:t>
      </w:r>
      <w:r w:rsidRPr="00730673">
        <w:rPr>
          <w:color w:val="000000"/>
        </w:rPr>
        <w:t xml:space="preserve"> (Comissão Econômica para a América Latina e Caribe), do </w:t>
      </w:r>
      <w:r w:rsidRPr="00730673">
        <w:rPr>
          <w:b/>
          <w:bCs/>
          <w:color w:val="000000"/>
        </w:rPr>
        <w:t>Banco Mundial</w:t>
      </w:r>
      <w:r w:rsidRPr="00730673">
        <w:rPr>
          <w:color w:val="000000"/>
        </w:rPr>
        <w:t xml:space="preserve"> e do </w:t>
      </w:r>
      <w:r w:rsidRPr="00730673">
        <w:rPr>
          <w:b/>
          <w:bCs/>
          <w:color w:val="000000"/>
        </w:rPr>
        <w:t>Fundo Monetário</w:t>
      </w:r>
      <w:r w:rsidRPr="00730673">
        <w:rPr>
          <w:color w:val="000000"/>
        </w:rPr>
        <w:t xml:space="preserve"> </w:t>
      </w:r>
      <w:r w:rsidRPr="00730673">
        <w:rPr>
          <w:b/>
          <w:bCs/>
          <w:color w:val="000000"/>
        </w:rPr>
        <w:t>Internacional</w:t>
      </w:r>
      <w:r w:rsidRPr="00730673">
        <w:rPr>
          <w:color w:val="000000"/>
        </w:rPr>
        <w:t xml:space="preserve"> (FMI) sobre o país afetado (indicadores de Comercio, IED e crescimento do PIB</w:t>
      </w:r>
    </w:p>
    <w:p w14:paraId="22A10E81" w14:textId="77777777" w:rsidR="00BE18E0" w:rsidRPr="00730673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análise documental seguirá os seguintes critérios:</w:t>
      </w:r>
    </w:p>
    <w:p w14:paraId="17B61E58" w14:textId="77777777" w:rsidR="00BE18E0" w:rsidRPr="00730673" w:rsidRDefault="00BE18E0" w:rsidP="007E4C91">
      <w:pPr>
        <w:numPr>
          <w:ilvl w:val="0"/>
          <w:numId w:val="21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color w:val="000000"/>
        </w:rPr>
        <w:t>Identificar a narrativa oficial de cada organismo em cada crise.</w:t>
      </w:r>
    </w:p>
    <w:p w14:paraId="40B6C147" w14:textId="77777777" w:rsidR="00BE18E0" w:rsidRPr="00730673" w:rsidRDefault="00BE18E0" w:rsidP="007E4C91">
      <w:pPr>
        <w:numPr>
          <w:ilvl w:val="0"/>
          <w:numId w:val="21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color w:val="000000"/>
        </w:rPr>
        <w:t>Comparar coerência entre discurso e prática.</w:t>
      </w:r>
    </w:p>
    <w:p w14:paraId="3E219A2F" w14:textId="77777777" w:rsidR="00BE18E0" w:rsidRPr="00730673" w:rsidRDefault="00BE18E0" w:rsidP="007E4C91">
      <w:pPr>
        <w:numPr>
          <w:ilvl w:val="0"/>
          <w:numId w:val="21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color w:val="000000"/>
        </w:rPr>
        <w:t>Avaliar presença de seletividade ou omissão.</w:t>
      </w:r>
    </w:p>
    <w:p w14:paraId="2A24CB4D" w14:textId="77777777" w:rsidR="00BE18E0" w:rsidRPr="00730673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Todos os documentos serão sistematizados em um </w:t>
      </w:r>
      <w:r w:rsidRPr="00730673">
        <w:rPr>
          <w:b/>
          <w:bCs/>
          <w:color w:val="000000"/>
        </w:rPr>
        <w:t>banco de dados textual</w:t>
      </w:r>
      <w:r w:rsidRPr="00730673">
        <w:rPr>
          <w:color w:val="000000"/>
        </w:rPr>
        <w:t>, organizado cronologicamente por caso.</w:t>
      </w:r>
    </w:p>
    <w:p w14:paraId="609814B9" w14:textId="77777777" w:rsidR="00BE18E0" w:rsidRPr="00730673" w:rsidRDefault="00BE18E0" w:rsidP="00C5577F">
      <w:pPr>
        <w:jc w:val="both"/>
      </w:pPr>
    </w:p>
    <w:p w14:paraId="38C370D9" w14:textId="77777777" w:rsidR="00BE18E0" w:rsidRPr="00730673" w:rsidRDefault="00BE18E0" w:rsidP="007E4C91">
      <w:pPr>
        <w:spacing w:line="360" w:lineRule="auto"/>
        <w:jc w:val="both"/>
      </w:pPr>
    </w:p>
    <w:p w14:paraId="3CCCF426" w14:textId="6EE3BD25" w:rsidR="00BE18E0" w:rsidRPr="00730673" w:rsidRDefault="00BE18E0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2" w:name="_Toc210326526"/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5.</w:t>
      </w:r>
      <w:r w:rsidR="00730673" w:rsidRPr="00730673">
        <w:rPr>
          <w:rFonts w:ascii="Times New Roman" w:hAnsi="Times New Roman" w:cs="Times New Roman"/>
          <w:b/>
          <w:color w:val="auto"/>
          <w:sz w:val="24"/>
          <w:szCs w:val="24"/>
        </w:rPr>
        <w:t>4</w:t>
      </w:r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Procedimentos de análise</w:t>
      </w:r>
      <w:bookmarkEnd w:id="22"/>
    </w:p>
    <w:p w14:paraId="1DBF1BF1" w14:textId="77777777" w:rsidR="00BE18E0" w:rsidRPr="00730673" w:rsidRDefault="00BE18E0" w:rsidP="007E4C91">
      <w:pPr>
        <w:spacing w:before="100" w:beforeAutospacing="1" w:after="100" w:afterAutospacing="1"/>
        <w:ind w:firstLine="709"/>
        <w:jc w:val="both"/>
        <w:rPr>
          <w:color w:val="000000"/>
        </w:rPr>
      </w:pPr>
      <w:r w:rsidRPr="00730673">
        <w:rPr>
          <w:color w:val="000000"/>
        </w:rPr>
        <w:t>Os dados coletados serão analisados por meio de </w:t>
      </w:r>
      <w:r w:rsidRPr="00730673">
        <w:rPr>
          <w:b/>
          <w:bCs/>
          <w:color w:val="000000"/>
        </w:rPr>
        <w:t>triangulação metodológica</w:t>
      </w:r>
      <w:r w:rsidRPr="00730673">
        <w:rPr>
          <w:color w:val="000000"/>
        </w:rPr>
        <w:t>:</w:t>
      </w:r>
    </w:p>
    <w:p w14:paraId="479FA0A0" w14:textId="77777777" w:rsidR="00BE18E0" w:rsidRPr="00730673" w:rsidRDefault="00BE18E0" w:rsidP="007E4C91">
      <w:pPr>
        <w:numPr>
          <w:ilvl w:val="0"/>
          <w:numId w:val="26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b/>
          <w:bCs/>
          <w:color w:val="000000"/>
        </w:rPr>
        <w:t>Análise documental:</w:t>
      </w:r>
      <w:r w:rsidRPr="00730673">
        <w:rPr>
          <w:color w:val="000000"/>
        </w:rPr>
        <w:t> comparação entre resoluções, relatórios e declarações.</w:t>
      </w:r>
    </w:p>
    <w:p w14:paraId="51E1FD2E" w14:textId="77777777" w:rsidR="00BE18E0" w:rsidRPr="00730673" w:rsidRDefault="00BE18E0" w:rsidP="007E4C91">
      <w:pPr>
        <w:numPr>
          <w:ilvl w:val="0"/>
          <w:numId w:val="26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b/>
          <w:bCs/>
          <w:color w:val="000000"/>
        </w:rPr>
        <w:t>Análise de entrevistas:</w:t>
      </w:r>
      <w:r w:rsidRPr="00730673">
        <w:rPr>
          <w:color w:val="000000"/>
        </w:rPr>
        <w:t> codificação temática das transcrições, identificação de padrões de percepção.</w:t>
      </w:r>
    </w:p>
    <w:p w14:paraId="65BAAC7E" w14:textId="77777777" w:rsidR="00BE18E0" w:rsidRPr="00730673" w:rsidRDefault="00BE18E0" w:rsidP="007E4C91">
      <w:pPr>
        <w:numPr>
          <w:ilvl w:val="0"/>
          <w:numId w:val="26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b/>
          <w:bCs/>
          <w:color w:val="000000"/>
        </w:rPr>
        <w:t>Análise comparativa:</w:t>
      </w:r>
      <w:r w:rsidRPr="00730673">
        <w:rPr>
          <w:color w:val="000000"/>
        </w:rPr>
        <w:t> construção de matrizes que cruzam as dimensões de institucionalidade, narrativa política e resultados práticos.</w:t>
      </w:r>
    </w:p>
    <w:p w14:paraId="4578555C" w14:textId="77777777" w:rsidR="00BE18E0" w:rsidRPr="00730673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técnica de análise de discurso será aplicada para compreender a linguagem utilizada nos documentos oficiais, observando termos recorrentes como “soberania”, “democracia”, “direitos humanos” e “não intervenção”.</w:t>
      </w:r>
    </w:p>
    <w:p w14:paraId="346F805E" w14:textId="77777777" w:rsidR="00BE18E0" w:rsidRPr="00730673" w:rsidRDefault="00BE18E0" w:rsidP="007E4C91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triangulação garantirá maior validade às conclusões, reduzindo vieses de cada fonte isolada.</w:t>
      </w:r>
    </w:p>
    <w:p w14:paraId="5C0E6C62" w14:textId="77777777" w:rsidR="00730673" w:rsidRPr="00730673" w:rsidRDefault="00730673" w:rsidP="007E4C91">
      <w:pPr>
        <w:spacing w:line="360" w:lineRule="auto"/>
        <w:ind w:firstLine="709"/>
        <w:jc w:val="both"/>
        <w:rPr>
          <w:color w:val="000000"/>
        </w:rPr>
      </w:pPr>
    </w:p>
    <w:p w14:paraId="52E9C40C" w14:textId="3060CFB5" w:rsidR="00730673" w:rsidRPr="00105E72" w:rsidRDefault="00730673" w:rsidP="00730673">
      <w:pPr>
        <w:spacing w:after="100" w:afterAutospacing="1" w:line="360" w:lineRule="auto"/>
        <w:jc w:val="both"/>
        <w:outlineLvl w:val="2"/>
        <w:rPr>
          <w:b/>
          <w:bCs/>
          <w:color w:val="000000"/>
        </w:rPr>
      </w:pPr>
      <w:r w:rsidRPr="00105E72">
        <w:rPr>
          <w:b/>
          <w:bCs/>
          <w:color w:val="000000"/>
        </w:rPr>
        <w:lastRenderedPageBreak/>
        <w:t xml:space="preserve">5.5 Procedimentos de Análise </w:t>
      </w:r>
    </w:p>
    <w:p w14:paraId="6D12E450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Os dados serão analisados por meio de </w:t>
      </w:r>
      <w:r w:rsidRPr="00105E72">
        <w:rPr>
          <w:b/>
          <w:bCs/>
          <w:color w:val="000000"/>
        </w:rPr>
        <w:t>triangulação metodológica</w:t>
      </w:r>
      <w:r w:rsidRPr="00105E72">
        <w:rPr>
          <w:color w:val="000000"/>
        </w:rPr>
        <w:t>.</w:t>
      </w:r>
    </w:p>
    <w:p w14:paraId="08CDB6BE" w14:textId="77777777" w:rsidR="00730673" w:rsidRPr="00105E72" w:rsidRDefault="00730673" w:rsidP="00730673">
      <w:pPr>
        <w:spacing w:after="100" w:afterAutospacing="1" w:line="360" w:lineRule="auto"/>
        <w:jc w:val="both"/>
        <w:outlineLvl w:val="3"/>
        <w:rPr>
          <w:b/>
          <w:bCs/>
          <w:color w:val="000000"/>
        </w:rPr>
      </w:pPr>
      <w:r w:rsidRPr="00105E72">
        <w:rPr>
          <w:b/>
          <w:bCs/>
          <w:color w:val="000000"/>
        </w:rPr>
        <w:t>Análise da Narrativa Política (Dicionário de Dados e Exclusão de Termos)</w:t>
      </w:r>
    </w:p>
    <w:p w14:paraId="56E85D3B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A </w:t>
      </w:r>
      <w:r w:rsidRPr="00105E72">
        <w:rPr>
          <w:b/>
          <w:bCs/>
          <w:color w:val="000000"/>
        </w:rPr>
        <w:t>Narrativa Política</w:t>
      </w:r>
      <w:r w:rsidRPr="00105E72">
        <w:rPr>
          <w:color w:val="000000"/>
        </w:rPr>
        <w:t> será analisada por uma </w:t>
      </w:r>
      <w:r w:rsidRPr="00105E72">
        <w:rPr>
          <w:b/>
          <w:bCs/>
          <w:color w:val="000000"/>
        </w:rPr>
        <w:t>Análise de Conteúdo Qualitativa (ACQ)</w:t>
      </w:r>
      <w:r w:rsidRPr="00105E72">
        <w:rPr>
          <w:color w:val="000000"/>
        </w:rPr>
        <w:t> dos documentos, buscando a frequência, a polarização e o contexto de uso dos termos.</w:t>
      </w:r>
    </w:p>
    <w:p w14:paraId="2B4D81D8" w14:textId="77777777" w:rsidR="00730673" w:rsidRPr="00105E72" w:rsidRDefault="00730673" w:rsidP="00730673">
      <w:pPr>
        <w:spacing w:after="100" w:afterAutospacing="1" w:line="360" w:lineRule="auto"/>
        <w:jc w:val="both"/>
        <w:outlineLvl w:val="4"/>
        <w:rPr>
          <w:b/>
          <w:bCs/>
          <w:color w:val="000000"/>
        </w:rPr>
      </w:pPr>
      <w:r w:rsidRPr="00105E72">
        <w:rPr>
          <w:b/>
          <w:bCs/>
          <w:color w:val="000000"/>
        </w:rPr>
        <w:t>Dicionário de Dados Qualitativo – Palavras-Chave Primárias: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073"/>
        <w:gridCol w:w="1558"/>
        <w:gridCol w:w="3714"/>
      </w:tblGrid>
      <w:tr w:rsidR="00730673" w:rsidRPr="00105E72" w14:paraId="4BCDF55C" w14:textId="77777777" w:rsidTr="00730673">
        <w:trPr>
          <w:tblHeader/>
          <w:tblCellSpacing w:w="15" w:type="dxa"/>
        </w:trPr>
        <w:tc>
          <w:tcPr>
            <w:tcW w:w="2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AF40A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Termo / Código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102CB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4F373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Justificativa para Codificação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C441D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Polarização e Contexto de Uso</w:t>
            </w:r>
          </w:p>
        </w:tc>
      </w:tr>
      <w:tr w:rsidR="00730673" w:rsidRPr="00105E72" w14:paraId="454D012B" w14:textId="77777777" w:rsidTr="00730673">
        <w:trPr>
          <w:tblCellSpacing w:w="15" w:type="dxa"/>
        </w:trPr>
        <w:tc>
          <w:tcPr>
            <w:tcW w:w="2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AA8AF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rPr>
                <w:b/>
                <w:bCs/>
              </w:rPr>
              <w:t>NV-NI</w:t>
            </w:r>
            <w:r w:rsidRPr="00105E72">
              <w:t> (Não-Intervenção)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60862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Narrativa Política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C6408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Pilar da reação histórica latino-americana.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644E0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Alto uso na CELAC como princípio absoluto. Na OEA, o termo é frequentemente </w:t>
            </w:r>
            <w:r w:rsidRPr="00105E72">
              <w:rPr>
                <w:b/>
                <w:bCs/>
              </w:rPr>
              <w:t>subordinado</w:t>
            </w:r>
            <w:r w:rsidRPr="00105E72">
              <w:t> à defesa da democracia.</w:t>
            </w:r>
          </w:p>
        </w:tc>
      </w:tr>
      <w:tr w:rsidR="00730673" w:rsidRPr="00105E72" w14:paraId="6EE17170" w14:textId="77777777" w:rsidTr="00730673">
        <w:trPr>
          <w:tblCellSpacing w:w="15" w:type="dxa"/>
        </w:trPr>
        <w:tc>
          <w:tcPr>
            <w:tcW w:w="2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2A683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rPr>
                <w:b/>
                <w:bCs/>
              </w:rPr>
              <w:t>NV-SOB</w:t>
            </w:r>
            <w:r w:rsidRPr="00105E72">
              <w:t>(Soberania)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ACBE7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Narrativa Política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D2E5E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Afirma o direito exclusivo do Estado sobre seu território e decisões.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890A3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Usado pela CELAC como </w:t>
            </w:r>
            <w:r w:rsidRPr="00105E72">
              <w:rPr>
                <w:b/>
                <w:bCs/>
              </w:rPr>
              <w:t>escudo político</w:t>
            </w:r>
            <w:r w:rsidRPr="00105E72">
              <w:t>; usado pela OEA em conjunto com a </w:t>
            </w:r>
            <w:r w:rsidRPr="00105E72">
              <w:rPr>
                <w:b/>
                <w:bCs/>
              </w:rPr>
              <w:t>condicionalidade</w:t>
            </w:r>
            <w:r w:rsidRPr="00105E72">
              <w:t> democrática.</w:t>
            </w:r>
          </w:p>
        </w:tc>
      </w:tr>
      <w:tr w:rsidR="00730673" w:rsidRPr="00105E72" w14:paraId="701FE201" w14:textId="77777777" w:rsidTr="00730673">
        <w:trPr>
          <w:tblCellSpacing w:w="15" w:type="dxa"/>
        </w:trPr>
        <w:tc>
          <w:tcPr>
            <w:tcW w:w="2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9C6AE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rPr>
                <w:b/>
                <w:bCs/>
              </w:rPr>
              <w:t>NV-AUT</w:t>
            </w:r>
            <w:r w:rsidRPr="00105E72">
              <w:t>(Autodeterminação)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7D7C1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>Narrativa Política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CD915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t xml:space="preserve">Marcador do discurso pós-hegemônico e da busca por </w:t>
            </w:r>
            <w:r w:rsidRPr="00105E72">
              <w:lastRenderedPageBreak/>
              <w:t>autonomia coletiva.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0EFE5" w14:textId="77777777" w:rsidR="00730673" w:rsidRPr="00105E72" w:rsidRDefault="00730673" w:rsidP="00730673">
            <w:pPr>
              <w:spacing w:after="480" w:line="360" w:lineRule="auto"/>
              <w:jc w:val="both"/>
            </w:pPr>
            <w:r w:rsidRPr="00105E72">
              <w:lastRenderedPageBreak/>
              <w:t>Reforça a exclusão da tutela externa e a busca por agendas próprias de desenvolvimento.</w:t>
            </w:r>
          </w:p>
        </w:tc>
      </w:tr>
    </w:tbl>
    <w:p w14:paraId="122E3AF3" w14:textId="77777777" w:rsidR="00730673" w:rsidRPr="00105E72" w:rsidRDefault="00730673" w:rsidP="00730673">
      <w:pPr>
        <w:spacing w:after="100" w:afterAutospacing="1" w:line="360" w:lineRule="auto"/>
        <w:jc w:val="both"/>
        <w:outlineLvl w:val="4"/>
        <w:rPr>
          <w:b/>
          <w:bCs/>
          <w:color w:val="000000"/>
        </w:rPr>
      </w:pPr>
      <w:r w:rsidRPr="00105E72">
        <w:rPr>
          <w:b/>
          <w:bCs/>
          <w:color w:val="000000"/>
        </w:rPr>
        <w:t>Justificativa da Exclusão de Termos Comuns:</w:t>
      </w:r>
    </w:p>
    <w:p w14:paraId="1298360D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Termos como </w:t>
      </w:r>
      <w:r w:rsidRPr="00105E72">
        <w:rPr>
          <w:b/>
          <w:bCs/>
          <w:color w:val="000000"/>
        </w:rPr>
        <w:t>"Paz"</w:t>
      </w:r>
      <w:r w:rsidRPr="00105E72">
        <w:rPr>
          <w:color w:val="000000"/>
        </w:rPr>
        <w:t> ou </w:t>
      </w:r>
      <w:r w:rsidRPr="00105E72">
        <w:rPr>
          <w:b/>
          <w:bCs/>
          <w:color w:val="000000"/>
        </w:rPr>
        <w:t>"Cooperação"</w:t>
      </w:r>
      <w:r w:rsidRPr="00105E72">
        <w:rPr>
          <w:color w:val="000000"/>
        </w:rPr>
        <w:t> são excluídos como variáveis de codificação primária por sua </w:t>
      </w:r>
      <w:r w:rsidRPr="00105E72">
        <w:rPr>
          <w:b/>
          <w:bCs/>
          <w:color w:val="000000"/>
        </w:rPr>
        <w:t>baixa capacidade de diferenciação polarizadora</w:t>
      </w:r>
      <w:r w:rsidRPr="00105E72">
        <w:rPr>
          <w:color w:val="000000"/>
        </w:rPr>
        <w:t>. Ambos os organismos os utilizam intensamente, o que tornaria a contagem pouco útil para distinguir o modelo hegemônico do pós-hegemônico. A CELAC se autoproclama </w:t>
      </w:r>
      <w:r w:rsidRPr="00105E72">
        <w:rPr>
          <w:b/>
          <w:bCs/>
          <w:color w:val="000000"/>
        </w:rPr>
        <w:t>"Zona de Paz"</w:t>
      </w:r>
      <w:r w:rsidRPr="00105E72">
        <w:rPr>
          <w:color w:val="000000"/>
        </w:rPr>
        <w:t>, mas a OEA também tem a paz como um de seus propósitos. A diferença não está no uso do termo, mas no </w:t>
      </w:r>
      <w:r w:rsidRPr="00105E72">
        <w:rPr>
          <w:b/>
          <w:bCs/>
          <w:color w:val="000000"/>
        </w:rPr>
        <w:t>contexto de sua aplicação</w:t>
      </w:r>
      <w:r w:rsidRPr="00105E72">
        <w:rPr>
          <w:color w:val="000000"/>
        </w:rPr>
        <w:t>: a CELAC usa a paz para justificar a não-intervenção; a OEA usa a paz para justificar a ação coletiva contra ameaças à democracia. A codificação deve, portanto, focar nos termos que revelam a </w:t>
      </w:r>
      <w:r w:rsidRPr="00105E72">
        <w:rPr>
          <w:b/>
          <w:bCs/>
          <w:color w:val="000000"/>
        </w:rPr>
        <w:t>ruptura ideológica</w:t>
      </w:r>
      <w:r w:rsidRPr="00105E72">
        <w:rPr>
          <w:color w:val="000000"/>
        </w:rPr>
        <w:t>.</w:t>
      </w:r>
    </w:p>
    <w:p w14:paraId="745E45EB" w14:textId="77777777" w:rsidR="00730673" w:rsidRPr="00105E72" w:rsidRDefault="00730673" w:rsidP="00730673">
      <w:pPr>
        <w:spacing w:after="100" w:afterAutospacing="1" w:line="360" w:lineRule="auto"/>
        <w:jc w:val="both"/>
        <w:outlineLvl w:val="4"/>
        <w:rPr>
          <w:b/>
          <w:bCs/>
          <w:color w:val="000000"/>
        </w:rPr>
      </w:pPr>
      <w:r w:rsidRPr="00105E72">
        <w:rPr>
          <w:b/>
          <w:bCs/>
          <w:color w:val="000000"/>
        </w:rPr>
        <w:t>Análise de Entrevistas (Codificação)</w:t>
      </w:r>
    </w:p>
    <w:p w14:paraId="5FAD4739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As transcrições serão codificadas tematicamente, com códigos abertos relacionados à </w:t>
      </w:r>
      <w:proofErr w:type="gramStart"/>
      <w:r w:rsidRPr="00105E72">
        <w:rPr>
          <w:b/>
          <w:bCs/>
          <w:color w:val="000000"/>
        </w:rPr>
        <w:t>Institucionalidade</w:t>
      </w:r>
      <w:r w:rsidRPr="00105E72">
        <w:rPr>
          <w:color w:val="000000"/>
        </w:rPr>
        <w:t>(</w:t>
      </w:r>
      <w:proofErr w:type="spellStart"/>
      <w:proofErr w:type="gramEnd"/>
      <w:r w:rsidRPr="00105E72">
        <w:rPr>
          <w:color w:val="000000"/>
        </w:rPr>
        <w:t>ex</w:t>
      </w:r>
      <w:proofErr w:type="spellEnd"/>
      <w:r w:rsidRPr="00105E72">
        <w:rPr>
          <w:color w:val="000000"/>
        </w:rPr>
        <w:t>: "eficácia da suspensão OEA", "fragilidade CELAC") e </w:t>
      </w:r>
      <w:r w:rsidRPr="00105E72">
        <w:rPr>
          <w:b/>
          <w:bCs/>
          <w:color w:val="000000"/>
        </w:rPr>
        <w:t>Resultados Práticos</w:t>
      </w:r>
      <w:r w:rsidRPr="00105E72">
        <w:rPr>
          <w:color w:val="000000"/>
        </w:rPr>
        <w:t> (</w:t>
      </w:r>
      <w:proofErr w:type="spellStart"/>
      <w:r w:rsidRPr="00105E72">
        <w:rPr>
          <w:color w:val="000000"/>
        </w:rPr>
        <w:t>ex</w:t>
      </w:r>
      <w:proofErr w:type="spellEnd"/>
      <w:r w:rsidRPr="00105E72">
        <w:rPr>
          <w:color w:val="000000"/>
        </w:rPr>
        <w:t>: "impacto da ação", "viés dos EUA").</w:t>
      </w:r>
    </w:p>
    <w:p w14:paraId="7B875DA2" w14:textId="1592437B" w:rsidR="00730673" w:rsidRPr="00730673" w:rsidRDefault="00730673" w:rsidP="007E4C91">
      <w:pPr>
        <w:spacing w:line="360" w:lineRule="auto"/>
        <w:ind w:firstLine="709"/>
        <w:jc w:val="both"/>
        <w:rPr>
          <w:color w:val="000000"/>
        </w:rPr>
      </w:pPr>
    </w:p>
    <w:p w14:paraId="6CB85A2A" w14:textId="77777777" w:rsidR="00BE18E0" w:rsidRPr="00730673" w:rsidRDefault="00BE18E0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10326527"/>
      <w:r w:rsidRPr="00730673">
        <w:rPr>
          <w:rFonts w:ascii="Times New Roman" w:hAnsi="Times New Roman" w:cs="Times New Roman"/>
          <w:b/>
          <w:bCs/>
          <w:color w:val="auto"/>
          <w:sz w:val="24"/>
          <w:szCs w:val="24"/>
        </w:rPr>
        <w:t>5.6 Limitações metodológicas</w:t>
      </w:r>
      <w:bookmarkEnd w:id="23"/>
    </w:p>
    <w:p w14:paraId="7767DE5D" w14:textId="77777777" w:rsidR="00043C83" w:rsidRPr="00730673" w:rsidRDefault="00043C83" w:rsidP="00043C83">
      <w:pPr>
        <w:spacing w:line="360" w:lineRule="auto"/>
        <w:jc w:val="both"/>
        <w:rPr>
          <w:color w:val="000000"/>
        </w:rPr>
      </w:pPr>
    </w:p>
    <w:p w14:paraId="66CA7F35" w14:textId="77777777" w:rsidR="00BE18E0" w:rsidRPr="00730673" w:rsidRDefault="00BE18E0" w:rsidP="00043C83">
      <w:pPr>
        <w:spacing w:line="360" w:lineRule="auto"/>
        <w:ind w:firstLine="708"/>
        <w:jc w:val="both"/>
        <w:rPr>
          <w:color w:val="000000"/>
        </w:rPr>
      </w:pPr>
      <w:r w:rsidRPr="00730673">
        <w:rPr>
          <w:color w:val="000000"/>
        </w:rPr>
        <w:t>Toda pesquisa enfrenta limitações, que serão explicitadas para reforçar transparência:</w:t>
      </w:r>
    </w:p>
    <w:p w14:paraId="017F03FA" w14:textId="77777777" w:rsidR="00BE18E0" w:rsidRPr="00730673" w:rsidRDefault="00BE18E0" w:rsidP="00043C83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730673">
        <w:rPr>
          <w:b/>
          <w:bCs/>
          <w:color w:val="000000"/>
        </w:rPr>
        <w:t>Fragilidade documental da CELAC:</w:t>
      </w:r>
      <w:r w:rsidRPr="00730673">
        <w:rPr>
          <w:color w:val="000000"/>
        </w:rPr>
        <w:t> por não possuir secretariado permanente, nem sempre as declarações são sistematizadas em bancos públicos.</w:t>
      </w:r>
    </w:p>
    <w:p w14:paraId="00C83AA2" w14:textId="77777777" w:rsidR="00BE18E0" w:rsidRPr="00730673" w:rsidRDefault="00BE18E0" w:rsidP="00043C83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730673">
        <w:rPr>
          <w:b/>
          <w:bCs/>
          <w:color w:val="000000"/>
        </w:rPr>
        <w:t>Viés de seletividade em entrevistas:</w:t>
      </w:r>
      <w:r w:rsidRPr="00730673">
        <w:rPr>
          <w:color w:val="000000"/>
        </w:rPr>
        <w:t> entrevistados podem relatar versões parciais ou politicamente interessadas.</w:t>
      </w:r>
    </w:p>
    <w:p w14:paraId="1C7DFDCB" w14:textId="77777777" w:rsidR="00BE18E0" w:rsidRPr="00730673" w:rsidRDefault="00BE18E0" w:rsidP="00043C83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730673">
        <w:rPr>
          <w:b/>
          <w:bCs/>
          <w:color w:val="000000"/>
        </w:rPr>
        <w:t>Generalização limitada:</w:t>
      </w:r>
      <w:r w:rsidRPr="00730673">
        <w:rPr>
          <w:color w:val="000000"/>
        </w:rPr>
        <w:t> por se tratar de estudo qualitativo, os resultados não serão universalmente generalizáveis.</w:t>
      </w:r>
    </w:p>
    <w:p w14:paraId="287E28C7" w14:textId="77777777" w:rsidR="00BE18E0" w:rsidRPr="00730673" w:rsidRDefault="00BE18E0" w:rsidP="00043C83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730673">
        <w:rPr>
          <w:b/>
          <w:bCs/>
          <w:color w:val="000000"/>
        </w:rPr>
        <w:lastRenderedPageBreak/>
        <w:t>Acesso a atores-chave:</w:t>
      </w:r>
      <w:r w:rsidRPr="00730673">
        <w:rPr>
          <w:color w:val="000000"/>
        </w:rPr>
        <w:t> nem todos os diplomatas e ex-presidentes estarão disponíveis para entrevistas.</w:t>
      </w:r>
    </w:p>
    <w:p w14:paraId="0AEF2530" w14:textId="77777777" w:rsidR="00BE18E0" w:rsidRPr="00730673" w:rsidRDefault="00BE18E0" w:rsidP="00C5577F">
      <w:pPr>
        <w:spacing w:before="100" w:beforeAutospacing="1" w:after="100" w:afterAutospacing="1"/>
        <w:jc w:val="both"/>
        <w:outlineLvl w:val="3"/>
        <w:rPr>
          <w:b/>
          <w:bCs/>
          <w:color w:val="000000"/>
        </w:rPr>
      </w:pPr>
      <w:r w:rsidRPr="00730673">
        <w:rPr>
          <w:b/>
          <w:bCs/>
          <w:color w:val="000000"/>
        </w:rPr>
        <w:t>Estratégias de mitigação</w:t>
      </w:r>
    </w:p>
    <w:p w14:paraId="137257D4" w14:textId="77777777" w:rsidR="00BE18E0" w:rsidRPr="00730673" w:rsidRDefault="00BE18E0" w:rsidP="00043C83">
      <w:pPr>
        <w:numPr>
          <w:ilvl w:val="0"/>
          <w:numId w:val="28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color w:val="000000"/>
        </w:rPr>
        <w:t>Complementar entrevistas com análise documental robusta.</w:t>
      </w:r>
    </w:p>
    <w:p w14:paraId="24A01062" w14:textId="77777777" w:rsidR="00BE18E0" w:rsidRPr="00730673" w:rsidRDefault="00BE18E0" w:rsidP="00043C83">
      <w:pPr>
        <w:numPr>
          <w:ilvl w:val="0"/>
          <w:numId w:val="28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color w:val="000000"/>
        </w:rPr>
        <w:t>Triangular fontes primárias e secundárias.</w:t>
      </w:r>
    </w:p>
    <w:p w14:paraId="2BA14FD0" w14:textId="77777777" w:rsidR="00BE18E0" w:rsidRPr="00730673" w:rsidRDefault="00BE18E0" w:rsidP="00043C83">
      <w:pPr>
        <w:numPr>
          <w:ilvl w:val="0"/>
          <w:numId w:val="28"/>
        </w:numPr>
        <w:spacing w:line="360" w:lineRule="auto"/>
        <w:ind w:left="714" w:hanging="357"/>
        <w:jc w:val="both"/>
        <w:rPr>
          <w:color w:val="000000"/>
        </w:rPr>
      </w:pPr>
      <w:r w:rsidRPr="00730673">
        <w:rPr>
          <w:color w:val="000000"/>
        </w:rPr>
        <w:t>Buscar entrevistados alternativos quando atores centrais não puderem participar.</w:t>
      </w:r>
    </w:p>
    <w:p w14:paraId="667FB657" w14:textId="77777777" w:rsidR="00BE18E0" w:rsidRPr="00730673" w:rsidRDefault="00BE18E0" w:rsidP="00DB538A">
      <w:pPr>
        <w:pStyle w:val="Ttulo2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830CA5" w14:textId="77777777" w:rsidR="00DB538A" w:rsidRPr="00730673" w:rsidRDefault="00DB538A" w:rsidP="00DB538A"/>
    <w:p w14:paraId="5A8900CA" w14:textId="77777777" w:rsidR="00DB538A" w:rsidRPr="00730673" w:rsidRDefault="00DB538A" w:rsidP="00DB538A"/>
    <w:p w14:paraId="54F01FF8" w14:textId="7C7C224C" w:rsidR="00BE18E0" w:rsidRPr="00730673" w:rsidRDefault="00290AC9" w:rsidP="00DB538A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4" w:name="_Toc210326528"/>
      <w:r w:rsidRPr="00730673">
        <w:rPr>
          <w:rFonts w:ascii="Times New Roman" w:hAnsi="Times New Roman" w:cs="Times New Roman"/>
          <w:b/>
          <w:bCs/>
          <w:color w:val="000000"/>
          <w:sz w:val="24"/>
          <w:szCs w:val="24"/>
        </w:rPr>
        <w:t>6 CONSIDERAÇÕES FINAIS PRELIMINARES</w:t>
      </w:r>
      <w:bookmarkEnd w:id="24"/>
    </w:p>
    <w:p w14:paraId="1B075E17" w14:textId="77777777" w:rsidR="00043C83" w:rsidRPr="00730673" w:rsidRDefault="00043C83" w:rsidP="00730673">
      <w:pPr>
        <w:spacing w:line="360" w:lineRule="auto"/>
        <w:ind w:firstLine="708"/>
        <w:jc w:val="both"/>
        <w:rPr>
          <w:color w:val="000000"/>
        </w:rPr>
      </w:pPr>
    </w:p>
    <w:p w14:paraId="476C34B0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A análise preliminar da relação entre OEA e CELAC sugere um panorama de </w:t>
      </w:r>
      <w:r w:rsidRPr="00105E72">
        <w:rPr>
          <w:b/>
          <w:bCs/>
          <w:color w:val="000000"/>
        </w:rPr>
        <w:t>governança regional essencialmente dual</w:t>
      </w:r>
      <w:r w:rsidRPr="00105E72">
        <w:rPr>
          <w:color w:val="000000"/>
        </w:rPr>
        <w:t>, reforçando a pertinência do estudo e a validade inicial da hipótese central. O projeto situa-se na vanguarda do debate sobre o regionalismo latino-americano ao constatar que a dinâmica do hemisfério é explicada pela competição de modelos e não pela obsolescência de uma única instituição.</w:t>
      </w:r>
    </w:p>
    <w:p w14:paraId="1D2E2246" w14:textId="77777777" w:rsidR="00730673" w:rsidRPr="00105E72" w:rsidRDefault="00730673" w:rsidP="00730673">
      <w:pPr>
        <w:spacing w:after="100" w:afterAutospacing="1" w:line="360" w:lineRule="auto"/>
        <w:jc w:val="both"/>
        <w:outlineLvl w:val="2"/>
        <w:rPr>
          <w:b/>
          <w:bCs/>
          <w:color w:val="000000"/>
          <w:sz w:val="27"/>
          <w:szCs w:val="27"/>
        </w:rPr>
      </w:pPr>
      <w:r w:rsidRPr="00105E72">
        <w:rPr>
          <w:b/>
          <w:bCs/>
          <w:color w:val="000000"/>
          <w:sz w:val="27"/>
          <w:szCs w:val="27"/>
        </w:rPr>
        <w:t>6.1 Síntese do Panorama Dual</w:t>
      </w:r>
    </w:p>
    <w:p w14:paraId="0DE5A535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O panorama dual se manifesta claramente no contraste entre as variáveis de estudo:</w:t>
      </w:r>
    </w:p>
    <w:p w14:paraId="3DFFAA8F" w14:textId="77777777" w:rsidR="00730673" w:rsidRPr="00105E72" w:rsidRDefault="00730673" w:rsidP="00730673">
      <w:pPr>
        <w:numPr>
          <w:ilvl w:val="0"/>
          <w:numId w:val="40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OEA como Instituição Hegemônica:</w:t>
      </w:r>
      <w:r w:rsidRPr="00105E72">
        <w:rPr>
          <w:color w:val="000000"/>
        </w:rPr>
        <w:t> Sua </w:t>
      </w:r>
      <w:r w:rsidRPr="00105E72">
        <w:rPr>
          <w:b/>
          <w:bCs/>
          <w:color w:val="000000"/>
        </w:rPr>
        <w:t>robustez institucional</w:t>
      </w:r>
      <w:r w:rsidRPr="00105E72">
        <w:rPr>
          <w:color w:val="000000"/>
        </w:rPr>
        <w:t> (variável 1) garante-lhe uma centralidade normativa e jurídica em temas de segurança e observação eleitoral. Contudo, sua dependência histórica e, muitas vezes, sua </w:t>
      </w:r>
      <w:r w:rsidRPr="00105E72">
        <w:rPr>
          <w:b/>
          <w:bCs/>
          <w:color w:val="000000"/>
        </w:rPr>
        <w:t>atuação seletiva</w:t>
      </w:r>
      <w:r w:rsidRPr="00105E72">
        <w:rPr>
          <w:color w:val="000000"/>
        </w:rPr>
        <w:t> (variável 3) minam sua </w:t>
      </w:r>
      <w:r w:rsidRPr="00105E72">
        <w:rPr>
          <w:b/>
          <w:bCs/>
          <w:color w:val="000000"/>
        </w:rPr>
        <w:t>legitimidade discursiva</w:t>
      </w:r>
      <w:r w:rsidRPr="00105E72">
        <w:rPr>
          <w:color w:val="000000"/>
        </w:rPr>
        <w:t> (variável 2) frente aos Estados membros que buscam autonomia.</w:t>
      </w:r>
    </w:p>
    <w:p w14:paraId="143F14A8" w14:textId="77777777" w:rsidR="00730673" w:rsidRPr="00105E72" w:rsidRDefault="00730673" w:rsidP="00730673">
      <w:pPr>
        <w:numPr>
          <w:ilvl w:val="0"/>
          <w:numId w:val="40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b/>
          <w:bCs/>
          <w:color w:val="000000"/>
        </w:rPr>
        <w:t>CELAC como Alternativa Pós-Hegemônica:</w:t>
      </w:r>
      <w:r w:rsidRPr="00105E72">
        <w:rPr>
          <w:color w:val="000000"/>
        </w:rPr>
        <w:t> Sua </w:t>
      </w:r>
      <w:r w:rsidRPr="00105E72">
        <w:rPr>
          <w:b/>
          <w:bCs/>
          <w:color w:val="000000"/>
        </w:rPr>
        <w:t>fragilidade institucional</w:t>
      </w:r>
      <w:r w:rsidRPr="00105E72">
        <w:rPr>
          <w:color w:val="000000"/>
        </w:rPr>
        <w:t> (variável 1) é, paradoxalmente, sua principal fonte de legitimidade política. Ao operar no </w:t>
      </w:r>
      <w:r w:rsidRPr="00105E72">
        <w:rPr>
          <w:b/>
          <w:bCs/>
          <w:color w:val="000000"/>
        </w:rPr>
        <w:t>consenso</w:t>
      </w:r>
      <w:r w:rsidRPr="00105E72">
        <w:rPr>
          <w:color w:val="000000"/>
        </w:rPr>
        <w:t> e na </w:t>
      </w:r>
      <w:r w:rsidRPr="00105E72">
        <w:rPr>
          <w:b/>
          <w:bCs/>
          <w:color w:val="000000"/>
        </w:rPr>
        <w:t>exclusão da tutela externa</w:t>
      </w:r>
      <w:r w:rsidRPr="00105E72">
        <w:rPr>
          <w:color w:val="000000"/>
        </w:rPr>
        <w:t>, ela se consolida como o fórum essencial de diálogo político e resistência, mesmo que isso limite sua </w:t>
      </w:r>
      <w:r w:rsidRPr="00105E72">
        <w:rPr>
          <w:b/>
          <w:bCs/>
          <w:color w:val="000000"/>
        </w:rPr>
        <w:t>eficácia prática</w:t>
      </w:r>
      <w:r w:rsidRPr="00105E72">
        <w:rPr>
          <w:color w:val="000000"/>
        </w:rPr>
        <w:t> (variável 3).</w:t>
      </w:r>
    </w:p>
    <w:p w14:paraId="5308294D" w14:textId="77777777" w:rsidR="00730673" w:rsidRPr="00105E72" w:rsidRDefault="00730673" w:rsidP="00730673">
      <w:pPr>
        <w:spacing w:after="100" w:afterAutospacing="1" w:line="360" w:lineRule="auto"/>
        <w:jc w:val="both"/>
        <w:outlineLvl w:val="2"/>
        <w:rPr>
          <w:b/>
          <w:bCs/>
          <w:color w:val="000000"/>
          <w:sz w:val="27"/>
          <w:szCs w:val="27"/>
        </w:rPr>
      </w:pPr>
      <w:r w:rsidRPr="00105E72">
        <w:rPr>
          <w:b/>
          <w:bCs/>
          <w:color w:val="000000"/>
          <w:sz w:val="27"/>
          <w:szCs w:val="27"/>
        </w:rPr>
        <w:t>6.2 Contribuição Teórica e Justificativa da Busca Bibliográfica</w:t>
      </w:r>
    </w:p>
    <w:p w14:paraId="7B25589E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lastRenderedPageBreak/>
        <w:t>Do ponto de vista teórico, a pesquisa contribui substancialmente para o debate sobre </w:t>
      </w:r>
      <w:r w:rsidRPr="00105E72">
        <w:rPr>
          <w:b/>
          <w:bCs/>
          <w:color w:val="000000"/>
        </w:rPr>
        <w:t>Hegemonia e Autonomia</w:t>
      </w:r>
      <w:r w:rsidRPr="00105E72">
        <w:rPr>
          <w:color w:val="000000"/>
        </w:rPr>
        <w:t>. A análise demonstra que a governança regional não pode ser explicada apenas pela institucionalidade formal, mas também pela </w:t>
      </w:r>
      <w:r w:rsidRPr="00105E72">
        <w:rPr>
          <w:b/>
          <w:bCs/>
          <w:color w:val="000000"/>
        </w:rPr>
        <w:t>legitimidade política e pelo simbolismo</w:t>
      </w:r>
      <w:r w:rsidRPr="00105E72">
        <w:rPr>
          <w:color w:val="000000"/>
        </w:rPr>
        <w:t> construído no discurso.</w:t>
      </w:r>
    </w:p>
    <w:p w14:paraId="62C5A9F2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O esforço em refinar o </w:t>
      </w:r>
      <w:r w:rsidRPr="00105E72">
        <w:rPr>
          <w:b/>
          <w:bCs/>
          <w:color w:val="000000"/>
        </w:rPr>
        <w:t>referencial teórico</w:t>
      </w:r>
      <w:r w:rsidRPr="00105E72">
        <w:rPr>
          <w:color w:val="000000"/>
        </w:rPr>
        <w:t> e a </w:t>
      </w:r>
      <w:r w:rsidRPr="00105E72">
        <w:rPr>
          <w:b/>
          <w:bCs/>
          <w:color w:val="000000"/>
        </w:rPr>
        <w:t>revisão de literatura</w:t>
      </w:r>
      <w:r w:rsidRPr="00105E72">
        <w:rPr>
          <w:color w:val="000000"/>
        </w:rPr>
        <w:t> (Item 3) já está em curso. A busca inicial de textos utilizando a ferramenta </w:t>
      </w:r>
      <w:proofErr w:type="spellStart"/>
      <w:r w:rsidRPr="00105E72">
        <w:rPr>
          <w:b/>
          <w:bCs/>
          <w:color w:val="000000"/>
        </w:rPr>
        <w:t>Publish</w:t>
      </w:r>
      <w:proofErr w:type="spellEnd"/>
      <w:r w:rsidRPr="00105E72">
        <w:rPr>
          <w:b/>
          <w:bCs/>
          <w:color w:val="000000"/>
        </w:rPr>
        <w:t xml:space="preserve"> </w:t>
      </w:r>
      <w:proofErr w:type="spellStart"/>
      <w:r w:rsidRPr="00105E72">
        <w:rPr>
          <w:b/>
          <w:bCs/>
          <w:color w:val="000000"/>
        </w:rPr>
        <w:t>or</w:t>
      </w:r>
      <w:proofErr w:type="spellEnd"/>
      <w:r w:rsidRPr="00105E72">
        <w:rPr>
          <w:b/>
          <w:bCs/>
          <w:color w:val="000000"/>
        </w:rPr>
        <w:t xml:space="preserve"> </w:t>
      </w:r>
      <w:proofErr w:type="spellStart"/>
      <w:r w:rsidRPr="00105E72">
        <w:rPr>
          <w:b/>
          <w:bCs/>
          <w:color w:val="000000"/>
        </w:rPr>
        <w:t>Perish</w:t>
      </w:r>
      <w:proofErr w:type="spellEnd"/>
      <w:r w:rsidRPr="00105E72">
        <w:rPr>
          <w:color w:val="000000"/>
        </w:rPr>
        <w:t> demonstrou a necessidade de um recorte rigoroso:</w:t>
      </w:r>
    </w:p>
    <w:p w14:paraId="54158F31" w14:textId="77777777" w:rsidR="00730673" w:rsidRPr="00105E72" w:rsidRDefault="00730673" w:rsidP="00730673">
      <w:pPr>
        <w:numPr>
          <w:ilvl w:val="0"/>
          <w:numId w:val="41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Uma busca ampla utilizando apenas a palavra-chave </w:t>
      </w:r>
      <w:r w:rsidRPr="00105E72">
        <w:rPr>
          <w:b/>
          <w:bCs/>
          <w:color w:val="000000"/>
        </w:rPr>
        <w:t>"CELAC"</w:t>
      </w:r>
      <w:r w:rsidRPr="00105E72">
        <w:rPr>
          <w:color w:val="000000"/>
        </w:rPr>
        <w:t> retornou um universo de aproximadamente </w:t>
      </w:r>
      <w:r w:rsidRPr="00105E72">
        <w:rPr>
          <w:b/>
          <w:bCs/>
          <w:color w:val="000000"/>
        </w:rPr>
        <w:t>856 textos</w:t>
      </w:r>
      <w:r w:rsidRPr="00105E72">
        <w:rPr>
          <w:color w:val="000000"/>
        </w:rPr>
        <w:t>.</w:t>
      </w:r>
    </w:p>
    <w:p w14:paraId="5A232251" w14:textId="77777777" w:rsidR="00730673" w:rsidRPr="00105E72" w:rsidRDefault="00730673" w:rsidP="00730673">
      <w:pPr>
        <w:numPr>
          <w:ilvl w:val="0"/>
          <w:numId w:val="41"/>
        </w:num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A inclusão estratégica dos termos </w:t>
      </w:r>
      <w:r w:rsidRPr="00105E72">
        <w:rPr>
          <w:b/>
          <w:bCs/>
          <w:color w:val="000000"/>
        </w:rPr>
        <w:t>"Pós-Hegemônico"</w:t>
      </w:r>
      <w:r w:rsidRPr="00105E72">
        <w:rPr>
          <w:color w:val="000000"/>
        </w:rPr>
        <w:t> e </w:t>
      </w:r>
      <w:r w:rsidRPr="00105E72">
        <w:rPr>
          <w:b/>
          <w:bCs/>
          <w:color w:val="000000"/>
        </w:rPr>
        <w:t>"Soberania Nacional"</w:t>
      </w:r>
      <w:r w:rsidRPr="00105E72">
        <w:rPr>
          <w:color w:val="000000"/>
        </w:rPr>
        <w:t> em conjunto com </w:t>
      </w:r>
      <w:r w:rsidRPr="00105E72">
        <w:rPr>
          <w:b/>
          <w:bCs/>
          <w:color w:val="000000"/>
        </w:rPr>
        <w:t>"CELAC"</w:t>
      </w:r>
      <w:r w:rsidRPr="00105E72">
        <w:rPr>
          <w:color w:val="000000"/>
        </w:rPr>
        <w:t> reduziu esse universo para apenas </w:t>
      </w:r>
      <w:r w:rsidRPr="00105E72">
        <w:rPr>
          <w:b/>
          <w:bCs/>
          <w:color w:val="000000"/>
        </w:rPr>
        <w:t>39 resultados</w:t>
      </w:r>
      <w:r w:rsidRPr="00105E72">
        <w:rPr>
          <w:color w:val="000000"/>
        </w:rPr>
        <w:t>.</w:t>
      </w:r>
    </w:p>
    <w:p w14:paraId="10E85D43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Essa redução drástica (de 856 para 39) valida a escolha metodológica de focar nos conceitos de </w:t>
      </w:r>
      <w:r w:rsidRPr="00105E72">
        <w:rPr>
          <w:b/>
          <w:bCs/>
          <w:color w:val="000000"/>
        </w:rPr>
        <w:t>regionalismo pós-hegemônico</w:t>
      </w:r>
      <w:r w:rsidRPr="00105E72">
        <w:rPr>
          <w:color w:val="000000"/>
        </w:rPr>
        <w:t> e </w:t>
      </w:r>
      <w:r w:rsidRPr="00105E72">
        <w:rPr>
          <w:b/>
          <w:bCs/>
          <w:color w:val="000000"/>
        </w:rPr>
        <w:t>autonomia</w:t>
      </w:r>
      <w:r w:rsidRPr="00105E72">
        <w:rPr>
          <w:color w:val="000000"/>
        </w:rPr>
        <w:t>. Os 39 textos representam o núcleo duro do debate relevante para o projeto, exigindo uma conferência minuciosa e aprofundada para verificar quais deles contribuirão diretamente para o desenvolvimento do referencial teórico e a operacionalização das variáveis de </w:t>
      </w:r>
      <w:r w:rsidRPr="00105E72">
        <w:rPr>
          <w:b/>
          <w:bCs/>
          <w:color w:val="000000"/>
        </w:rPr>
        <w:t>Institucionalidade</w:t>
      </w:r>
      <w:r w:rsidRPr="00105E72">
        <w:rPr>
          <w:color w:val="000000"/>
        </w:rPr>
        <w:t> e </w:t>
      </w:r>
      <w:r w:rsidRPr="00105E72">
        <w:rPr>
          <w:b/>
          <w:bCs/>
          <w:color w:val="000000"/>
        </w:rPr>
        <w:t>Narrativa Política</w:t>
      </w:r>
      <w:r w:rsidRPr="00105E72">
        <w:rPr>
          <w:color w:val="000000"/>
        </w:rPr>
        <w:t>.</w:t>
      </w:r>
    </w:p>
    <w:p w14:paraId="3D4E9308" w14:textId="77777777" w:rsidR="00730673" w:rsidRPr="00105E72" w:rsidRDefault="00730673" w:rsidP="00730673">
      <w:pPr>
        <w:spacing w:after="100" w:afterAutospacing="1" w:line="360" w:lineRule="auto"/>
        <w:jc w:val="both"/>
        <w:outlineLvl w:val="2"/>
        <w:rPr>
          <w:b/>
          <w:bCs/>
          <w:color w:val="000000"/>
          <w:sz w:val="27"/>
          <w:szCs w:val="27"/>
        </w:rPr>
      </w:pPr>
      <w:r w:rsidRPr="00105E72">
        <w:rPr>
          <w:b/>
          <w:bCs/>
          <w:color w:val="000000"/>
          <w:sz w:val="27"/>
          <w:szCs w:val="27"/>
        </w:rPr>
        <w:t>6.3 Implicações Práticas e Cenários Futuros</w:t>
      </w:r>
    </w:p>
    <w:p w14:paraId="0A6B5C85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O trabalho possui implicações práticas significativas. A análise pode iluminar caminhos para </w:t>
      </w:r>
      <w:r w:rsidRPr="00105E72">
        <w:rPr>
          <w:b/>
          <w:bCs/>
          <w:color w:val="000000"/>
        </w:rPr>
        <w:t>fortalecer mecanismos regionais de resolução de crises</w:t>
      </w:r>
      <w:r w:rsidRPr="00105E72">
        <w:rPr>
          <w:color w:val="000000"/>
        </w:rPr>
        <w:t> que sejam percebidos como legítimos pelos Estados latino-americanos, reduzindo a dependência da influência externa.</w:t>
      </w:r>
    </w:p>
    <w:p w14:paraId="53C92026" w14:textId="77777777" w:rsidR="00730673" w:rsidRPr="00105E72" w:rsidRDefault="00730673" w:rsidP="00730673">
      <w:pPr>
        <w:spacing w:after="100" w:afterAutospacing="1" w:line="360" w:lineRule="auto"/>
        <w:jc w:val="both"/>
        <w:rPr>
          <w:color w:val="000000"/>
        </w:rPr>
      </w:pPr>
      <w:r w:rsidRPr="00105E72">
        <w:rPr>
          <w:color w:val="000000"/>
        </w:rPr>
        <w:t>Os cenários futuros sugerem que a </w:t>
      </w:r>
      <w:r w:rsidRPr="00105E72">
        <w:rPr>
          <w:b/>
          <w:bCs/>
          <w:color w:val="000000"/>
        </w:rPr>
        <w:t>coexistência entre OEA e CELAC tende a persistir</w:t>
      </w:r>
      <w:r w:rsidRPr="00105E72">
        <w:rPr>
          <w:color w:val="000000"/>
        </w:rPr>
        <w:t>, mas com a clara separação de funções: a OEA continuará relevante na observação eleitoral e direitos humanos (função técnica e normativa), enquanto a CELAC manterá seu papel de arena de diálogo político e resistência (função simbólica e política). O sucesso deste projeto reside na capacidade de mapear a natureza e os limites dessa divisão funcional.</w:t>
      </w:r>
    </w:p>
    <w:p w14:paraId="13B06844" w14:textId="77777777" w:rsidR="00BE18E0" w:rsidRPr="00730673" w:rsidRDefault="00BE18E0" w:rsidP="001E7F78">
      <w:pPr>
        <w:spacing w:line="360" w:lineRule="auto"/>
        <w:jc w:val="both"/>
      </w:pPr>
    </w:p>
    <w:p w14:paraId="719CAE46" w14:textId="77777777" w:rsidR="0081656F" w:rsidRPr="00730673" w:rsidRDefault="00DB538A" w:rsidP="001E7F78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3067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25" w:name="_Toc210326529"/>
      <w:r w:rsidRPr="00730673">
        <w:rPr>
          <w:rFonts w:ascii="Times New Roman" w:hAnsi="Times New Roman" w:cs="Times New Roman"/>
          <w:b/>
          <w:bCs/>
          <w:color w:val="auto"/>
          <w:sz w:val="24"/>
          <w:szCs w:val="24"/>
        </w:rPr>
        <w:t>RE</w:t>
      </w:r>
      <w:r w:rsidRPr="00730673">
        <w:rPr>
          <w:rStyle w:val="Ttulo1Char"/>
          <w:rFonts w:ascii="Times New Roman" w:hAnsi="Times New Roman" w:cs="Times New Roman"/>
          <w:b/>
          <w:bCs/>
          <w:color w:val="auto"/>
          <w:sz w:val="24"/>
          <w:szCs w:val="24"/>
        </w:rPr>
        <w:t>FERÊNCIA</w:t>
      </w:r>
      <w:r w:rsidRPr="00730673">
        <w:rPr>
          <w:rFonts w:ascii="Times New Roman" w:hAnsi="Times New Roman" w:cs="Times New Roman"/>
          <w:b/>
          <w:bCs/>
          <w:color w:val="auto"/>
          <w:sz w:val="24"/>
          <w:szCs w:val="24"/>
        </w:rPr>
        <w:t>S</w:t>
      </w:r>
      <w:bookmarkEnd w:id="25"/>
    </w:p>
    <w:p w14:paraId="22D6AEC4" w14:textId="77777777" w:rsidR="00DB538A" w:rsidRPr="00730673" w:rsidRDefault="00DB538A" w:rsidP="001E7F78">
      <w:pPr>
        <w:spacing w:line="360" w:lineRule="auto"/>
        <w:rPr>
          <w:b/>
          <w:bCs/>
        </w:rPr>
      </w:pPr>
    </w:p>
    <w:p w14:paraId="20FB4815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rPr>
          <w:lang w:val="es-ES"/>
        </w:rPr>
        <w:lastRenderedPageBreak/>
        <w:t xml:space="preserve">BRICEÑO-RUIZ, José. </w:t>
      </w:r>
      <w:r w:rsidRPr="00730673">
        <w:rPr>
          <w:rStyle w:val="nfase"/>
          <w:rFonts w:eastAsiaTheme="majorEastAsia"/>
          <w:b/>
          <w:i w:val="0"/>
          <w:lang w:val="es-ES"/>
        </w:rPr>
        <w:t>El regionalismo post-hegemónico en América Latina</w:t>
      </w:r>
      <w:r w:rsidRPr="00730673">
        <w:rPr>
          <w:rStyle w:val="nfase"/>
          <w:rFonts w:eastAsiaTheme="majorEastAsia"/>
          <w:lang w:val="es-ES"/>
        </w:rPr>
        <w:t xml:space="preserve">: </w:t>
      </w:r>
      <w:r w:rsidRPr="00730673">
        <w:rPr>
          <w:rStyle w:val="nfase"/>
          <w:rFonts w:eastAsiaTheme="majorEastAsia"/>
          <w:i w:val="0"/>
          <w:lang w:val="es-ES"/>
        </w:rPr>
        <w:t>origen y dilemas</w:t>
      </w:r>
      <w:r w:rsidRPr="00730673">
        <w:rPr>
          <w:lang w:val="es-ES"/>
        </w:rPr>
        <w:t xml:space="preserve">. </w:t>
      </w:r>
      <w:r w:rsidRPr="00730673">
        <w:t xml:space="preserve">Quito: FLACSO, 2013. Disponível em: </w:t>
      </w:r>
      <w:hyperlink r:id="rId15" w:tgtFrame="_new" w:history="1">
        <w:r w:rsidRPr="00730673">
          <w:rPr>
            <w:rStyle w:val="Hyperlink"/>
            <w:rFonts w:eastAsiaTheme="majorEastAsia"/>
          </w:rPr>
          <w:t>https://librosoa.unam.mx/handle/123456789/3576</w:t>
        </w:r>
      </w:hyperlink>
      <w:r w:rsidRPr="00730673">
        <w:t>. Acesso em: 2 out. 2025.</w:t>
      </w:r>
    </w:p>
    <w:p w14:paraId="63090DEA" w14:textId="77777777" w:rsidR="00DB538A" w:rsidRPr="00730673" w:rsidRDefault="00DB538A" w:rsidP="00DB538A">
      <w:pPr>
        <w:pStyle w:val="NormalWeb"/>
        <w:spacing w:before="0" w:beforeAutospacing="0" w:after="0" w:afterAutospacing="0"/>
      </w:pPr>
    </w:p>
    <w:p w14:paraId="6D67C45D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t xml:space="preserve">CIDH. </w:t>
      </w:r>
      <w:r w:rsidRPr="00730673">
        <w:rPr>
          <w:rStyle w:val="nfase"/>
          <w:rFonts w:eastAsiaTheme="majorEastAsia"/>
          <w:b/>
          <w:i w:val="0"/>
        </w:rPr>
        <w:t>Relatórios anuais e especiais</w:t>
      </w:r>
      <w:r w:rsidRPr="00730673">
        <w:t xml:space="preserve">. Organização dos Estados Americanos – OEA. Disponível em: </w:t>
      </w:r>
      <w:hyperlink r:id="rId16" w:tgtFrame="_new" w:history="1">
        <w:r w:rsidRPr="00730673">
          <w:rPr>
            <w:rStyle w:val="Hyperlink"/>
            <w:rFonts w:eastAsiaTheme="majorEastAsia"/>
          </w:rPr>
          <w:t>https://www.oas.org/pt/cidh/relatorios/ia.asp</w:t>
        </w:r>
      </w:hyperlink>
      <w:r w:rsidRPr="00730673">
        <w:t>. Acesso em: 2 out. 2025.</w:t>
      </w:r>
    </w:p>
    <w:p w14:paraId="40E51560" w14:textId="77777777" w:rsidR="00DB538A" w:rsidRPr="00730673" w:rsidRDefault="00DB538A" w:rsidP="00DB538A">
      <w:pPr>
        <w:pStyle w:val="NormalWeb"/>
        <w:spacing w:before="0" w:beforeAutospacing="0" w:after="0" w:afterAutospacing="0"/>
      </w:pPr>
    </w:p>
    <w:p w14:paraId="2F71EBCD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t xml:space="preserve">CLACSO. </w:t>
      </w:r>
      <w:r w:rsidRPr="00730673">
        <w:rPr>
          <w:rStyle w:val="nfase"/>
          <w:rFonts w:eastAsiaTheme="majorEastAsia"/>
          <w:b/>
          <w:i w:val="0"/>
        </w:rPr>
        <w:t>Observatório sobre Integração Regional</w:t>
      </w:r>
      <w:r w:rsidRPr="00730673">
        <w:t xml:space="preserve">. Buenos Aires: CLACSO, [s.d.]. Disponível em: </w:t>
      </w:r>
      <w:hyperlink r:id="rId17" w:tgtFrame="_new" w:history="1">
        <w:r w:rsidRPr="00730673">
          <w:rPr>
            <w:rStyle w:val="Hyperlink"/>
            <w:rFonts w:eastAsiaTheme="majorEastAsia"/>
          </w:rPr>
          <w:t>https://www.clacso.org</w:t>
        </w:r>
      </w:hyperlink>
      <w:r w:rsidRPr="00730673">
        <w:t>. Acesso em: 2 out. 2025.</w:t>
      </w:r>
    </w:p>
    <w:p w14:paraId="406FEED7" w14:textId="77777777" w:rsidR="00DB538A" w:rsidRPr="00730673" w:rsidRDefault="00DB538A" w:rsidP="00DB538A">
      <w:pPr>
        <w:pStyle w:val="NormalWeb"/>
        <w:spacing w:before="0" w:beforeAutospacing="0" w:after="0" w:afterAutospacing="0"/>
      </w:pPr>
    </w:p>
    <w:p w14:paraId="212A8001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t xml:space="preserve">GERRING, John. </w:t>
      </w:r>
      <w:r w:rsidRPr="00730673">
        <w:rPr>
          <w:rStyle w:val="nfase"/>
          <w:rFonts w:eastAsiaTheme="majorEastAsia"/>
          <w:b/>
          <w:i w:val="0"/>
          <w:lang w:val="en-GB"/>
        </w:rPr>
        <w:t xml:space="preserve">Case study research: </w:t>
      </w:r>
      <w:r w:rsidRPr="00730673">
        <w:rPr>
          <w:rStyle w:val="nfase"/>
          <w:rFonts w:eastAsiaTheme="majorEastAsia"/>
          <w:i w:val="0"/>
          <w:lang w:val="en-GB"/>
        </w:rPr>
        <w:t>principles and practices</w:t>
      </w:r>
      <w:r w:rsidRPr="00730673">
        <w:rPr>
          <w:lang w:val="en-GB"/>
        </w:rPr>
        <w:t xml:space="preserve">. </w:t>
      </w:r>
      <w:r w:rsidRPr="00730673">
        <w:t xml:space="preserve">Cambridge: Cambridge </w:t>
      </w:r>
      <w:proofErr w:type="spellStart"/>
      <w:r w:rsidRPr="00730673">
        <w:t>University</w:t>
      </w:r>
      <w:proofErr w:type="spellEnd"/>
      <w:r w:rsidRPr="00730673">
        <w:t xml:space="preserve"> Press, 2007. Disponível em: </w:t>
      </w:r>
      <w:hyperlink r:id="rId18" w:tgtFrame="_new" w:history="1">
        <w:r w:rsidRPr="00730673">
          <w:rPr>
            <w:rStyle w:val="Hyperlink"/>
            <w:rFonts w:eastAsiaTheme="majorEastAsia"/>
          </w:rPr>
          <w:t>http://maratavarespsictics.pbworks.com/w/file/fetch/74304716/3-YIN-planejamento_metodologia.pdf</w:t>
        </w:r>
      </w:hyperlink>
      <w:r w:rsidRPr="00730673">
        <w:t>. Acesso em: 2 out. 2025.</w:t>
      </w:r>
    </w:p>
    <w:p w14:paraId="767D6E4B" w14:textId="77777777" w:rsidR="00DB538A" w:rsidRPr="00730673" w:rsidRDefault="00DB538A" w:rsidP="00DB538A">
      <w:pPr>
        <w:pStyle w:val="NormalWeb"/>
        <w:spacing w:before="0" w:beforeAutospacing="0" w:after="0" w:afterAutospacing="0"/>
      </w:pPr>
    </w:p>
    <w:p w14:paraId="44FD1B79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t xml:space="preserve">MALAMUD, Andrés. Sobre a crescente irrelevância da América Latina. </w:t>
      </w:r>
      <w:r w:rsidRPr="00730673">
        <w:rPr>
          <w:rStyle w:val="nfase"/>
          <w:rFonts w:eastAsiaTheme="majorEastAsia"/>
          <w:b/>
          <w:i w:val="0"/>
        </w:rPr>
        <w:t xml:space="preserve">Nueva </w:t>
      </w:r>
      <w:proofErr w:type="spellStart"/>
      <w:r w:rsidRPr="00730673">
        <w:rPr>
          <w:rStyle w:val="nfase"/>
          <w:rFonts w:eastAsiaTheme="majorEastAsia"/>
          <w:b/>
          <w:i w:val="0"/>
        </w:rPr>
        <w:t>Sociedad</w:t>
      </w:r>
      <w:proofErr w:type="spellEnd"/>
      <w:r w:rsidRPr="00730673">
        <w:t xml:space="preserve">, Buenos Aires, 2017. Disponível em: </w:t>
      </w:r>
      <w:hyperlink r:id="rId19" w:tgtFrame="_new" w:history="1">
        <w:r w:rsidRPr="00730673">
          <w:rPr>
            <w:rStyle w:val="Hyperlink"/>
            <w:rFonts w:eastAsiaTheme="majorEastAsia"/>
          </w:rPr>
          <w:t>https://nuso.org/articulo/sobre-crescente-irrelevancia-da-america-latina</w:t>
        </w:r>
      </w:hyperlink>
      <w:r w:rsidRPr="00730673">
        <w:t>. Acesso em: 2 out. 2025.</w:t>
      </w:r>
    </w:p>
    <w:p w14:paraId="3D13BDE9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t xml:space="preserve">OEA. </w:t>
      </w:r>
      <w:r w:rsidRPr="00730673">
        <w:rPr>
          <w:rStyle w:val="nfase"/>
          <w:rFonts w:eastAsiaTheme="majorEastAsia"/>
          <w:b/>
          <w:i w:val="0"/>
        </w:rPr>
        <w:t>Carta Democrática Interamericana</w:t>
      </w:r>
      <w:r w:rsidRPr="00730673">
        <w:t xml:space="preserve">. Washington, D.C.: Organização dos Estados Americanos, 2001. Disponível em: </w:t>
      </w:r>
      <w:hyperlink r:id="rId20" w:tgtFrame="_new" w:history="1">
        <w:r w:rsidRPr="00730673">
          <w:rPr>
            <w:rStyle w:val="Hyperlink"/>
            <w:rFonts w:eastAsiaTheme="majorEastAsia"/>
          </w:rPr>
          <w:t>https://www.oas.org/pt/democracia/carta_democratica.asp</w:t>
        </w:r>
      </w:hyperlink>
      <w:r w:rsidRPr="00730673">
        <w:t>. Acesso em: 2 out. 2025.</w:t>
      </w:r>
    </w:p>
    <w:p w14:paraId="39695C07" w14:textId="77777777" w:rsidR="00DB538A" w:rsidRPr="00730673" w:rsidRDefault="00DB538A" w:rsidP="00DB538A">
      <w:pPr>
        <w:pStyle w:val="NormalWeb"/>
        <w:spacing w:before="0" w:beforeAutospacing="0" w:after="0" w:afterAutospacing="0"/>
      </w:pPr>
    </w:p>
    <w:p w14:paraId="19FC3DDB" w14:textId="77777777" w:rsidR="00043C83" w:rsidRPr="00730673" w:rsidRDefault="00043C83" w:rsidP="00DB538A">
      <w:pPr>
        <w:pStyle w:val="NormalWeb"/>
        <w:spacing w:before="0" w:beforeAutospacing="0" w:after="0" w:afterAutospacing="0"/>
        <w:rPr>
          <w:lang w:val="en-GB"/>
        </w:rPr>
      </w:pPr>
      <w:r w:rsidRPr="00730673">
        <w:t xml:space="preserve">ONU. </w:t>
      </w:r>
      <w:r w:rsidRPr="00730673">
        <w:rPr>
          <w:rStyle w:val="nfase"/>
          <w:rFonts w:eastAsiaTheme="majorEastAsia"/>
          <w:b/>
          <w:i w:val="0"/>
        </w:rPr>
        <w:t>Relatórios sobre América Latina e Caribe</w:t>
      </w:r>
      <w:r w:rsidRPr="00730673">
        <w:t xml:space="preserve">. Organização das Nações Unidas. Disponível em: </w:t>
      </w:r>
      <w:hyperlink r:id="rId21" w:tgtFrame="_new" w:history="1">
        <w:r w:rsidRPr="00730673">
          <w:rPr>
            <w:rStyle w:val="Hyperlink"/>
            <w:rFonts w:eastAsiaTheme="majorEastAsia"/>
          </w:rPr>
          <w:t>https://www.un.org/pt/global-issues/americas</w:t>
        </w:r>
      </w:hyperlink>
      <w:r w:rsidRPr="00730673">
        <w:t xml:space="preserve">. </w:t>
      </w:r>
      <w:proofErr w:type="spellStart"/>
      <w:r w:rsidRPr="00730673">
        <w:rPr>
          <w:lang w:val="en-GB"/>
        </w:rPr>
        <w:t>Acesso</w:t>
      </w:r>
      <w:proofErr w:type="spellEnd"/>
      <w:r w:rsidRPr="00730673">
        <w:rPr>
          <w:lang w:val="en-GB"/>
        </w:rPr>
        <w:t xml:space="preserve"> </w:t>
      </w:r>
      <w:proofErr w:type="spellStart"/>
      <w:r w:rsidRPr="00730673">
        <w:rPr>
          <w:lang w:val="en-GB"/>
        </w:rPr>
        <w:t>em</w:t>
      </w:r>
      <w:proofErr w:type="spellEnd"/>
      <w:r w:rsidRPr="00730673">
        <w:rPr>
          <w:lang w:val="en-GB"/>
        </w:rPr>
        <w:t>: 2 out. 2025.</w:t>
      </w:r>
    </w:p>
    <w:p w14:paraId="7CDDAEB5" w14:textId="77777777" w:rsidR="00DB538A" w:rsidRPr="00730673" w:rsidRDefault="00DB538A" w:rsidP="00DB538A">
      <w:pPr>
        <w:pStyle w:val="NormalWeb"/>
        <w:spacing w:before="0" w:beforeAutospacing="0" w:after="0" w:afterAutospacing="0"/>
        <w:rPr>
          <w:lang w:val="en-GB"/>
        </w:rPr>
      </w:pPr>
    </w:p>
    <w:p w14:paraId="5F843FC7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rPr>
          <w:lang w:val="en-GB"/>
        </w:rPr>
        <w:t xml:space="preserve">RIGGIROZZI, </w:t>
      </w:r>
      <w:proofErr w:type="spellStart"/>
      <w:r w:rsidRPr="00730673">
        <w:rPr>
          <w:lang w:val="en-GB"/>
        </w:rPr>
        <w:t>Pía</w:t>
      </w:r>
      <w:proofErr w:type="spellEnd"/>
      <w:r w:rsidRPr="00730673">
        <w:rPr>
          <w:lang w:val="en-GB"/>
        </w:rPr>
        <w:t xml:space="preserve">; TUSSIE, Diana. </w:t>
      </w:r>
      <w:r w:rsidRPr="00730673">
        <w:rPr>
          <w:rStyle w:val="nfase"/>
          <w:rFonts w:eastAsiaTheme="majorEastAsia"/>
          <w:b/>
          <w:i w:val="0"/>
          <w:lang w:val="en-GB"/>
        </w:rPr>
        <w:t>The rise of post-hegemonic regionalism in Latin America</w:t>
      </w:r>
      <w:r w:rsidRPr="00730673">
        <w:rPr>
          <w:lang w:val="en-GB"/>
        </w:rPr>
        <w:t xml:space="preserve">. </w:t>
      </w:r>
      <w:proofErr w:type="spellStart"/>
      <w:r w:rsidRPr="00730673">
        <w:rPr>
          <w:lang w:val="en-GB"/>
        </w:rPr>
        <w:t>Genebra</w:t>
      </w:r>
      <w:proofErr w:type="spellEnd"/>
      <w:r w:rsidRPr="00730673">
        <w:rPr>
          <w:lang w:val="en-GB"/>
        </w:rPr>
        <w:t xml:space="preserve">: United Nations Research Institute for Social Development – UNRISD, 2012. </w:t>
      </w:r>
      <w:proofErr w:type="spellStart"/>
      <w:r w:rsidRPr="00730673">
        <w:rPr>
          <w:lang w:val="en-GB"/>
        </w:rPr>
        <w:t>Disponível</w:t>
      </w:r>
      <w:proofErr w:type="spellEnd"/>
      <w:r w:rsidRPr="00730673">
        <w:rPr>
          <w:lang w:val="en-GB"/>
        </w:rPr>
        <w:t xml:space="preserve"> </w:t>
      </w:r>
      <w:proofErr w:type="spellStart"/>
      <w:r w:rsidRPr="00730673">
        <w:rPr>
          <w:lang w:val="en-GB"/>
        </w:rPr>
        <w:t>em</w:t>
      </w:r>
      <w:proofErr w:type="spellEnd"/>
      <w:r w:rsidRPr="00730673">
        <w:rPr>
          <w:lang w:val="en-GB"/>
        </w:rPr>
        <w:t xml:space="preserve">: </w:t>
      </w:r>
      <w:hyperlink r:id="rId22" w:tgtFrame="_new" w:history="1">
        <w:r w:rsidRPr="00730673">
          <w:rPr>
            <w:rStyle w:val="Hyperlink"/>
            <w:rFonts w:eastAsiaTheme="majorEastAsia"/>
            <w:lang w:val="en-GB"/>
          </w:rPr>
          <w:t>https://www.scielo.org.mx/scielo.php?script=sci_arttext&amp;pid=S0185-013X2015000200631</w:t>
        </w:r>
      </w:hyperlink>
      <w:r w:rsidRPr="00730673">
        <w:rPr>
          <w:lang w:val="en-GB"/>
        </w:rPr>
        <w:t xml:space="preserve">. </w:t>
      </w:r>
      <w:r w:rsidRPr="00730673">
        <w:t>Acesso em: 2 out. 2025.</w:t>
      </w:r>
    </w:p>
    <w:p w14:paraId="6F8F9007" w14:textId="77777777" w:rsidR="00DB538A" w:rsidRPr="00730673" w:rsidRDefault="00DB538A" w:rsidP="00DB538A">
      <w:pPr>
        <w:pStyle w:val="NormalWeb"/>
        <w:spacing w:before="0" w:beforeAutospacing="0" w:after="0" w:afterAutospacing="0"/>
      </w:pPr>
    </w:p>
    <w:p w14:paraId="71955B78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t xml:space="preserve">SANAHUJA, José Antonio. Regionalismo pós-hegemônico e integração na América Latina. </w:t>
      </w:r>
      <w:r w:rsidRPr="00730673">
        <w:rPr>
          <w:rStyle w:val="nfase"/>
          <w:rFonts w:eastAsiaTheme="majorEastAsia"/>
          <w:b/>
          <w:i w:val="0"/>
        </w:rPr>
        <w:t xml:space="preserve">Nueva </w:t>
      </w:r>
      <w:proofErr w:type="spellStart"/>
      <w:r w:rsidRPr="00730673">
        <w:rPr>
          <w:rStyle w:val="nfase"/>
          <w:rFonts w:eastAsiaTheme="majorEastAsia"/>
          <w:b/>
          <w:i w:val="0"/>
        </w:rPr>
        <w:t>Sociedad</w:t>
      </w:r>
      <w:proofErr w:type="spellEnd"/>
      <w:r w:rsidRPr="00730673">
        <w:t xml:space="preserve">, n. 250, Buenos Aires, 2014. Disponível em: </w:t>
      </w:r>
      <w:hyperlink r:id="rId23" w:tgtFrame="_new" w:history="1">
        <w:r w:rsidRPr="00730673">
          <w:rPr>
            <w:rStyle w:val="Hyperlink"/>
            <w:rFonts w:eastAsiaTheme="majorEastAsia"/>
          </w:rPr>
          <w:t>https://www.cries.org/wp-content/uploads/2017/02/007-sanahuja.pdf</w:t>
        </w:r>
      </w:hyperlink>
      <w:r w:rsidRPr="00730673">
        <w:t>. Acesso em: 2 out. 2025.</w:t>
      </w:r>
    </w:p>
    <w:p w14:paraId="09E2FF69" w14:textId="77777777" w:rsidR="00DB538A" w:rsidRPr="00730673" w:rsidRDefault="00DB538A" w:rsidP="00DB538A">
      <w:pPr>
        <w:pStyle w:val="NormalWeb"/>
        <w:spacing w:before="0" w:beforeAutospacing="0" w:after="0" w:afterAutospacing="0"/>
      </w:pPr>
    </w:p>
    <w:p w14:paraId="646D1983" w14:textId="77777777" w:rsidR="00043C83" w:rsidRPr="00730673" w:rsidRDefault="00043C83" w:rsidP="00DB538A">
      <w:pPr>
        <w:pStyle w:val="NormalWeb"/>
        <w:spacing w:before="0" w:beforeAutospacing="0" w:after="0" w:afterAutospacing="0"/>
        <w:rPr>
          <w:lang w:val="es-ES"/>
        </w:rPr>
      </w:pPr>
      <w:r w:rsidRPr="00730673">
        <w:rPr>
          <w:lang w:val="es-ES"/>
        </w:rPr>
        <w:t xml:space="preserve">SERBIN, Andrés. </w:t>
      </w:r>
      <w:r w:rsidRPr="00730673">
        <w:rPr>
          <w:rStyle w:val="nfase"/>
          <w:rFonts w:eastAsiaTheme="majorEastAsia"/>
          <w:b/>
          <w:i w:val="0"/>
          <w:lang w:val="es-ES"/>
        </w:rPr>
        <w:t xml:space="preserve">La CELAC y la construcción de un regionalismo </w:t>
      </w:r>
      <w:proofErr w:type="spellStart"/>
      <w:r w:rsidRPr="00730673">
        <w:rPr>
          <w:rStyle w:val="nfase"/>
          <w:rFonts w:eastAsiaTheme="majorEastAsia"/>
          <w:b/>
          <w:i w:val="0"/>
          <w:lang w:val="es-ES"/>
        </w:rPr>
        <w:t>poshegemónico</w:t>
      </w:r>
      <w:proofErr w:type="spellEnd"/>
      <w:r w:rsidRPr="00730673">
        <w:rPr>
          <w:lang w:val="es-ES"/>
        </w:rPr>
        <w:t xml:space="preserve">. </w:t>
      </w:r>
      <w:r w:rsidRPr="00730673">
        <w:t xml:space="preserve">Buenos Aires: CRIES, 2012. Disponível em: </w:t>
      </w:r>
      <w:hyperlink r:id="rId24" w:tgtFrame="_new" w:history="1">
        <w:r w:rsidRPr="00730673">
          <w:rPr>
            <w:rStyle w:val="Hyperlink"/>
            <w:rFonts w:eastAsiaTheme="majorEastAsia"/>
          </w:rPr>
          <w:t>https://www.researchgate.net/publication/351369298_La_CELAC_mas_alla_del_regionalismo_poshegemonico</w:t>
        </w:r>
      </w:hyperlink>
      <w:r w:rsidRPr="00730673">
        <w:t xml:space="preserve">. </w:t>
      </w:r>
      <w:proofErr w:type="spellStart"/>
      <w:r w:rsidRPr="00730673">
        <w:rPr>
          <w:lang w:val="es-ES"/>
        </w:rPr>
        <w:t>Acesso</w:t>
      </w:r>
      <w:proofErr w:type="spellEnd"/>
      <w:r w:rsidRPr="00730673">
        <w:rPr>
          <w:lang w:val="es-ES"/>
        </w:rPr>
        <w:t xml:space="preserve"> em: 2 </w:t>
      </w:r>
      <w:proofErr w:type="spellStart"/>
      <w:r w:rsidRPr="00730673">
        <w:rPr>
          <w:lang w:val="es-ES"/>
        </w:rPr>
        <w:t>out</w:t>
      </w:r>
      <w:proofErr w:type="spellEnd"/>
      <w:r w:rsidRPr="00730673">
        <w:rPr>
          <w:lang w:val="es-ES"/>
        </w:rPr>
        <w:t>. 2025.</w:t>
      </w:r>
    </w:p>
    <w:p w14:paraId="4878A389" w14:textId="77777777" w:rsidR="00DB538A" w:rsidRPr="00730673" w:rsidRDefault="00DB538A" w:rsidP="00DB538A">
      <w:pPr>
        <w:pStyle w:val="NormalWeb"/>
        <w:spacing w:before="0" w:beforeAutospacing="0" w:after="0" w:afterAutospacing="0"/>
        <w:rPr>
          <w:lang w:val="es-ES"/>
        </w:rPr>
      </w:pPr>
    </w:p>
    <w:p w14:paraId="57269CA7" w14:textId="77777777" w:rsidR="00043C83" w:rsidRPr="00730673" w:rsidRDefault="00043C83" w:rsidP="00DB538A">
      <w:pPr>
        <w:pStyle w:val="NormalWeb"/>
        <w:spacing w:before="0" w:beforeAutospacing="0" w:after="0" w:afterAutospacing="0"/>
        <w:rPr>
          <w:lang w:val="en-GB"/>
        </w:rPr>
      </w:pPr>
      <w:r w:rsidRPr="00730673">
        <w:rPr>
          <w:lang w:val="es-ES"/>
        </w:rPr>
        <w:t xml:space="preserve">TOKATLIAN, Juan Gabriel. </w:t>
      </w:r>
      <w:r w:rsidRPr="00730673">
        <w:rPr>
          <w:rStyle w:val="nfase"/>
          <w:rFonts w:eastAsiaTheme="majorEastAsia"/>
          <w:b/>
          <w:i w:val="0"/>
          <w:lang w:val="es-ES"/>
        </w:rPr>
        <w:t>Autonomía y política exterior: teoría y práctica en América Latina</w:t>
      </w:r>
      <w:r w:rsidRPr="00730673">
        <w:rPr>
          <w:lang w:val="es-ES"/>
        </w:rPr>
        <w:t xml:space="preserve">. Buenos Aires: Universidad Torcuato Di Tella – UTDT, 2011. </w:t>
      </w:r>
      <w:proofErr w:type="spellStart"/>
      <w:r w:rsidRPr="00730673">
        <w:rPr>
          <w:lang w:val="es-ES"/>
        </w:rPr>
        <w:t>Disponível</w:t>
      </w:r>
      <w:proofErr w:type="spellEnd"/>
      <w:r w:rsidRPr="00730673">
        <w:rPr>
          <w:lang w:val="es-ES"/>
        </w:rPr>
        <w:t xml:space="preserve"> em: </w:t>
      </w:r>
      <w:hyperlink r:id="rId25" w:tgtFrame="_new" w:history="1">
        <w:r w:rsidRPr="00730673">
          <w:rPr>
            <w:rStyle w:val="Hyperlink"/>
            <w:rFonts w:eastAsiaTheme="majorEastAsia"/>
            <w:lang w:val="es-ES"/>
          </w:rPr>
          <w:t>https://repositorio.utdt.edu/server/api/core/bitstreams/33311df7-2b39-455d-8e29-6e23db99873f/content</w:t>
        </w:r>
      </w:hyperlink>
      <w:r w:rsidRPr="00730673">
        <w:rPr>
          <w:lang w:val="es-ES"/>
        </w:rPr>
        <w:t xml:space="preserve">. </w:t>
      </w:r>
      <w:proofErr w:type="spellStart"/>
      <w:r w:rsidRPr="00730673">
        <w:rPr>
          <w:lang w:val="en-GB"/>
        </w:rPr>
        <w:t>Acesso</w:t>
      </w:r>
      <w:proofErr w:type="spellEnd"/>
      <w:r w:rsidRPr="00730673">
        <w:rPr>
          <w:lang w:val="en-GB"/>
        </w:rPr>
        <w:t xml:space="preserve"> </w:t>
      </w:r>
      <w:proofErr w:type="spellStart"/>
      <w:r w:rsidRPr="00730673">
        <w:rPr>
          <w:lang w:val="en-GB"/>
        </w:rPr>
        <w:t>em</w:t>
      </w:r>
      <w:proofErr w:type="spellEnd"/>
      <w:r w:rsidRPr="00730673">
        <w:rPr>
          <w:lang w:val="en-GB"/>
        </w:rPr>
        <w:t>: 2 out. 2025.</w:t>
      </w:r>
    </w:p>
    <w:p w14:paraId="7F54A35B" w14:textId="77777777" w:rsidR="00DB538A" w:rsidRPr="00730673" w:rsidRDefault="00DB538A" w:rsidP="00DB538A">
      <w:pPr>
        <w:pStyle w:val="NormalWeb"/>
        <w:spacing w:before="0" w:beforeAutospacing="0" w:after="0" w:afterAutospacing="0"/>
        <w:rPr>
          <w:lang w:val="en-GB"/>
        </w:rPr>
      </w:pPr>
    </w:p>
    <w:p w14:paraId="6D0BE174" w14:textId="77777777" w:rsidR="00043C83" w:rsidRPr="00730673" w:rsidRDefault="00043C83" w:rsidP="00DB538A">
      <w:pPr>
        <w:pStyle w:val="NormalWeb"/>
        <w:spacing w:before="0" w:beforeAutospacing="0" w:after="0" w:afterAutospacing="0"/>
      </w:pPr>
      <w:r w:rsidRPr="00730673">
        <w:rPr>
          <w:lang w:val="en-GB"/>
        </w:rPr>
        <w:t xml:space="preserve">YIN, Robert K. </w:t>
      </w:r>
      <w:r w:rsidRPr="00730673">
        <w:rPr>
          <w:rStyle w:val="nfase"/>
          <w:rFonts w:eastAsiaTheme="majorEastAsia"/>
          <w:b/>
          <w:i w:val="0"/>
          <w:lang w:val="en-GB"/>
        </w:rPr>
        <w:t>Case study research: design and methods</w:t>
      </w:r>
      <w:r w:rsidRPr="00730673">
        <w:rPr>
          <w:lang w:val="en-GB"/>
        </w:rPr>
        <w:t xml:space="preserve">. </w:t>
      </w:r>
      <w:r w:rsidRPr="00730673">
        <w:t xml:space="preserve">6. ed. Thousand Oaks: </w:t>
      </w:r>
      <w:proofErr w:type="spellStart"/>
      <w:r w:rsidRPr="00730673">
        <w:t>Sage</w:t>
      </w:r>
      <w:proofErr w:type="spellEnd"/>
      <w:r w:rsidRPr="00730673">
        <w:t xml:space="preserve">, 2018. Disponível em: </w:t>
      </w:r>
      <w:hyperlink r:id="rId26" w:tgtFrame="_new" w:history="1">
        <w:r w:rsidRPr="00730673">
          <w:rPr>
            <w:rStyle w:val="Hyperlink"/>
            <w:rFonts w:eastAsiaTheme="majorEastAsia"/>
          </w:rPr>
          <w:t>https://us.sagepub.com/en-us/nam/case-study-research-and-applications/book250150</w:t>
        </w:r>
      </w:hyperlink>
      <w:r w:rsidRPr="00730673">
        <w:t>. Acesso em: 2 out. 2025.</w:t>
      </w:r>
    </w:p>
    <w:p w14:paraId="7BD501AB" w14:textId="77777777" w:rsidR="005D57E3" w:rsidRPr="00730673" w:rsidRDefault="005D57E3" w:rsidP="00DB538A"/>
    <w:sectPr w:rsidR="005D57E3" w:rsidRPr="00730673" w:rsidSect="00703DD7">
      <w:headerReference w:type="default" r:id="rId2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E895" w14:textId="77777777" w:rsidR="00370E4D" w:rsidRDefault="00370E4D" w:rsidP="00CE2D5F">
      <w:r>
        <w:separator/>
      </w:r>
    </w:p>
  </w:endnote>
  <w:endnote w:type="continuationSeparator" w:id="0">
    <w:p w14:paraId="651E037D" w14:textId="77777777" w:rsidR="00370E4D" w:rsidRDefault="00370E4D" w:rsidP="00CE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F52D" w14:textId="77777777" w:rsidR="007D5FB7" w:rsidRDefault="007D5F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C6D6" w14:textId="77777777" w:rsidR="007D5FB7" w:rsidRDefault="007D5F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D99CC" w14:textId="77777777" w:rsidR="007D5FB7" w:rsidRDefault="007D5F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C563" w14:textId="77777777" w:rsidR="00370E4D" w:rsidRDefault="00370E4D" w:rsidP="00CE2D5F">
      <w:r>
        <w:separator/>
      </w:r>
    </w:p>
  </w:footnote>
  <w:footnote w:type="continuationSeparator" w:id="0">
    <w:p w14:paraId="69A01F1F" w14:textId="77777777" w:rsidR="00370E4D" w:rsidRDefault="00370E4D" w:rsidP="00CE2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211A" w14:textId="77777777" w:rsidR="007D5FB7" w:rsidRDefault="007D5F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58381"/>
      <w:docPartObj>
        <w:docPartGallery w:val="Page Numbers (Top of Page)"/>
        <w:docPartUnique/>
      </w:docPartObj>
    </w:sdtPr>
    <w:sdtContent>
      <w:p w14:paraId="0008ABDF" w14:textId="77777777" w:rsidR="007D5FB7" w:rsidRDefault="00000000">
        <w:pPr>
          <w:pStyle w:val="Cabealho"/>
          <w:jc w:val="right"/>
        </w:pPr>
      </w:p>
    </w:sdtContent>
  </w:sdt>
  <w:p w14:paraId="67B62E0D" w14:textId="77777777" w:rsidR="007D5FB7" w:rsidRDefault="007D5FB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16CB" w14:textId="77777777" w:rsidR="007D5FB7" w:rsidRDefault="007D5FB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58379"/>
      <w:docPartObj>
        <w:docPartGallery w:val="Page Numbers (Top of Page)"/>
        <w:docPartUnique/>
      </w:docPartObj>
    </w:sdtPr>
    <w:sdtContent>
      <w:p w14:paraId="06B4C9EC" w14:textId="77777777" w:rsidR="007D5FB7" w:rsidRDefault="007D5FB7">
        <w:pPr>
          <w:pStyle w:val="Cabealho"/>
          <w:jc w:val="right"/>
        </w:pPr>
        <w:r w:rsidRPr="007D5FB7">
          <w:rPr>
            <w:sz w:val="20"/>
            <w:szCs w:val="20"/>
          </w:rPr>
          <w:fldChar w:fldCharType="begin"/>
        </w:r>
        <w:r w:rsidRPr="007D5FB7">
          <w:rPr>
            <w:sz w:val="20"/>
            <w:szCs w:val="20"/>
          </w:rPr>
          <w:instrText xml:space="preserve"> PAGE   \* MERGEFORMAT </w:instrText>
        </w:r>
        <w:r w:rsidRPr="007D5FB7">
          <w:rPr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14</w:t>
        </w:r>
        <w:r w:rsidRPr="007D5FB7">
          <w:rPr>
            <w:sz w:val="20"/>
            <w:szCs w:val="20"/>
          </w:rPr>
          <w:fldChar w:fldCharType="end"/>
        </w:r>
      </w:p>
    </w:sdtContent>
  </w:sdt>
  <w:p w14:paraId="60B30679" w14:textId="77777777" w:rsidR="007D5FB7" w:rsidRDefault="007D5F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D68"/>
    <w:multiLevelType w:val="multilevel"/>
    <w:tmpl w:val="AC3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DB2"/>
    <w:multiLevelType w:val="multilevel"/>
    <w:tmpl w:val="2276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4939"/>
    <w:multiLevelType w:val="multilevel"/>
    <w:tmpl w:val="89D0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952A3"/>
    <w:multiLevelType w:val="multilevel"/>
    <w:tmpl w:val="F0CC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37A70"/>
    <w:multiLevelType w:val="multilevel"/>
    <w:tmpl w:val="BE1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65173"/>
    <w:multiLevelType w:val="multilevel"/>
    <w:tmpl w:val="E75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45756"/>
    <w:multiLevelType w:val="multilevel"/>
    <w:tmpl w:val="AC94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37B1B"/>
    <w:multiLevelType w:val="multilevel"/>
    <w:tmpl w:val="17F0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4217F"/>
    <w:multiLevelType w:val="multilevel"/>
    <w:tmpl w:val="5E8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70E20"/>
    <w:multiLevelType w:val="multilevel"/>
    <w:tmpl w:val="332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F4280"/>
    <w:multiLevelType w:val="multilevel"/>
    <w:tmpl w:val="CE04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674EB"/>
    <w:multiLevelType w:val="multilevel"/>
    <w:tmpl w:val="541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86420"/>
    <w:multiLevelType w:val="multilevel"/>
    <w:tmpl w:val="BA0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64AC8"/>
    <w:multiLevelType w:val="multilevel"/>
    <w:tmpl w:val="43B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E18B7"/>
    <w:multiLevelType w:val="multilevel"/>
    <w:tmpl w:val="94D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8521B"/>
    <w:multiLevelType w:val="multilevel"/>
    <w:tmpl w:val="3510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F7AF9"/>
    <w:multiLevelType w:val="multilevel"/>
    <w:tmpl w:val="03BC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06878"/>
    <w:multiLevelType w:val="multilevel"/>
    <w:tmpl w:val="117C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56984"/>
    <w:multiLevelType w:val="multilevel"/>
    <w:tmpl w:val="78A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F78D1"/>
    <w:multiLevelType w:val="multilevel"/>
    <w:tmpl w:val="5F36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F3583"/>
    <w:multiLevelType w:val="multilevel"/>
    <w:tmpl w:val="4E0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50094"/>
    <w:multiLevelType w:val="multilevel"/>
    <w:tmpl w:val="D70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705F1"/>
    <w:multiLevelType w:val="multilevel"/>
    <w:tmpl w:val="32C8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A3E67"/>
    <w:multiLevelType w:val="multilevel"/>
    <w:tmpl w:val="8FB8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53752"/>
    <w:multiLevelType w:val="multilevel"/>
    <w:tmpl w:val="16C0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737D7A"/>
    <w:multiLevelType w:val="multilevel"/>
    <w:tmpl w:val="F80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37667A"/>
    <w:multiLevelType w:val="multilevel"/>
    <w:tmpl w:val="39C2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A65E9A"/>
    <w:multiLevelType w:val="multilevel"/>
    <w:tmpl w:val="FE3A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7E4D31"/>
    <w:multiLevelType w:val="multilevel"/>
    <w:tmpl w:val="247E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AC2296"/>
    <w:multiLevelType w:val="multilevel"/>
    <w:tmpl w:val="30C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65274"/>
    <w:multiLevelType w:val="hybridMultilevel"/>
    <w:tmpl w:val="E7625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80FD4"/>
    <w:multiLevelType w:val="multilevel"/>
    <w:tmpl w:val="BB3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A323B"/>
    <w:multiLevelType w:val="multilevel"/>
    <w:tmpl w:val="955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E5238"/>
    <w:multiLevelType w:val="multilevel"/>
    <w:tmpl w:val="EACC3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F4544B"/>
    <w:multiLevelType w:val="multilevel"/>
    <w:tmpl w:val="0C92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DD7001"/>
    <w:multiLevelType w:val="multilevel"/>
    <w:tmpl w:val="2CEC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561955"/>
    <w:multiLevelType w:val="multilevel"/>
    <w:tmpl w:val="2412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23415"/>
    <w:multiLevelType w:val="multilevel"/>
    <w:tmpl w:val="68F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31892"/>
    <w:multiLevelType w:val="multilevel"/>
    <w:tmpl w:val="A49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70C62"/>
    <w:multiLevelType w:val="multilevel"/>
    <w:tmpl w:val="93F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F2F94"/>
    <w:multiLevelType w:val="multilevel"/>
    <w:tmpl w:val="DC6A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89586">
    <w:abstractNumId w:val="7"/>
  </w:num>
  <w:num w:numId="2" w16cid:durableId="1858500608">
    <w:abstractNumId w:val="12"/>
  </w:num>
  <w:num w:numId="3" w16cid:durableId="1026636526">
    <w:abstractNumId w:val="6"/>
  </w:num>
  <w:num w:numId="4" w16cid:durableId="2082290046">
    <w:abstractNumId w:val="13"/>
  </w:num>
  <w:num w:numId="5" w16cid:durableId="1581791687">
    <w:abstractNumId w:val="39"/>
  </w:num>
  <w:num w:numId="6" w16cid:durableId="1328512707">
    <w:abstractNumId w:val="15"/>
  </w:num>
  <w:num w:numId="7" w16cid:durableId="1639604536">
    <w:abstractNumId w:val="8"/>
  </w:num>
  <w:num w:numId="8" w16cid:durableId="750155916">
    <w:abstractNumId w:val="26"/>
  </w:num>
  <w:num w:numId="9" w16cid:durableId="1176187633">
    <w:abstractNumId w:val="22"/>
  </w:num>
  <w:num w:numId="10" w16cid:durableId="444815405">
    <w:abstractNumId w:val="32"/>
  </w:num>
  <w:num w:numId="11" w16cid:durableId="21787306">
    <w:abstractNumId w:val="21"/>
  </w:num>
  <w:num w:numId="12" w16cid:durableId="316878664">
    <w:abstractNumId w:val="40"/>
  </w:num>
  <w:num w:numId="13" w16cid:durableId="430904120">
    <w:abstractNumId w:val="4"/>
  </w:num>
  <w:num w:numId="14" w16cid:durableId="113133296">
    <w:abstractNumId w:val="5"/>
  </w:num>
  <w:num w:numId="15" w16cid:durableId="1487286460">
    <w:abstractNumId w:val="28"/>
  </w:num>
  <w:num w:numId="16" w16cid:durableId="970282370">
    <w:abstractNumId w:val="29"/>
  </w:num>
  <w:num w:numId="17" w16cid:durableId="1988585975">
    <w:abstractNumId w:val="34"/>
  </w:num>
  <w:num w:numId="18" w16cid:durableId="1081366731">
    <w:abstractNumId w:val="2"/>
  </w:num>
  <w:num w:numId="19" w16cid:durableId="701394037">
    <w:abstractNumId w:val="37"/>
  </w:num>
  <w:num w:numId="20" w16cid:durableId="603078812">
    <w:abstractNumId w:val="31"/>
  </w:num>
  <w:num w:numId="21" w16cid:durableId="1896428501">
    <w:abstractNumId w:val="33"/>
  </w:num>
  <w:num w:numId="22" w16cid:durableId="1359814735">
    <w:abstractNumId w:val="27"/>
  </w:num>
  <w:num w:numId="23" w16cid:durableId="1803188436">
    <w:abstractNumId w:val="9"/>
  </w:num>
  <w:num w:numId="24" w16cid:durableId="1619141506">
    <w:abstractNumId w:val="14"/>
  </w:num>
  <w:num w:numId="25" w16cid:durableId="235670512">
    <w:abstractNumId w:val="36"/>
  </w:num>
  <w:num w:numId="26" w16cid:durableId="897013024">
    <w:abstractNumId w:val="35"/>
  </w:num>
  <w:num w:numId="27" w16cid:durableId="1430849823">
    <w:abstractNumId w:val="23"/>
  </w:num>
  <w:num w:numId="28" w16cid:durableId="1984431255">
    <w:abstractNumId w:val="0"/>
  </w:num>
  <w:num w:numId="29" w16cid:durableId="344023063">
    <w:abstractNumId w:val="24"/>
  </w:num>
  <w:num w:numId="30" w16cid:durableId="1663584901">
    <w:abstractNumId w:val="10"/>
  </w:num>
  <w:num w:numId="31" w16cid:durableId="80764720">
    <w:abstractNumId w:val="11"/>
  </w:num>
  <w:num w:numId="32" w16cid:durableId="1352493353">
    <w:abstractNumId w:val="20"/>
  </w:num>
  <w:num w:numId="33" w16cid:durableId="633486088">
    <w:abstractNumId w:val="38"/>
  </w:num>
  <w:num w:numId="34" w16cid:durableId="836456917">
    <w:abstractNumId w:val="30"/>
  </w:num>
  <w:num w:numId="35" w16cid:durableId="410352285">
    <w:abstractNumId w:val="25"/>
  </w:num>
  <w:num w:numId="36" w16cid:durableId="753282545">
    <w:abstractNumId w:val="16"/>
  </w:num>
  <w:num w:numId="37" w16cid:durableId="2017030983">
    <w:abstractNumId w:val="3"/>
  </w:num>
  <w:num w:numId="38" w16cid:durableId="447820050">
    <w:abstractNumId w:val="18"/>
  </w:num>
  <w:num w:numId="39" w16cid:durableId="1965187533">
    <w:abstractNumId w:val="17"/>
  </w:num>
  <w:num w:numId="40" w16cid:durableId="745684091">
    <w:abstractNumId w:val="19"/>
  </w:num>
  <w:num w:numId="41" w16cid:durableId="1217274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60"/>
    <w:rsid w:val="00043C83"/>
    <w:rsid w:val="00075459"/>
    <w:rsid w:val="000B536D"/>
    <w:rsid w:val="00137E95"/>
    <w:rsid w:val="001661EB"/>
    <w:rsid w:val="00183016"/>
    <w:rsid w:val="001A4F9E"/>
    <w:rsid w:val="001E7F78"/>
    <w:rsid w:val="00214FB3"/>
    <w:rsid w:val="00225197"/>
    <w:rsid w:val="00277640"/>
    <w:rsid w:val="00285FC0"/>
    <w:rsid w:val="00290AC9"/>
    <w:rsid w:val="002B439A"/>
    <w:rsid w:val="002C1A49"/>
    <w:rsid w:val="002C643E"/>
    <w:rsid w:val="00370E4D"/>
    <w:rsid w:val="00400BA4"/>
    <w:rsid w:val="004120EC"/>
    <w:rsid w:val="00477BC9"/>
    <w:rsid w:val="00540B6C"/>
    <w:rsid w:val="005D57E3"/>
    <w:rsid w:val="005E146A"/>
    <w:rsid w:val="005F1B66"/>
    <w:rsid w:val="005F7D0D"/>
    <w:rsid w:val="00696A44"/>
    <w:rsid w:val="006A53B4"/>
    <w:rsid w:val="006C54CE"/>
    <w:rsid w:val="006E6C3A"/>
    <w:rsid w:val="00703DD7"/>
    <w:rsid w:val="00730673"/>
    <w:rsid w:val="00753A65"/>
    <w:rsid w:val="0076780A"/>
    <w:rsid w:val="007D5FB7"/>
    <w:rsid w:val="007E4C91"/>
    <w:rsid w:val="0081656F"/>
    <w:rsid w:val="00824100"/>
    <w:rsid w:val="00882576"/>
    <w:rsid w:val="008C6AEA"/>
    <w:rsid w:val="00912337"/>
    <w:rsid w:val="00971D38"/>
    <w:rsid w:val="009C48EC"/>
    <w:rsid w:val="00A31B5E"/>
    <w:rsid w:val="00AA1529"/>
    <w:rsid w:val="00AA6254"/>
    <w:rsid w:val="00AF4F60"/>
    <w:rsid w:val="00B961AA"/>
    <w:rsid w:val="00BE18E0"/>
    <w:rsid w:val="00C205D5"/>
    <w:rsid w:val="00C5577F"/>
    <w:rsid w:val="00C72C63"/>
    <w:rsid w:val="00C90787"/>
    <w:rsid w:val="00CE2D5F"/>
    <w:rsid w:val="00DB538A"/>
    <w:rsid w:val="00EF4611"/>
    <w:rsid w:val="00F62E90"/>
    <w:rsid w:val="00FD0A30"/>
    <w:rsid w:val="00FD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87F4C"/>
  <w15:docId w15:val="{15D0A877-96B8-4803-ACDE-021D301A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56F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F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F4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F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4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4F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4F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4F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4F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4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F4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F4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F4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4F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4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4F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4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4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4F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4F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4F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4F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4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4F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4F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4F6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AF4F60"/>
  </w:style>
  <w:style w:type="character" w:styleId="Forte">
    <w:name w:val="Strong"/>
    <w:basedOn w:val="Fontepargpadro"/>
    <w:uiPriority w:val="22"/>
    <w:qFormat/>
    <w:rsid w:val="00AF4F60"/>
    <w:rPr>
      <w:b/>
      <w:bCs/>
    </w:rPr>
  </w:style>
  <w:style w:type="character" w:styleId="nfase">
    <w:name w:val="Emphasis"/>
    <w:basedOn w:val="Fontepargpadro"/>
    <w:uiPriority w:val="20"/>
    <w:qFormat/>
    <w:rsid w:val="00AF4F60"/>
    <w:rPr>
      <w:i/>
      <w:iCs/>
    </w:rPr>
  </w:style>
  <w:style w:type="character" w:styleId="Hyperlink">
    <w:name w:val="Hyperlink"/>
    <w:basedOn w:val="Fontepargpadro"/>
    <w:uiPriority w:val="99"/>
    <w:unhideWhenUsed/>
    <w:rsid w:val="00AF4F60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F1B6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F4611"/>
    <w:rPr>
      <w:color w:val="96607D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E2D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E2D5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E2D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E2D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E2D5F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E2D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2D5F"/>
  </w:style>
  <w:style w:type="paragraph" w:styleId="Rodap">
    <w:name w:val="footer"/>
    <w:basedOn w:val="Normal"/>
    <w:link w:val="RodapChar"/>
    <w:uiPriority w:val="99"/>
    <w:unhideWhenUsed/>
    <w:rsid w:val="00CE2D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2D5F"/>
  </w:style>
  <w:style w:type="character" w:customStyle="1" w:styleId="citation-89">
    <w:name w:val="citation-89"/>
    <w:basedOn w:val="Fontepargpadro"/>
    <w:rsid w:val="00B961AA"/>
  </w:style>
  <w:style w:type="character" w:customStyle="1" w:styleId="citation-143">
    <w:name w:val="citation-143"/>
    <w:basedOn w:val="Fontepargpadro"/>
    <w:rsid w:val="00AA6254"/>
  </w:style>
  <w:style w:type="character" w:customStyle="1" w:styleId="citation-142">
    <w:name w:val="citation-142"/>
    <w:basedOn w:val="Fontepargpadro"/>
    <w:rsid w:val="00AA6254"/>
  </w:style>
  <w:style w:type="character" w:customStyle="1" w:styleId="citation-141">
    <w:name w:val="citation-141"/>
    <w:basedOn w:val="Fontepargpadro"/>
    <w:rsid w:val="00AA6254"/>
  </w:style>
  <w:style w:type="character" w:customStyle="1" w:styleId="citation-140">
    <w:name w:val="citation-140"/>
    <w:basedOn w:val="Fontepargpadro"/>
    <w:rsid w:val="00AA6254"/>
  </w:style>
  <w:style w:type="character" w:customStyle="1" w:styleId="citation-139">
    <w:name w:val="citation-139"/>
    <w:basedOn w:val="Fontepargpadro"/>
    <w:rsid w:val="00AA6254"/>
  </w:style>
  <w:style w:type="character" w:customStyle="1" w:styleId="citation-138">
    <w:name w:val="citation-138"/>
    <w:basedOn w:val="Fontepargpadro"/>
    <w:rsid w:val="00AA6254"/>
  </w:style>
  <w:style w:type="character" w:customStyle="1" w:styleId="citation-137">
    <w:name w:val="citation-137"/>
    <w:basedOn w:val="Fontepargpadro"/>
    <w:rsid w:val="00AA6254"/>
  </w:style>
  <w:style w:type="character" w:customStyle="1" w:styleId="citation-136">
    <w:name w:val="citation-136"/>
    <w:basedOn w:val="Fontepargpadro"/>
    <w:rsid w:val="00AA6254"/>
  </w:style>
  <w:style w:type="character" w:customStyle="1" w:styleId="citation-135">
    <w:name w:val="citation-135"/>
    <w:basedOn w:val="Fontepargpadro"/>
    <w:rsid w:val="00AA6254"/>
  </w:style>
  <w:style w:type="character" w:customStyle="1" w:styleId="citation-134">
    <w:name w:val="citation-134"/>
    <w:basedOn w:val="Fontepargpadro"/>
    <w:rsid w:val="00AA6254"/>
  </w:style>
  <w:style w:type="character" w:customStyle="1" w:styleId="citation-133">
    <w:name w:val="citation-133"/>
    <w:basedOn w:val="Fontepargpadro"/>
    <w:rsid w:val="00AA6254"/>
  </w:style>
  <w:style w:type="character" w:customStyle="1" w:styleId="citation-179">
    <w:name w:val="citation-179"/>
    <w:basedOn w:val="Fontepargpadro"/>
    <w:rsid w:val="0081656F"/>
  </w:style>
  <w:style w:type="character" w:customStyle="1" w:styleId="citation-178">
    <w:name w:val="citation-178"/>
    <w:basedOn w:val="Fontepargpadro"/>
    <w:rsid w:val="0081656F"/>
  </w:style>
  <w:style w:type="character" w:customStyle="1" w:styleId="citation-177">
    <w:name w:val="citation-177"/>
    <w:basedOn w:val="Fontepargpadro"/>
    <w:rsid w:val="0081656F"/>
  </w:style>
  <w:style w:type="character" w:customStyle="1" w:styleId="citation-176">
    <w:name w:val="citation-176"/>
    <w:basedOn w:val="Fontepargpadro"/>
    <w:rsid w:val="0081656F"/>
  </w:style>
  <w:style w:type="character" w:customStyle="1" w:styleId="citation-175">
    <w:name w:val="citation-175"/>
    <w:basedOn w:val="Fontepargpadro"/>
    <w:rsid w:val="0081656F"/>
  </w:style>
  <w:style w:type="character" w:customStyle="1" w:styleId="citation-174">
    <w:name w:val="citation-174"/>
    <w:basedOn w:val="Fontepargpadro"/>
    <w:rsid w:val="0081656F"/>
  </w:style>
  <w:style w:type="character" w:customStyle="1" w:styleId="citation-173">
    <w:name w:val="citation-173"/>
    <w:basedOn w:val="Fontepargpadro"/>
    <w:rsid w:val="0081656F"/>
  </w:style>
  <w:style w:type="character" w:customStyle="1" w:styleId="citation-172">
    <w:name w:val="citation-172"/>
    <w:basedOn w:val="Fontepargpadro"/>
    <w:rsid w:val="0081656F"/>
  </w:style>
  <w:style w:type="character" w:customStyle="1" w:styleId="citation-171">
    <w:name w:val="citation-171"/>
    <w:basedOn w:val="Fontepargpadro"/>
    <w:rsid w:val="0081656F"/>
  </w:style>
  <w:style w:type="character" w:customStyle="1" w:styleId="citation-170">
    <w:name w:val="citation-170"/>
    <w:basedOn w:val="Fontepargpadro"/>
    <w:rsid w:val="0081656F"/>
  </w:style>
  <w:style w:type="character" w:customStyle="1" w:styleId="citation-169">
    <w:name w:val="citation-169"/>
    <w:basedOn w:val="Fontepargpadro"/>
    <w:rsid w:val="0081656F"/>
  </w:style>
  <w:style w:type="character" w:customStyle="1" w:styleId="citation-168">
    <w:name w:val="citation-168"/>
    <w:basedOn w:val="Fontepargpadro"/>
    <w:rsid w:val="0081656F"/>
  </w:style>
  <w:style w:type="paragraph" w:styleId="Textodebalo">
    <w:name w:val="Balloon Text"/>
    <w:basedOn w:val="Normal"/>
    <w:link w:val="TextodebaloChar"/>
    <w:uiPriority w:val="99"/>
    <w:semiHidden/>
    <w:unhideWhenUsed/>
    <w:rsid w:val="00703D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3DD7"/>
    <w:rPr>
      <w:rFonts w:ascii="Tahoma" w:eastAsia="Times New Roman" w:hAnsi="Tahoma" w:cs="Tahoma"/>
      <w:kern w:val="0"/>
      <w:sz w:val="16"/>
      <w:szCs w:val="16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7D5FB7"/>
    <w:pPr>
      <w:spacing w:before="480" w:after="0" w:line="276" w:lineRule="auto"/>
      <w:outlineLvl w:val="9"/>
    </w:pPr>
    <w:rPr>
      <w:b/>
      <w:bCs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7D5F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D5FB7"/>
    <w:pPr>
      <w:spacing w:after="100"/>
      <w:ind w:left="240"/>
    </w:pPr>
  </w:style>
  <w:style w:type="character" w:customStyle="1" w:styleId="citation-884">
    <w:name w:val="citation-884"/>
    <w:basedOn w:val="Fontepargpadro"/>
    <w:rsid w:val="00730673"/>
  </w:style>
  <w:style w:type="paragraph" w:customStyle="1" w:styleId="first-token">
    <w:name w:val="first-token"/>
    <w:basedOn w:val="Normal"/>
    <w:rsid w:val="00730673"/>
    <w:pPr>
      <w:spacing w:before="100" w:beforeAutospacing="1" w:after="100" w:afterAutospacing="1"/>
    </w:pPr>
  </w:style>
  <w:style w:type="character" w:customStyle="1" w:styleId="citation-908">
    <w:name w:val="citation-908"/>
    <w:basedOn w:val="Fontepargpadro"/>
    <w:rsid w:val="00730673"/>
  </w:style>
  <w:style w:type="character" w:customStyle="1" w:styleId="citation-896">
    <w:name w:val="citation-896"/>
    <w:basedOn w:val="Fontepargpadro"/>
    <w:rsid w:val="00730673"/>
  </w:style>
  <w:style w:type="character" w:customStyle="1" w:styleId="citation-895">
    <w:name w:val="citation-895"/>
    <w:basedOn w:val="Fontepargpadro"/>
    <w:rsid w:val="00730673"/>
  </w:style>
  <w:style w:type="character" w:customStyle="1" w:styleId="citation-907">
    <w:name w:val="citation-907"/>
    <w:basedOn w:val="Fontepargpadro"/>
    <w:rsid w:val="00730673"/>
  </w:style>
  <w:style w:type="character" w:customStyle="1" w:styleId="citation-894">
    <w:name w:val="citation-894"/>
    <w:basedOn w:val="Fontepargpadro"/>
    <w:rsid w:val="00730673"/>
  </w:style>
  <w:style w:type="character" w:customStyle="1" w:styleId="citation-893">
    <w:name w:val="citation-893"/>
    <w:basedOn w:val="Fontepargpadro"/>
    <w:rsid w:val="00730673"/>
  </w:style>
  <w:style w:type="character" w:customStyle="1" w:styleId="citation-905">
    <w:name w:val="citation-905"/>
    <w:basedOn w:val="Fontepargpadro"/>
    <w:rsid w:val="00730673"/>
  </w:style>
  <w:style w:type="character" w:customStyle="1" w:styleId="citation-892">
    <w:name w:val="citation-892"/>
    <w:basedOn w:val="Fontepargpadro"/>
    <w:rsid w:val="00730673"/>
  </w:style>
  <w:style w:type="character" w:customStyle="1" w:styleId="citation-904">
    <w:name w:val="citation-904"/>
    <w:basedOn w:val="Fontepargpadro"/>
    <w:rsid w:val="00730673"/>
  </w:style>
  <w:style w:type="character" w:customStyle="1" w:styleId="citation-891">
    <w:name w:val="citation-891"/>
    <w:basedOn w:val="Fontepargpadro"/>
    <w:rsid w:val="00730673"/>
  </w:style>
  <w:style w:type="character" w:customStyle="1" w:styleId="citation-903">
    <w:name w:val="citation-903"/>
    <w:basedOn w:val="Fontepargpadro"/>
    <w:rsid w:val="00730673"/>
  </w:style>
  <w:style w:type="character" w:customStyle="1" w:styleId="citation-890">
    <w:name w:val="citation-890"/>
    <w:basedOn w:val="Fontepargpadro"/>
    <w:rsid w:val="00730673"/>
  </w:style>
  <w:style w:type="character" w:customStyle="1" w:styleId="citation-902">
    <w:name w:val="citation-902"/>
    <w:basedOn w:val="Fontepargpadro"/>
    <w:rsid w:val="00730673"/>
  </w:style>
  <w:style w:type="character" w:customStyle="1" w:styleId="citation-889">
    <w:name w:val="citation-889"/>
    <w:basedOn w:val="Fontepargpadro"/>
    <w:rsid w:val="00730673"/>
  </w:style>
  <w:style w:type="character" w:customStyle="1" w:styleId="citation-888">
    <w:name w:val="citation-888"/>
    <w:basedOn w:val="Fontepargpadro"/>
    <w:rsid w:val="00730673"/>
  </w:style>
  <w:style w:type="character" w:customStyle="1" w:styleId="citation-900">
    <w:name w:val="citation-900"/>
    <w:basedOn w:val="Fontepargpadro"/>
    <w:rsid w:val="00730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maratavarespsictics.pbworks.com/w/file/fetch/74304716/3-YIN-planejamento_metodologia.pdf" TargetMode="External"/><Relationship Id="rId26" Type="http://schemas.openxmlformats.org/officeDocument/2006/relationships/hyperlink" Target="https://us.sagepub.com/en-us/nam/case-study-research-and-applications/book250150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n.org/pt/global-issues/americas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clacso.org" TargetMode="External"/><Relationship Id="rId25" Type="http://schemas.openxmlformats.org/officeDocument/2006/relationships/hyperlink" Target="https://repositorio.utdt.edu/server/api/core/bitstreams/33311df7-2b39-455d-8e29-6e23db99873f/cont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as.org/pt/cidh/relatorios/ia.asp" TargetMode="External"/><Relationship Id="rId20" Type="http://schemas.openxmlformats.org/officeDocument/2006/relationships/hyperlink" Target="https://www.oas.org/pt/democracia/carta_democratica.asp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researchgate.net/publication/351369298_La_CELAC_mas_alla_del_regionalismo_poshegemonic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brosoa.unam.mx/handle/123456789/3576" TargetMode="External"/><Relationship Id="rId23" Type="http://schemas.openxmlformats.org/officeDocument/2006/relationships/hyperlink" Target="https://www.cries.org/wp-content/uploads/2017/02/007-sanahuja.pdf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nuso.org/articulo/sobre-crescente-irrelevancia-da-america-latina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oas.org/" TargetMode="External"/><Relationship Id="rId22" Type="http://schemas.openxmlformats.org/officeDocument/2006/relationships/hyperlink" Target="https://www.scielo.org.mx/scielo.php?script=sci_arttext&amp;pid=S0185-013X2015000200631" TargetMode="External"/><Relationship Id="rId27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DD6B85-9C09-4F0D-9B5D-9AA78C9FC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5665</Words>
  <Characters>30595</Characters>
  <Application>Microsoft Office Word</Application>
  <DocSecurity>0</DocSecurity>
  <Lines>254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henrichs</dc:creator>
  <cp:lastModifiedBy>Pedro henrichs</cp:lastModifiedBy>
  <cp:revision>2</cp:revision>
  <cp:lastPrinted>2025-10-03T20:27:00Z</cp:lastPrinted>
  <dcterms:created xsi:type="dcterms:W3CDTF">2025-10-17T15:15:00Z</dcterms:created>
  <dcterms:modified xsi:type="dcterms:W3CDTF">2025-10-17T15:15:00Z</dcterms:modified>
</cp:coreProperties>
</file>