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27BF" w14:textId="77777777" w:rsidR="00FD74E2" w:rsidRPr="00730673" w:rsidRDefault="00FD74E2" w:rsidP="00FD74E2">
      <w:pPr>
        <w:jc w:val="center"/>
        <w:outlineLvl w:val="0"/>
        <w:rPr>
          <w:bCs/>
          <w:color w:val="000000"/>
          <w:kern w:val="36"/>
        </w:rPr>
      </w:pPr>
      <w:bookmarkStart w:id="0" w:name="_Toc212364360"/>
      <w:bookmarkStart w:id="1" w:name="_Toc210315749"/>
      <w:bookmarkStart w:id="2" w:name="_Toc210326507"/>
      <w:r w:rsidRPr="00730673">
        <w:rPr>
          <w:rStyle w:val="Forte"/>
          <w:rFonts w:eastAsiaTheme="majorEastAsia"/>
          <w:color w:val="444444"/>
          <w:shd w:val="clear" w:color="auto" w:fill="FFFFFF"/>
        </w:rPr>
        <w:t>INSTITUTO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BRASILEIRO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DE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ENSINO</w:t>
      </w:r>
      <w:r w:rsidRPr="00730673">
        <w:rPr>
          <w:color w:val="444444"/>
          <w:shd w:val="clear" w:color="auto" w:fill="FFFFFF"/>
        </w:rPr>
        <w:t>,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DESENVOLVIMENTO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E</w:t>
      </w:r>
      <w:r w:rsidRPr="00730673">
        <w:rPr>
          <w:color w:val="444444"/>
          <w:shd w:val="clear" w:color="auto" w:fill="FFFFFF"/>
        </w:rPr>
        <w:t> </w:t>
      </w:r>
      <w:r w:rsidRPr="00730673">
        <w:rPr>
          <w:rStyle w:val="Forte"/>
          <w:rFonts w:eastAsiaTheme="majorEastAsia"/>
          <w:color w:val="444444"/>
          <w:shd w:val="clear" w:color="auto" w:fill="FFFFFF"/>
        </w:rPr>
        <w:t>PESQUISA</w:t>
      </w:r>
      <w:bookmarkEnd w:id="0"/>
    </w:p>
    <w:p w14:paraId="0BE1A128" w14:textId="77777777" w:rsidR="00FD74E2" w:rsidRPr="00730673" w:rsidRDefault="00FD74E2" w:rsidP="00FD74E2">
      <w:pPr>
        <w:jc w:val="center"/>
        <w:outlineLvl w:val="0"/>
        <w:rPr>
          <w:bCs/>
          <w:color w:val="000000"/>
          <w:kern w:val="36"/>
        </w:rPr>
      </w:pPr>
    </w:p>
    <w:p w14:paraId="69F03C0B" w14:textId="77777777" w:rsidR="00FD74E2" w:rsidRPr="00730673" w:rsidRDefault="00FD74E2" w:rsidP="00FD74E2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403C5AE5" w14:textId="77777777" w:rsidR="00FD74E2" w:rsidRPr="00730673" w:rsidRDefault="00FD74E2" w:rsidP="00FD74E2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6677E86B" w14:textId="77777777" w:rsidR="00FD74E2" w:rsidRPr="00730673" w:rsidRDefault="00FD74E2" w:rsidP="00FD74E2">
      <w:pPr>
        <w:spacing w:line="360" w:lineRule="auto"/>
        <w:jc w:val="center"/>
      </w:pPr>
    </w:p>
    <w:p w14:paraId="00CD2F45" w14:textId="77777777" w:rsidR="00FD74E2" w:rsidRPr="00730673" w:rsidRDefault="00FD74E2" w:rsidP="00FD74E2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5A9B1560" w14:textId="77777777" w:rsidR="00FD74E2" w:rsidRPr="00730673" w:rsidRDefault="00FD74E2" w:rsidP="00FD74E2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A8FDD45" w14:textId="77777777" w:rsidR="00FD74E2" w:rsidRDefault="00FD74E2" w:rsidP="00FD74E2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0D6A57" w14:textId="77777777" w:rsidR="00FD74E2" w:rsidRDefault="00FD74E2" w:rsidP="00FD74E2"/>
    <w:p w14:paraId="004BFDB5" w14:textId="77777777" w:rsidR="00FD74E2" w:rsidRDefault="00FD74E2" w:rsidP="00FD74E2"/>
    <w:p w14:paraId="7ABF3030" w14:textId="77777777" w:rsidR="00FD74E2" w:rsidRDefault="00FD74E2" w:rsidP="00FD74E2"/>
    <w:p w14:paraId="48EBCFB4" w14:textId="77777777" w:rsidR="00FD74E2" w:rsidRDefault="00FD74E2" w:rsidP="00FD74E2"/>
    <w:p w14:paraId="2A200AE5" w14:textId="77777777" w:rsidR="00FD74E2" w:rsidRPr="00FD74E2" w:rsidRDefault="00FD74E2" w:rsidP="00FD74E2"/>
    <w:p w14:paraId="050E6420" w14:textId="77777777" w:rsidR="00FD74E2" w:rsidRPr="00FD74E2" w:rsidRDefault="00FD74E2" w:rsidP="00FD74E2"/>
    <w:p w14:paraId="4C285364" w14:textId="77777777" w:rsidR="00FD74E2" w:rsidRPr="00730673" w:rsidRDefault="00FD74E2" w:rsidP="00FD74E2"/>
    <w:p w14:paraId="42140D6D" w14:textId="77777777" w:rsidR="00FD74E2" w:rsidRPr="00730673" w:rsidRDefault="00FD74E2" w:rsidP="00FD74E2"/>
    <w:p w14:paraId="1653F03B" w14:textId="77777777" w:rsidR="00FD74E2" w:rsidRPr="00730673" w:rsidRDefault="00FD74E2" w:rsidP="00FD74E2">
      <w:pPr>
        <w:pStyle w:val="Ttulo1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2364361"/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Entre hegemonia e autonomia: CELAC e OEA na disputa pela governança </w:t>
      </w:r>
      <w:proofErr w:type="gramStart"/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regional Latino-Americana</w:t>
      </w:r>
      <w:bookmarkEnd w:id="3"/>
      <w:proofErr w:type="gramEnd"/>
    </w:p>
    <w:p w14:paraId="2D33D4E9" w14:textId="77777777" w:rsidR="00FD74E2" w:rsidRPr="00730673" w:rsidRDefault="00FD74E2" w:rsidP="00FD74E2">
      <w:pPr>
        <w:spacing w:line="360" w:lineRule="auto"/>
      </w:pPr>
    </w:p>
    <w:p w14:paraId="387BC171" w14:textId="77777777" w:rsidR="00FD74E2" w:rsidRDefault="00FD74E2" w:rsidP="00FD74E2">
      <w:pPr>
        <w:spacing w:line="360" w:lineRule="auto"/>
        <w:rPr>
          <w:bCs/>
        </w:rPr>
      </w:pPr>
    </w:p>
    <w:p w14:paraId="32FF68C8" w14:textId="77777777" w:rsidR="00FD74E2" w:rsidRPr="00FD74E2" w:rsidRDefault="00FD74E2" w:rsidP="00FD74E2">
      <w:pPr>
        <w:spacing w:line="360" w:lineRule="auto"/>
        <w:rPr>
          <w:bCs/>
        </w:rPr>
      </w:pPr>
    </w:p>
    <w:p w14:paraId="7D679309" w14:textId="1D8AA011" w:rsidR="00FD74E2" w:rsidRPr="00FD74E2" w:rsidRDefault="00FD74E2" w:rsidP="00FD74E2">
      <w:pPr>
        <w:jc w:val="center"/>
        <w:outlineLvl w:val="0"/>
        <w:rPr>
          <w:bCs/>
          <w:color w:val="000000" w:themeColor="text1"/>
        </w:rPr>
      </w:pPr>
      <w:r w:rsidRPr="00FD74E2">
        <w:rPr>
          <w:bCs/>
        </w:rPr>
        <w:t xml:space="preserve"> </w:t>
      </w:r>
      <w:bookmarkStart w:id="4" w:name="_Toc212364362"/>
      <w:r w:rsidRPr="00FD74E2">
        <w:rPr>
          <w:bCs/>
          <w:color w:val="000000" w:themeColor="text1"/>
        </w:rPr>
        <w:t>Pedro Paulo Henrichs Neto</w:t>
      </w:r>
      <w:bookmarkEnd w:id="4"/>
    </w:p>
    <w:p w14:paraId="367BA6D3" w14:textId="7E58E5D7" w:rsidR="00FD74E2" w:rsidRPr="00730673" w:rsidRDefault="00FD74E2" w:rsidP="00FD74E2">
      <w:pPr>
        <w:pStyle w:val="NormalWeb"/>
        <w:spacing w:before="0" w:beforeAutospacing="0" w:after="0" w:afterAutospacing="0"/>
        <w:jc w:val="center"/>
        <w:rPr>
          <w:sz w:val="20"/>
          <w:szCs w:val="20"/>
        </w:rPr>
      </w:pPr>
      <w:r>
        <w:rPr>
          <w:sz w:val="20"/>
          <w:szCs w:val="20"/>
        </w:rPr>
        <w:t>Dr. Jean Lima e Dr</w:t>
      </w:r>
      <w:r w:rsidRPr="00CA361F"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>. Marcela Machado</w:t>
      </w:r>
    </w:p>
    <w:p w14:paraId="40BBC3F2" w14:textId="77777777" w:rsidR="00FD74E2" w:rsidRPr="00730673" w:rsidRDefault="00FD74E2" w:rsidP="00FD74E2">
      <w:pPr>
        <w:ind w:left="4536"/>
        <w:jc w:val="both"/>
        <w:rPr>
          <w:sz w:val="20"/>
          <w:szCs w:val="20"/>
        </w:rPr>
      </w:pPr>
    </w:p>
    <w:p w14:paraId="12C54F30" w14:textId="77777777" w:rsidR="00FD74E2" w:rsidRPr="00730673" w:rsidRDefault="00FD74E2" w:rsidP="00FD74E2">
      <w:pPr>
        <w:spacing w:line="360" w:lineRule="auto"/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7EB8DADF" w14:textId="77777777" w:rsidR="00FD74E2" w:rsidRPr="00730673" w:rsidRDefault="00FD74E2" w:rsidP="00FD74E2">
      <w:pPr>
        <w:spacing w:line="360" w:lineRule="auto"/>
      </w:pPr>
    </w:p>
    <w:p w14:paraId="26F5E737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09C9BE6B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1E3DBE0E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3842A7B5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62E5E563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50215E54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6A571E4B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3D9DC36A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10054679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6D04DB1E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1D20C90E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3026225C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38B09FA7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20DEFC24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1689890D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0EA81B27" w14:textId="77777777" w:rsidR="00FD74E2" w:rsidRDefault="00FD74E2" w:rsidP="00FD74E2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151DA511" w14:textId="77777777" w:rsidR="00FD74E2" w:rsidRPr="00730673" w:rsidRDefault="00FD74E2" w:rsidP="00FD74E2">
      <w:pPr>
        <w:jc w:val="center"/>
        <w:rPr>
          <w:color w:val="000000" w:themeColor="text1"/>
        </w:rPr>
      </w:pPr>
      <w:r w:rsidRPr="00730673">
        <w:rPr>
          <w:color w:val="000000" w:themeColor="text1"/>
        </w:rPr>
        <w:t xml:space="preserve">Brasília/DF </w:t>
      </w:r>
    </w:p>
    <w:p w14:paraId="2D523333" w14:textId="77777777" w:rsidR="00FD74E2" w:rsidRPr="00730673" w:rsidRDefault="00FD74E2" w:rsidP="00FD74E2">
      <w:pPr>
        <w:jc w:val="center"/>
        <w:rPr>
          <w:color w:val="000000" w:themeColor="text1"/>
        </w:rPr>
      </w:pPr>
      <w:r>
        <w:rPr>
          <w:color w:val="000000" w:themeColor="text1"/>
        </w:rPr>
        <w:t>Outubro/</w:t>
      </w:r>
      <w:r w:rsidRPr="00730673">
        <w:rPr>
          <w:color w:val="000000" w:themeColor="text1"/>
        </w:rPr>
        <w:t>2025</w:t>
      </w:r>
    </w:p>
    <w:p w14:paraId="7408C244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p w14:paraId="3301A199" w14:textId="77777777" w:rsidR="00FD74E2" w:rsidRDefault="00FD74E2" w:rsidP="00CA361F">
      <w:pPr>
        <w:jc w:val="center"/>
        <w:outlineLvl w:val="0"/>
        <w:rPr>
          <w:rStyle w:val="Forte"/>
          <w:rFonts w:eastAsiaTheme="majorEastAsia"/>
          <w:color w:val="444444"/>
          <w:shd w:val="clear" w:color="auto" w:fill="FFFFFF"/>
        </w:rPr>
      </w:pPr>
    </w:p>
    <w:bookmarkEnd w:id="1"/>
    <w:bookmarkEnd w:id="2"/>
    <w:p w14:paraId="60665B40" w14:textId="77777777" w:rsidR="00CA361F" w:rsidRPr="00730673" w:rsidRDefault="00CA361F" w:rsidP="00CA361F">
      <w:pPr>
        <w:spacing w:line="360" w:lineRule="auto"/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  <w:r w:rsidRPr="00730673">
        <w:lastRenderedPageBreak/>
        <w:t xml:space="preserve"> </w:t>
      </w:r>
      <w:bookmarkStart w:id="5" w:name="_Toc210315752"/>
      <w:bookmarkStart w:id="6" w:name="_Toc210326510"/>
      <w:bookmarkStart w:id="7" w:name="_Toc212364363"/>
      <w:r w:rsidRPr="00730673">
        <w:rPr>
          <w:b/>
          <w:color w:val="000000" w:themeColor="text1"/>
        </w:rPr>
        <w:t>PEDRO PAULO HENRICHS NETO</w:t>
      </w:r>
      <w:bookmarkEnd w:id="5"/>
      <w:bookmarkEnd w:id="6"/>
      <w:bookmarkEnd w:id="7"/>
    </w:p>
    <w:p w14:paraId="51C7A34E" w14:textId="77777777" w:rsidR="00CA361F" w:rsidRPr="00730673" w:rsidRDefault="00CA361F" w:rsidP="00CA361F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72D0C73E" w14:textId="77777777" w:rsidR="00CA361F" w:rsidRPr="00730673" w:rsidRDefault="00CA361F" w:rsidP="00CA361F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4E78828B" w14:textId="77777777" w:rsidR="00CA361F" w:rsidRPr="00730673" w:rsidRDefault="00CA361F" w:rsidP="00CA361F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034F36E" w14:textId="77777777" w:rsidR="00CA361F" w:rsidRPr="00730673" w:rsidRDefault="00CA361F" w:rsidP="00CA361F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0A6B69C7" w14:textId="77777777" w:rsidR="00CA361F" w:rsidRPr="00730673" w:rsidRDefault="00CA361F" w:rsidP="00CA361F">
      <w:pPr>
        <w:jc w:val="center"/>
        <w:outlineLvl w:val="0"/>
        <w:rPr>
          <w:b/>
          <w:bCs/>
          <w:color w:val="000000"/>
          <w:kern w:val="36"/>
          <w:sz w:val="28"/>
          <w:szCs w:val="28"/>
        </w:rPr>
      </w:pPr>
    </w:p>
    <w:p w14:paraId="55C5AE37" w14:textId="77777777" w:rsidR="00CA361F" w:rsidRPr="00730673" w:rsidRDefault="00CA361F" w:rsidP="00CA361F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BB961AB" w14:textId="77777777" w:rsidR="00CA361F" w:rsidRPr="00730673" w:rsidRDefault="00CA361F" w:rsidP="00CA361F"/>
    <w:p w14:paraId="31E4A4AE" w14:textId="77777777" w:rsidR="00CA361F" w:rsidRDefault="00CA361F" w:rsidP="00CA361F"/>
    <w:p w14:paraId="15E3482B" w14:textId="77777777" w:rsidR="00FD74E2" w:rsidRPr="00730673" w:rsidRDefault="00FD74E2" w:rsidP="00CA361F"/>
    <w:p w14:paraId="2B8E6C99" w14:textId="77777777" w:rsidR="00CA361F" w:rsidRPr="00730673" w:rsidRDefault="00CA361F" w:rsidP="00CA361F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0315753"/>
      <w:bookmarkStart w:id="9" w:name="_Toc210326511"/>
      <w:bookmarkStart w:id="10" w:name="_Toc212364364"/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Entre hegemonia e autonomia: CELAC e OEA na disputa pela governança </w:t>
      </w:r>
      <w:proofErr w:type="gramStart"/>
      <w:r w:rsidRPr="00730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regional Latino-Americana</w:t>
      </w:r>
      <w:bookmarkEnd w:id="8"/>
      <w:bookmarkEnd w:id="9"/>
      <w:bookmarkEnd w:id="10"/>
      <w:proofErr w:type="gramEnd"/>
    </w:p>
    <w:p w14:paraId="11E8E4B4" w14:textId="77777777" w:rsidR="00CA361F" w:rsidRPr="00730673" w:rsidRDefault="00CA361F" w:rsidP="00CA361F">
      <w:pPr>
        <w:spacing w:line="360" w:lineRule="auto"/>
      </w:pPr>
    </w:p>
    <w:p w14:paraId="2E9A8CEE" w14:textId="77777777" w:rsidR="00CA361F" w:rsidRPr="00730673" w:rsidRDefault="00CA361F" w:rsidP="00CA361F">
      <w:pPr>
        <w:spacing w:line="360" w:lineRule="auto"/>
      </w:pPr>
    </w:p>
    <w:p w14:paraId="54323993" w14:textId="77777777" w:rsidR="00CA361F" w:rsidRPr="00730673" w:rsidRDefault="00CA361F" w:rsidP="00CA361F">
      <w:pPr>
        <w:spacing w:line="360" w:lineRule="auto"/>
      </w:pPr>
    </w:p>
    <w:p w14:paraId="5C384859" w14:textId="28CC83BB" w:rsidR="00CA361F" w:rsidRDefault="00FD74E2" w:rsidP="00CA361F">
      <w:pPr>
        <w:pStyle w:val="NormalWeb"/>
        <w:spacing w:before="0" w:beforeAutospacing="0" w:after="0" w:afterAutospacing="0"/>
        <w:ind w:left="4536"/>
        <w:jc w:val="both"/>
        <w:rPr>
          <w:color w:val="000000" w:themeColor="text1"/>
          <w:sz w:val="20"/>
          <w:szCs w:val="20"/>
        </w:rPr>
      </w:pPr>
      <w:r>
        <w:rPr>
          <w:rStyle w:val="Forte"/>
          <w:rFonts w:eastAsiaTheme="majorEastAsia"/>
          <w:b w:val="0"/>
          <w:bCs w:val="0"/>
          <w:sz w:val="20"/>
          <w:szCs w:val="20"/>
        </w:rPr>
        <w:t>P</w:t>
      </w:r>
      <w:r w:rsidR="00CA361F" w:rsidRPr="003839F6">
        <w:rPr>
          <w:rStyle w:val="Forte"/>
          <w:rFonts w:eastAsiaTheme="majorEastAsia"/>
          <w:b w:val="0"/>
          <w:bCs w:val="0"/>
          <w:sz w:val="20"/>
          <w:szCs w:val="20"/>
        </w:rPr>
        <w:t>rojeto de pesquisa apresentado ao Programa de Pós-Graduação em do Instituto Brasileiro de Ensino, Desenvolvimento e Pesquisa – IDP, como requisito final para avaliação na disciplina de Projeto de Pesquisa no âmbito ao curso de Mestrado em</w:t>
      </w:r>
      <w:r w:rsidR="00CA361F" w:rsidRPr="00730673">
        <w:rPr>
          <w:rStyle w:val="Forte"/>
          <w:rFonts w:eastAsiaTheme="majorEastAsia"/>
          <w:sz w:val="20"/>
          <w:szCs w:val="20"/>
        </w:rPr>
        <w:t xml:space="preserve"> </w:t>
      </w:r>
      <w:r w:rsidR="00CA361F" w:rsidRPr="00730673">
        <w:rPr>
          <w:color w:val="000000" w:themeColor="text1"/>
          <w:sz w:val="20"/>
          <w:szCs w:val="20"/>
        </w:rPr>
        <w:t>Ciência Política e Relações Internacionais</w:t>
      </w:r>
      <w:r w:rsidR="00CA361F">
        <w:rPr>
          <w:color w:val="000000" w:themeColor="text1"/>
          <w:sz w:val="20"/>
          <w:szCs w:val="20"/>
        </w:rPr>
        <w:t xml:space="preserve"> </w:t>
      </w:r>
    </w:p>
    <w:p w14:paraId="29BF1B76" w14:textId="77777777" w:rsidR="00CA361F" w:rsidRDefault="00CA361F" w:rsidP="00CA361F">
      <w:pPr>
        <w:pStyle w:val="NormalWeb"/>
        <w:spacing w:before="0" w:beforeAutospacing="0" w:after="0" w:afterAutospacing="0"/>
        <w:ind w:left="4536"/>
        <w:jc w:val="both"/>
        <w:rPr>
          <w:sz w:val="20"/>
          <w:szCs w:val="20"/>
        </w:rPr>
      </w:pPr>
    </w:p>
    <w:p w14:paraId="5DBD785D" w14:textId="376B8C5C" w:rsidR="00CA361F" w:rsidRPr="00730673" w:rsidRDefault="00CA361F" w:rsidP="00CA361F">
      <w:pPr>
        <w:pStyle w:val="NormalWeb"/>
        <w:spacing w:before="0" w:beforeAutospacing="0" w:after="0" w:afterAutospacing="0"/>
        <w:ind w:left="4536"/>
        <w:jc w:val="both"/>
        <w:rPr>
          <w:sz w:val="20"/>
          <w:szCs w:val="20"/>
        </w:rPr>
      </w:pPr>
      <w:r>
        <w:rPr>
          <w:sz w:val="20"/>
          <w:szCs w:val="20"/>
        </w:rPr>
        <w:t>Docentes: Dr. Jean Lima e Dr</w:t>
      </w:r>
      <w:r w:rsidRPr="00CA361F"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. Marcela Machado </w:t>
      </w:r>
    </w:p>
    <w:p w14:paraId="763C5E76" w14:textId="77777777" w:rsidR="00CA361F" w:rsidRPr="00730673" w:rsidRDefault="00CA361F" w:rsidP="00CA361F">
      <w:pPr>
        <w:ind w:left="4536"/>
        <w:jc w:val="both"/>
        <w:rPr>
          <w:sz w:val="20"/>
          <w:szCs w:val="20"/>
        </w:rPr>
      </w:pPr>
    </w:p>
    <w:p w14:paraId="0500D6CC" w14:textId="77777777" w:rsidR="00CA361F" w:rsidRPr="00730673" w:rsidRDefault="00CA361F" w:rsidP="00CA361F">
      <w:pPr>
        <w:spacing w:line="360" w:lineRule="auto"/>
      </w:pPr>
    </w:p>
    <w:p w14:paraId="0C3D023D" w14:textId="77777777" w:rsidR="00CA361F" w:rsidRPr="00730673" w:rsidRDefault="00CA361F" w:rsidP="00CA361F">
      <w:pPr>
        <w:spacing w:line="360" w:lineRule="auto"/>
      </w:pPr>
    </w:p>
    <w:p w14:paraId="1B8BA57F" w14:textId="77777777" w:rsidR="00CA361F" w:rsidRPr="00730673" w:rsidRDefault="00CA361F" w:rsidP="00CA361F">
      <w:pPr>
        <w:spacing w:line="360" w:lineRule="auto"/>
      </w:pPr>
    </w:p>
    <w:p w14:paraId="5758A99D" w14:textId="77777777" w:rsidR="00CA361F" w:rsidRPr="00730673" w:rsidRDefault="00CA361F" w:rsidP="00CA361F">
      <w:pPr>
        <w:rPr>
          <w:color w:val="000000" w:themeColor="text1"/>
        </w:rPr>
      </w:pPr>
    </w:p>
    <w:p w14:paraId="7F6FD9E0" w14:textId="77777777" w:rsidR="00CA361F" w:rsidRPr="00730673" w:rsidRDefault="00CA361F" w:rsidP="00CA361F">
      <w:pPr>
        <w:rPr>
          <w:color w:val="000000" w:themeColor="text1"/>
        </w:rPr>
      </w:pPr>
    </w:p>
    <w:p w14:paraId="01067185" w14:textId="77777777" w:rsidR="00CA361F" w:rsidRPr="00730673" w:rsidRDefault="00CA361F" w:rsidP="00CA361F">
      <w:pPr>
        <w:rPr>
          <w:color w:val="000000" w:themeColor="text1"/>
        </w:rPr>
      </w:pPr>
    </w:p>
    <w:p w14:paraId="6F3DBAA1" w14:textId="77777777" w:rsidR="00CA361F" w:rsidRPr="00730673" w:rsidRDefault="00CA361F" w:rsidP="00CA361F">
      <w:pPr>
        <w:rPr>
          <w:color w:val="000000" w:themeColor="text1"/>
        </w:rPr>
      </w:pPr>
    </w:p>
    <w:p w14:paraId="2E2D9EFD" w14:textId="77777777" w:rsidR="00CA361F" w:rsidRPr="00730673" w:rsidRDefault="00CA361F" w:rsidP="00CA361F">
      <w:pPr>
        <w:rPr>
          <w:color w:val="000000" w:themeColor="text1"/>
        </w:rPr>
      </w:pPr>
    </w:p>
    <w:p w14:paraId="27390F87" w14:textId="77777777" w:rsidR="00CA361F" w:rsidRPr="00730673" w:rsidRDefault="00CA361F" w:rsidP="00CA361F">
      <w:pPr>
        <w:rPr>
          <w:color w:val="000000" w:themeColor="text1"/>
        </w:rPr>
      </w:pPr>
    </w:p>
    <w:p w14:paraId="531569AF" w14:textId="77777777" w:rsidR="00CA361F" w:rsidRDefault="00CA361F" w:rsidP="00CA361F">
      <w:pPr>
        <w:rPr>
          <w:color w:val="000000" w:themeColor="text1"/>
        </w:rPr>
      </w:pPr>
    </w:p>
    <w:p w14:paraId="113471C5" w14:textId="77777777" w:rsidR="00FD74E2" w:rsidRDefault="00FD74E2" w:rsidP="00CA361F">
      <w:pPr>
        <w:rPr>
          <w:color w:val="000000" w:themeColor="text1"/>
        </w:rPr>
      </w:pPr>
    </w:p>
    <w:p w14:paraId="64EF95AC" w14:textId="77777777" w:rsidR="00FD74E2" w:rsidRDefault="00FD74E2" w:rsidP="00CA361F">
      <w:pPr>
        <w:rPr>
          <w:color w:val="000000" w:themeColor="text1"/>
        </w:rPr>
      </w:pPr>
    </w:p>
    <w:p w14:paraId="02FDDC4C" w14:textId="77777777" w:rsidR="00FD74E2" w:rsidRDefault="00FD74E2" w:rsidP="00CA361F">
      <w:pPr>
        <w:rPr>
          <w:color w:val="000000" w:themeColor="text1"/>
        </w:rPr>
      </w:pPr>
    </w:p>
    <w:p w14:paraId="70BB805C" w14:textId="77777777" w:rsidR="00FD74E2" w:rsidRPr="00730673" w:rsidRDefault="00FD74E2" w:rsidP="00CA361F">
      <w:pPr>
        <w:rPr>
          <w:color w:val="000000" w:themeColor="text1"/>
        </w:rPr>
      </w:pPr>
    </w:p>
    <w:p w14:paraId="77844EE3" w14:textId="77777777" w:rsidR="00CA361F" w:rsidRPr="00730673" w:rsidRDefault="00CA361F" w:rsidP="00CA361F">
      <w:pPr>
        <w:rPr>
          <w:color w:val="000000" w:themeColor="text1"/>
        </w:rPr>
      </w:pPr>
    </w:p>
    <w:p w14:paraId="2782FA70" w14:textId="408BA1DF" w:rsidR="00CA361F" w:rsidRPr="00730673" w:rsidRDefault="00CA361F" w:rsidP="00FD74E2">
      <w:pPr>
        <w:jc w:val="center"/>
        <w:rPr>
          <w:color w:val="000000" w:themeColor="text1"/>
        </w:rPr>
      </w:pPr>
      <w:r w:rsidRPr="00730673">
        <w:rPr>
          <w:color w:val="000000" w:themeColor="text1"/>
        </w:rPr>
        <w:t xml:space="preserve">Brasília/DF </w:t>
      </w:r>
    </w:p>
    <w:p w14:paraId="66CE6F0E" w14:textId="0DAB4B13" w:rsidR="00CA361F" w:rsidRDefault="00CA361F" w:rsidP="00FD74E2">
      <w:pPr>
        <w:jc w:val="center"/>
        <w:rPr>
          <w:color w:val="000000" w:themeColor="text1"/>
        </w:rPr>
      </w:pPr>
      <w:r>
        <w:rPr>
          <w:color w:val="000000" w:themeColor="text1"/>
        </w:rPr>
        <w:t>Outubro/</w:t>
      </w:r>
      <w:r w:rsidRPr="00730673">
        <w:rPr>
          <w:color w:val="000000" w:themeColor="text1"/>
        </w:rPr>
        <w:t>2025</w:t>
      </w:r>
    </w:p>
    <w:p w14:paraId="5CD5233C" w14:textId="77777777" w:rsidR="00FD74E2" w:rsidRDefault="00FD74E2" w:rsidP="00FD74E2">
      <w:pPr>
        <w:jc w:val="center"/>
        <w:rPr>
          <w:color w:val="000000" w:themeColor="text1"/>
        </w:rPr>
      </w:pPr>
    </w:p>
    <w:p w14:paraId="0D9D98D4" w14:textId="77777777" w:rsidR="00FD74E2" w:rsidRDefault="00FD74E2" w:rsidP="00FD74E2">
      <w:pPr>
        <w:jc w:val="center"/>
        <w:rPr>
          <w:color w:val="000000" w:themeColor="text1"/>
        </w:rPr>
      </w:pPr>
    </w:p>
    <w:p w14:paraId="043438A9" w14:textId="77777777" w:rsidR="00FD74E2" w:rsidRDefault="00FD74E2" w:rsidP="00FD74E2">
      <w:pPr>
        <w:jc w:val="center"/>
        <w:rPr>
          <w:color w:val="000000" w:themeColor="text1"/>
        </w:rPr>
      </w:pPr>
    </w:p>
    <w:p w14:paraId="23C4F227" w14:textId="77777777" w:rsidR="00E541CF" w:rsidRDefault="00E541CF" w:rsidP="00FD74E2">
      <w:pPr>
        <w:jc w:val="center"/>
        <w:rPr>
          <w:color w:val="000000" w:themeColor="text1"/>
        </w:rPr>
      </w:pPr>
    </w:p>
    <w:p w14:paraId="3D627A82" w14:textId="77777777" w:rsidR="00E541CF" w:rsidRDefault="00E541CF" w:rsidP="00FD74E2">
      <w:pPr>
        <w:jc w:val="center"/>
        <w:rPr>
          <w:color w:val="000000" w:themeColor="text1"/>
        </w:rPr>
      </w:pPr>
    </w:p>
    <w:p w14:paraId="2E854C36" w14:textId="081B49C2" w:rsidR="00E541CF" w:rsidRDefault="00E541CF" w:rsidP="00FD74E2">
      <w:pPr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>LISTA DE QUADROS</w:t>
      </w:r>
    </w:p>
    <w:p w14:paraId="25C7E5FF" w14:textId="77777777" w:rsidR="00E541CF" w:rsidRDefault="00E541CF" w:rsidP="00FD74E2">
      <w:pPr>
        <w:jc w:val="center"/>
        <w:rPr>
          <w:color w:val="000000" w:themeColor="text1"/>
        </w:rPr>
      </w:pPr>
    </w:p>
    <w:p w14:paraId="26863FBB" w14:textId="77777777" w:rsidR="00E541CF" w:rsidRDefault="00E541CF" w:rsidP="00FD74E2">
      <w:pPr>
        <w:jc w:val="center"/>
        <w:rPr>
          <w:color w:val="000000" w:themeColor="text1"/>
        </w:rPr>
      </w:pP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7296"/>
        <w:gridCol w:w="533"/>
      </w:tblGrid>
      <w:tr w:rsidR="00E541CF" w14:paraId="64C07D2F" w14:textId="77777777" w:rsidTr="00117789">
        <w:tc>
          <w:tcPr>
            <w:tcW w:w="701" w:type="pct"/>
          </w:tcPr>
          <w:p w14:paraId="0D2959D6" w14:textId="1EE060D3" w:rsidR="00E541CF" w:rsidRDefault="00117789" w:rsidP="00117789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Quadro 1 -</w:t>
            </w:r>
          </w:p>
        </w:tc>
        <w:tc>
          <w:tcPr>
            <w:tcW w:w="3989" w:type="pct"/>
          </w:tcPr>
          <w:p w14:paraId="066815E0" w14:textId="72ACAB9C" w:rsidR="00E541CF" w:rsidRDefault="00117789" w:rsidP="00117789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Casos selecionados.....................................................................................</w:t>
            </w:r>
          </w:p>
        </w:tc>
        <w:tc>
          <w:tcPr>
            <w:tcW w:w="310" w:type="pct"/>
          </w:tcPr>
          <w:p w14:paraId="621BEF84" w14:textId="3E9C4FC8" w:rsidR="00E541CF" w:rsidRDefault="00117789" w:rsidP="00117789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</w:tr>
      <w:tr w:rsidR="00E541CF" w14:paraId="3DAF8EC2" w14:textId="77777777" w:rsidTr="00117789">
        <w:tc>
          <w:tcPr>
            <w:tcW w:w="701" w:type="pct"/>
          </w:tcPr>
          <w:p w14:paraId="478F52EF" w14:textId="21FE8089" w:rsidR="00E541CF" w:rsidRDefault="00117789" w:rsidP="00117789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Quadro 2 - </w:t>
            </w:r>
          </w:p>
        </w:tc>
        <w:tc>
          <w:tcPr>
            <w:tcW w:w="3989" w:type="pct"/>
          </w:tcPr>
          <w:p w14:paraId="606D7303" w14:textId="28F1FB6F" w:rsidR="00E541CF" w:rsidRDefault="00117789" w:rsidP="00117789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Cronogr</w:t>
            </w:r>
            <w:r w:rsidR="009C70DC">
              <w:rPr>
                <w:color w:val="000000" w:themeColor="text1"/>
              </w:rPr>
              <w:t>a</w:t>
            </w:r>
            <w:r>
              <w:rPr>
                <w:color w:val="000000" w:themeColor="text1"/>
              </w:rPr>
              <w:t>ma..................................................................................................</w:t>
            </w:r>
          </w:p>
        </w:tc>
        <w:tc>
          <w:tcPr>
            <w:tcW w:w="310" w:type="pct"/>
          </w:tcPr>
          <w:p w14:paraId="61E23246" w14:textId="75909077" w:rsidR="00E541CF" w:rsidRDefault="00117789" w:rsidP="00117789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E541CF" w14:paraId="05D70974" w14:textId="77777777" w:rsidTr="00117789">
        <w:tc>
          <w:tcPr>
            <w:tcW w:w="701" w:type="pct"/>
          </w:tcPr>
          <w:p w14:paraId="13046E76" w14:textId="77777777" w:rsidR="00E541CF" w:rsidRDefault="00E541CF" w:rsidP="00117789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989" w:type="pct"/>
          </w:tcPr>
          <w:p w14:paraId="2C0E715F" w14:textId="77777777" w:rsidR="00E541CF" w:rsidRDefault="00E541CF" w:rsidP="00117789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310" w:type="pct"/>
          </w:tcPr>
          <w:p w14:paraId="41200E72" w14:textId="77777777" w:rsidR="00E541CF" w:rsidRDefault="00E541CF" w:rsidP="00117789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</w:tr>
    </w:tbl>
    <w:p w14:paraId="66082E9C" w14:textId="77777777" w:rsidR="00E541CF" w:rsidRDefault="00E541CF" w:rsidP="00FD74E2">
      <w:pPr>
        <w:jc w:val="center"/>
        <w:rPr>
          <w:color w:val="000000" w:themeColor="text1"/>
        </w:rPr>
      </w:pPr>
    </w:p>
    <w:p w14:paraId="3CFB7C8D" w14:textId="77777777" w:rsidR="00FD74E2" w:rsidRDefault="00FD74E2" w:rsidP="00FD74E2">
      <w:pPr>
        <w:jc w:val="center"/>
        <w:rPr>
          <w:color w:val="000000" w:themeColor="text1"/>
        </w:rPr>
      </w:pPr>
    </w:p>
    <w:p w14:paraId="0EA1A568" w14:textId="77777777" w:rsidR="00FD74E2" w:rsidRDefault="00FD74E2" w:rsidP="00FD74E2">
      <w:pPr>
        <w:jc w:val="center"/>
        <w:rPr>
          <w:color w:val="000000" w:themeColor="text1"/>
        </w:rPr>
      </w:pPr>
    </w:p>
    <w:p w14:paraId="24C8732E" w14:textId="77777777" w:rsidR="00E541CF" w:rsidRDefault="00E541CF" w:rsidP="00FD74E2">
      <w:pPr>
        <w:jc w:val="center"/>
        <w:rPr>
          <w:color w:val="000000" w:themeColor="text1"/>
        </w:rPr>
      </w:pPr>
    </w:p>
    <w:p w14:paraId="0A38AA7E" w14:textId="77777777" w:rsidR="00E541CF" w:rsidRDefault="00E541CF" w:rsidP="00FD74E2">
      <w:pPr>
        <w:jc w:val="center"/>
        <w:rPr>
          <w:color w:val="000000" w:themeColor="text1"/>
        </w:rPr>
      </w:pPr>
    </w:p>
    <w:p w14:paraId="5A5C0503" w14:textId="77777777" w:rsidR="00E541CF" w:rsidRDefault="00E541CF" w:rsidP="00FD74E2">
      <w:pPr>
        <w:jc w:val="center"/>
        <w:rPr>
          <w:color w:val="000000" w:themeColor="text1"/>
        </w:rPr>
      </w:pPr>
    </w:p>
    <w:p w14:paraId="070CD051" w14:textId="77777777" w:rsidR="00E541CF" w:rsidRDefault="00E541CF" w:rsidP="00FD74E2">
      <w:pPr>
        <w:jc w:val="center"/>
        <w:rPr>
          <w:color w:val="000000" w:themeColor="text1"/>
        </w:rPr>
      </w:pPr>
    </w:p>
    <w:p w14:paraId="4FD531E5" w14:textId="77777777" w:rsidR="00E541CF" w:rsidRDefault="00E541CF" w:rsidP="00FD74E2">
      <w:pPr>
        <w:jc w:val="center"/>
        <w:rPr>
          <w:color w:val="000000" w:themeColor="text1"/>
        </w:rPr>
      </w:pPr>
    </w:p>
    <w:p w14:paraId="1D4B8648" w14:textId="77777777" w:rsidR="00E541CF" w:rsidRDefault="00E541CF" w:rsidP="00FD74E2">
      <w:pPr>
        <w:jc w:val="center"/>
        <w:rPr>
          <w:color w:val="000000" w:themeColor="text1"/>
        </w:rPr>
      </w:pPr>
    </w:p>
    <w:p w14:paraId="2BB7D48D" w14:textId="77777777" w:rsidR="00E541CF" w:rsidRDefault="00E541CF" w:rsidP="00FD74E2">
      <w:pPr>
        <w:jc w:val="center"/>
        <w:rPr>
          <w:color w:val="000000" w:themeColor="text1"/>
        </w:rPr>
      </w:pPr>
    </w:p>
    <w:p w14:paraId="35BFBA4D" w14:textId="77777777" w:rsidR="00E541CF" w:rsidRDefault="00E541CF" w:rsidP="00FD74E2">
      <w:pPr>
        <w:jc w:val="center"/>
        <w:rPr>
          <w:color w:val="000000" w:themeColor="text1"/>
        </w:rPr>
      </w:pPr>
    </w:p>
    <w:p w14:paraId="1436A509" w14:textId="0F6605FE" w:rsidR="00E541CF" w:rsidRDefault="00E541CF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E09480C" w14:textId="77777777" w:rsidR="00FD74E2" w:rsidRPr="00730673" w:rsidRDefault="00FD74E2" w:rsidP="00FD74E2">
      <w:pPr>
        <w:jc w:val="center"/>
        <w:rPr>
          <w:color w:val="000000" w:themeColor="text1"/>
        </w:rPr>
      </w:pPr>
    </w:p>
    <w:p w14:paraId="47C12E5C" w14:textId="77777777" w:rsidR="00CA361F" w:rsidRDefault="00CA361F" w:rsidP="003839F6">
      <w:pPr>
        <w:pStyle w:val="Ttulo2"/>
        <w:spacing w:before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11" w:name="_Toc212364365"/>
      <w:r w:rsidRPr="0073067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DICIONÁRIO DE ABREVIATURAS E SIGLAS</w:t>
      </w:r>
      <w:bookmarkEnd w:id="11"/>
    </w:p>
    <w:p w14:paraId="591C4AB9" w14:textId="77777777" w:rsidR="00CA361F" w:rsidRPr="00730673" w:rsidRDefault="00CA361F" w:rsidP="00CA361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9"/>
        <w:gridCol w:w="3421"/>
        <w:gridCol w:w="3821"/>
      </w:tblGrid>
      <w:tr w:rsidR="00CA361F" w:rsidRPr="00117789" w14:paraId="545FEDD0" w14:textId="77777777" w:rsidTr="003839F6">
        <w:tc>
          <w:tcPr>
            <w:tcW w:w="0" w:type="auto"/>
            <w:hideMark/>
          </w:tcPr>
          <w:p w14:paraId="2D6B8A1A" w14:textId="77777777" w:rsidR="00CA361F" w:rsidRPr="00117789" w:rsidRDefault="00CA361F" w:rsidP="00FD74E2">
            <w:pPr>
              <w:jc w:val="center"/>
              <w:rPr>
                <w:b/>
                <w:bCs/>
              </w:rPr>
            </w:pPr>
            <w:r w:rsidRPr="00117789">
              <w:rPr>
                <w:b/>
                <w:bCs/>
              </w:rPr>
              <w:t>Sigla / Abreviatura</w:t>
            </w:r>
          </w:p>
        </w:tc>
        <w:tc>
          <w:tcPr>
            <w:tcW w:w="0" w:type="auto"/>
            <w:hideMark/>
          </w:tcPr>
          <w:p w14:paraId="119DDAB2" w14:textId="77777777" w:rsidR="00CA361F" w:rsidRPr="00117789" w:rsidRDefault="00CA361F" w:rsidP="00FD74E2">
            <w:pPr>
              <w:jc w:val="center"/>
              <w:rPr>
                <w:b/>
                <w:bCs/>
              </w:rPr>
            </w:pPr>
            <w:r w:rsidRPr="00117789">
              <w:rPr>
                <w:b/>
                <w:bCs/>
              </w:rPr>
              <w:t>Significado Completo</w:t>
            </w:r>
          </w:p>
        </w:tc>
        <w:tc>
          <w:tcPr>
            <w:tcW w:w="0" w:type="auto"/>
            <w:hideMark/>
          </w:tcPr>
          <w:p w14:paraId="6FDB8A92" w14:textId="77777777" w:rsidR="00CA361F" w:rsidRPr="00117789" w:rsidRDefault="00CA361F" w:rsidP="00FD74E2">
            <w:pPr>
              <w:jc w:val="center"/>
              <w:rPr>
                <w:b/>
                <w:bCs/>
              </w:rPr>
            </w:pPr>
            <w:r w:rsidRPr="00117789">
              <w:rPr>
                <w:b/>
                <w:bCs/>
              </w:rPr>
              <w:t>Contexto no Projeto</w:t>
            </w:r>
          </w:p>
        </w:tc>
      </w:tr>
      <w:tr w:rsidR="00CA361F" w:rsidRPr="00117789" w14:paraId="16609AFD" w14:textId="77777777" w:rsidTr="003839F6">
        <w:tc>
          <w:tcPr>
            <w:tcW w:w="0" w:type="auto"/>
            <w:hideMark/>
          </w:tcPr>
          <w:p w14:paraId="7F331841" w14:textId="77777777" w:rsidR="00CA361F" w:rsidRPr="00117789" w:rsidRDefault="00CA361F" w:rsidP="00FD74E2">
            <w:r w:rsidRPr="00117789">
              <w:rPr>
                <w:b/>
                <w:bCs/>
              </w:rPr>
              <w:t>ACQ</w:t>
            </w:r>
          </w:p>
        </w:tc>
        <w:tc>
          <w:tcPr>
            <w:tcW w:w="0" w:type="auto"/>
            <w:hideMark/>
          </w:tcPr>
          <w:p w14:paraId="663671B1" w14:textId="77777777" w:rsidR="00CA361F" w:rsidRPr="00117789" w:rsidRDefault="00CA361F" w:rsidP="00FD74E2">
            <w:r w:rsidRPr="00117789">
              <w:t>Análise de Conteúdo Qualitativa</w:t>
            </w:r>
          </w:p>
        </w:tc>
        <w:tc>
          <w:tcPr>
            <w:tcW w:w="0" w:type="auto"/>
            <w:hideMark/>
          </w:tcPr>
          <w:p w14:paraId="51B48BB6" w14:textId="77777777" w:rsidR="00CA361F" w:rsidRPr="00117789" w:rsidRDefault="00CA361F" w:rsidP="00FD74E2">
            <w:pPr>
              <w:jc w:val="both"/>
            </w:pPr>
            <w:r w:rsidRPr="00117789">
              <w:t>Técnica metodológica utilizada para analisar a Narrativa Política.</w:t>
            </w:r>
          </w:p>
        </w:tc>
      </w:tr>
      <w:tr w:rsidR="00CA361F" w:rsidRPr="00117789" w14:paraId="36FE1129" w14:textId="77777777" w:rsidTr="003839F6">
        <w:tc>
          <w:tcPr>
            <w:tcW w:w="0" w:type="auto"/>
            <w:hideMark/>
          </w:tcPr>
          <w:p w14:paraId="13269588" w14:textId="77777777" w:rsidR="00CA361F" w:rsidRPr="00117789" w:rsidRDefault="00CA361F" w:rsidP="00FD74E2">
            <w:r w:rsidRPr="00117789">
              <w:rPr>
                <w:b/>
                <w:bCs/>
              </w:rPr>
              <w:t>ALBA</w:t>
            </w:r>
          </w:p>
        </w:tc>
        <w:tc>
          <w:tcPr>
            <w:tcW w:w="0" w:type="auto"/>
            <w:hideMark/>
          </w:tcPr>
          <w:p w14:paraId="4A435008" w14:textId="77777777" w:rsidR="00CA361F" w:rsidRPr="00117789" w:rsidRDefault="00CA361F" w:rsidP="00FD74E2">
            <w:r w:rsidRPr="00117789">
              <w:t>Aliança Bolivariana para os Povos de Nossa América</w:t>
            </w:r>
          </w:p>
        </w:tc>
        <w:tc>
          <w:tcPr>
            <w:tcW w:w="0" w:type="auto"/>
            <w:hideMark/>
          </w:tcPr>
          <w:p w14:paraId="136223A4" w14:textId="77777777" w:rsidR="00CA361F" w:rsidRPr="00117789" w:rsidRDefault="00CA361F" w:rsidP="00FD74E2">
            <w:pPr>
              <w:jc w:val="both"/>
            </w:pPr>
            <w:r w:rsidRPr="00117789">
              <w:t>Organismo pós-hegemônico correlato, citado na Revisão da Literatura.</w:t>
            </w:r>
          </w:p>
        </w:tc>
      </w:tr>
      <w:tr w:rsidR="00CA361F" w:rsidRPr="00117789" w14:paraId="69DEE138" w14:textId="77777777" w:rsidTr="003839F6">
        <w:tc>
          <w:tcPr>
            <w:tcW w:w="0" w:type="auto"/>
            <w:hideMark/>
          </w:tcPr>
          <w:p w14:paraId="4BE52FC7" w14:textId="77777777" w:rsidR="00CA361F" w:rsidRPr="00117789" w:rsidRDefault="00CA361F" w:rsidP="00FD74E2">
            <w:r w:rsidRPr="00117789">
              <w:rPr>
                <w:b/>
                <w:bCs/>
              </w:rPr>
              <w:t>CELAC</w:t>
            </w:r>
          </w:p>
        </w:tc>
        <w:tc>
          <w:tcPr>
            <w:tcW w:w="0" w:type="auto"/>
            <w:hideMark/>
          </w:tcPr>
          <w:p w14:paraId="3266D5FC" w14:textId="77777777" w:rsidR="00CA361F" w:rsidRPr="00117789" w:rsidRDefault="00CA361F" w:rsidP="00FD74E2">
            <w:r w:rsidRPr="00117789">
              <w:t>Comunidade de Estados Latino-Americanos e Caribenhos</w:t>
            </w:r>
          </w:p>
        </w:tc>
        <w:tc>
          <w:tcPr>
            <w:tcW w:w="0" w:type="auto"/>
            <w:hideMark/>
          </w:tcPr>
          <w:p w14:paraId="2E2C0595" w14:textId="77777777" w:rsidR="00CA361F" w:rsidRPr="00117789" w:rsidRDefault="00CA361F" w:rsidP="00FD74E2">
            <w:pPr>
              <w:jc w:val="both"/>
            </w:pPr>
            <w:r w:rsidRPr="00117789">
              <w:t>Fórum pós-hegemônico e foco principal da comparação.</w:t>
            </w:r>
          </w:p>
        </w:tc>
      </w:tr>
      <w:tr w:rsidR="00CA361F" w:rsidRPr="00117789" w14:paraId="1B8A41AE" w14:textId="77777777" w:rsidTr="003839F6">
        <w:tc>
          <w:tcPr>
            <w:tcW w:w="0" w:type="auto"/>
            <w:hideMark/>
          </w:tcPr>
          <w:p w14:paraId="2673151C" w14:textId="77777777" w:rsidR="00CA361F" w:rsidRPr="00117789" w:rsidRDefault="00CA361F" w:rsidP="00FD74E2">
            <w:r w:rsidRPr="00117789">
              <w:rPr>
                <w:b/>
                <w:bCs/>
              </w:rPr>
              <w:t>CEPAL</w:t>
            </w:r>
          </w:p>
        </w:tc>
        <w:tc>
          <w:tcPr>
            <w:tcW w:w="0" w:type="auto"/>
            <w:hideMark/>
          </w:tcPr>
          <w:p w14:paraId="27FD9F00" w14:textId="77777777" w:rsidR="00CA361F" w:rsidRPr="00117789" w:rsidRDefault="00CA361F" w:rsidP="00FD74E2">
            <w:r w:rsidRPr="00117789">
              <w:t>Comissão Econômica para a América Latina e o Caribe</w:t>
            </w:r>
          </w:p>
        </w:tc>
        <w:tc>
          <w:tcPr>
            <w:tcW w:w="0" w:type="auto"/>
            <w:hideMark/>
          </w:tcPr>
          <w:p w14:paraId="47C995F2" w14:textId="77777777" w:rsidR="00CA361F" w:rsidRPr="00117789" w:rsidRDefault="00CA361F" w:rsidP="00FD74E2">
            <w:pPr>
              <w:jc w:val="both"/>
            </w:pPr>
            <w:r w:rsidRPr="00117789">
              <w:t>Fonte de dados e contexto para o regionalismo.</w:t>
            </w:r>
          </w:p>
        </w:tc>
      </w:tr>
      <w:tr w:rsidR="00CA361F" w:rsidRPr="00117789" w14:paraId="0E9200A9" w14:textId="77777777" w:rsidTr="003839F6">
        <w:tc>
          <w:tcPr>
            <w:tcW w:w="0" w:type="auto"/>
            <w:hideMark/>
          </w:tcPr>
          <w:p w14:paraId="22065EBE" w14:textId="77777777" w:rsidR="00CA361F" w:rsidRPr="00117789" w:rsidRDefault="00CA361F" w:rsidP="00FD74E2">
            <w:r w:rsidRPr="00117789">
              <w:rPr>
                <w:b/>
                <w:bCs/>
              </w:rPr>
              <w:t>CIDH</w:t>
            </w:r>
          </w:p>
        </w:tc>
        <w:tc>
          <w:tcPr>
            <w:tcW w:w="0" w:type="auto"/>
            <w:hideMark/>
          </w:tcPr>
          <w:p w14:paraId="696D7125" w14:textId="77777777" w:rsidR="00CA361F" w:rsidRPr="00117789" w:rsidRDefault="00CA361F" w:rsidP="00FD74E2">
            <w:r w:rsidRPr="00117789">
              <w:t>Comissão Interamericana de Direitos Humanos</w:t>
            </w:r>
          </w:p>
        </w:tc>
        <w:tc>
          <w:tcPr>
            <w:tcW w:w="0" w:type="auto"/>
            <w:hideMark/>
          </w:tcPr>
          <w:p w14:paraId="269A7548" w14:textId="77777777" w:rsidR="00CA361F" w:rsidRPr="00117789" w:rsidRDefault="00CA361F" w:rsidP="00FD74E2">
            <w:pPr>
              <w:jc w:val="both"/>
            </w:pPr>
            <w:r w:rsidRPr="00117789">
              <w:t>Órgão especializado da OEA, crucial na avaliação de direitos humanos.</w:t>
            </w:r>
          </w:p>
        </w:tc>
      </w:tr>
      <w:tr w:rsidR="00CA361F" w:rsidRPr="00117789" w14:paraId="4B2F15EB" w14:textId="77777777" w:rsidTr="003839F6">
        <w:tc>
          <w:tcPr>
            <w:tcW w:w="0" w:type="auto"/>
            <w:hideMark/>
          </w:tcPr>
          <w:p w14:paraId="122FFB09" w14:textId="77777777" w:rsidR="00CA361F" w:rsidRPr="00117789" w:rsidRDefault="00CA361F" w:rsidP="00FD74E2">
            <w:r w:rsidRPr="00117789">
              <w:rPr>
                <w:b/>
                <w:bCs/>
              </w:rPr>
              <w:t>EUA</w:t>
            </w:r>
          </w:p>
        </w:tc>
        <w:tc>
          <w:tcPr>
            <w:tcW w:w="0" w:type="auto"/>
            <w:hideMark/>
          </w:tcPr>
          <w:p w14:paraId="55BE3F1E" w14:textId="77777777" w:rsidR="00CA361F" w:rsidRPr="00117789" w:rsidRDefault="00CA361F" w:rsidP="00FD74E2">
            <w:r w:rsidRPr="00117789">
              <w:t>Estados Unidos da América</w:t>
            </w:r>
          </w:p>
        </w:tc>
        <w:tc>
          <w:tcPr>
            <w:tcW w:w="0" w:type="auto"/>
            <w:hideMark/>
          </w:tcPr>
          <w:p w14:paraId="7E883A3C" w14:textId="77777777" w:rsidR="00CA361F" w:rsidRPr="00117789" w:rsidRDefault="00CA361F" w:rsidP="00FD74E2">
            <w:pPr>
              <w:jc w:val="both"/>
            </w:pPr>
            <w:r w:rsidRPr="00117789">
              <w:t>Principal ator da hegemonia regional, excluído da CELAC.</w:t>
            </w:r>
          </w:p>
        </w:tc>
      </w:tr>
      <w:tr w:rsidR="00CA361F" w:rsidRPr="00117789" w14:paraId="7CD2D4D8" w14:textId="77777777" w:rsidTr="003839F6">
        <w:tc>
          <w:tcPr>
            <w:tcW w:w="0" w:type="auto"/>
            <w:hideMark/>
          </w:tcPr>
          <w:p w14:paraId="6868B774" w14:textId="77777777" w:rsidR="00CA361F" w:rsidRPr="00117789" w:rsidRDefault="00CA361F" w:rsidP="00FD74E2">
            <w:r w:rsidRPr="00117789">
              <w:rPr>
                <w:b/>
                <w:bCs/>
              </w:rPr>
              <w:t>MAPP</w:t>
            </w:r>
          </w:p>
        </w:tc>
        <w:tc>
          <w:tcPr>
            <w:tcW w:w="0" w:type="auto"/>
            <w:hideMark/>
          </w:tcPr>
          <w:p w14:paraId="1452CA3D" w14:textId="77777777" w:rsidR="00CA361F" w:rsidRPr="00117789" w:rsidRDefault="00CA361F" w:rsidP="00FD74E2">
            <w:r w:rsidRPr="00117789">
              <w:t>Missão de Apoio ao Processo de Paz na Colômbia</w:t>
            </w:r>
          </w:p>
        </w:tc>
        <w:tc>
          <w:tcPr>
            <w:tcW w:w="0" w:type="auto"/>
            <w:hideMark/>
          </w:tcPr>
          <w:p w14:paraId="47254B9E" w14:textId="77777777" w:rsidR="00CA361F" w:rsidRPr="00117789" w:rsidRDefault="00CA361F" w:rsidP="00FD74E2">
            <w:pPr>
              <w:jc w:val="both"/>
            </w:pPr>
            <w:r w:rsidRPr="00117789">
              <w:t>Mecanismo de atuação da OEA em um dos estudos de caso.</w:t>
            </w:r>
          </w:p>
        </w:tc>
      </w:tr>
      <w:tr w:rsidR="00CA361F" w:rsidRPr="00117789" w14:paraId="6F152857" w14:textId="77777777" w:rsidTr="003839F6">
        <w:tc>
          <w:tcPr>
            <w:tcW w:w="0" w:type="auto"/>
            <w:hideMark/>
          </w:tcPr>
          <w:p w14:paraId="3F3C6A9D" w14:textId="77777777" w:rsidR="00CA361F" w:rsidRPr="00117789" w:rsidRDefault="00CA361F" w:rsidP="00FD74E2">
            <w:r w:rsidRPr="00117789">
              <w:rPr>
                <w:b/>
                <w:bCs/>
              </w:rPr>
              <w:t>MERCOSUL</w:t>
            </w:r>
          </w:p>
        </w:tc>
        <w:tc>
          <w:tcPr>
            <w:tcW w:w="0" w:type="auto"/>
            <w:hideMark/>
          </w:tcPr>
          <w:p w14:paraId="0BD2E487" w14:textId="77777777" w:rsidR="00CA361F" w:rsidRPr="00117789" w:rsidRDefault="00CA361F" w:rsidP="00FD74E2">
            <w:r w:rsidRPr="00117789">
              <w:t>Mercado Comum do Sul</w:t>
            </w:r>
          </w:p>
        </w:tc>
        <w:tc>
          <w:tcPr>
            <w:tcW w:w="0" w:type="auto"/>
            <w:hideMark/>
          </w:tcPr>
          <w:p w14:paraId="3495BA34" w14:textId="77777777" w:rsidR="00CA361F" w:rsidRPr="00117789" w:rsidRDefault="00CA361F" w:rsidP="00FD74E2">
            <w:pPr>
              <w:jc w:val="both"/>
            </w:pPr>
            <w:r w:rsidRPr="00117789">
              <w:t>Bloco regional citado na comparação de ações no caso Paraguai.</w:t>
            </w:r>
          </w:p>
        </w:tc>
      </w:tr>
      <w:tr w:rsidR="00CA361F" w:rsidRPr="00117789" w14:paraId="1DE9B385" w14:textId="77777777" w:rsidTr="003839F6">
        <w:tc>
          <w:tcPr>
            <w:tcW w:w="0" w:type="auto"/>
            <w:hideMark/>
          </w:tcPr>
          <w:p w14:paraId="19B98E70" w14:textId="77777777" w:rsidR="00CA361F" w:rsidRPr="00117789" w:rsidRDefault="00CA361F" w:rsidP="00FD74E2">
            <w:r w:rsidRPr="00117789">
              <w:rPr>
                <w:b/>
                <w:bCs/>
              </w:rPr>
              <w:t>NV-AUT</w:t>
            </w:r>
          </w:p>
        </w:tc>
        <w:tc>
          <w:tcPr>
            <w:tcW w:w="0" w:type="auto"/>
            <w:hideMark/>
          </w:tcPr>
          <w:p w14:paraId="7E9A29B0" w14:textId="77777777" w:rsidR="00CA361F" w:rsidRPr="00117789" w:rsidRDefault="00CA361F" w:rsidP="00FD74E2">
            <w:r w:rsidRPr="00117789">
              <w:t>Autodeterminação dos Povos (Código de Análise)</w:t>
            </w:r>
          </w:p>
        </w:tc>
        <w:tc>
          <w:tcPr>
            <w:tcW w:w="0" w:type="auto"/>
            <w:hideMark/>
          </w:tcPr>
          <w:p w14:paraId="7B3E3E51" w14:textId="77777777" w:rsidR="00CA361F" w:rsidRPr="00117789" w:rsidRDefault="00CA361F" w:rsidP="00FD74E2">
            <w:pPr>
              <w:jc w:val="both"/>
            </w:pPr>
            <w:r w:rsidRPr="00117789">
              <w:t>Código primário para a codificação da Narrativa Política.</w:t>
            </w:r>
          </w:p>
        </w:tc>
      </w:tr>
      <w:tr w:rsidR="00CA361F" w:rsidRPr="00117789" w14:paraId="1A32EF0D" w14:textId="77777777" w:rsidTr="003839F6">
        <w:tc>
          <w:tcPr>
            <w:tcW w:w="0" w:type="auto"/>
            <w:hideMark/>
          </w:tcPr>
          <w:p w14:paraId="2998C62A" w14:textId="77777777" w:rsidR="00CA361F" w:rsidRPr="00117789" w:rsidRDefault="00CA361F" w:rsidP="00FD74E2">
            <w:r w:rsidRPr="00117789">
              <w:rPr>
                <w:b/>
                <w:bCs/>
              </w:rPr>
              <w:t>NV-NI</w:t>
            </w:r>
          </w:p>
        </w:tc>
        <w:tc>
          <w:tcPr>
            <w:tcW w:w="0" w:type="auto"/>
            <w:hideMark/>
          </w:tcPr>
          <w:p w14:paraId="64F712B8" w14:textId="77777777" w:rsidR="00CA361F" w:rsidRPr="00117789" w:rsidRDefault="00CA361F" w:rsidP="00FD74E2">
            <w:r w:rsidRPr="00117789">
              <w:t>Não-Intervenção / Não-Ingerência (Código de Análise)</w:t>
            </w:r>
          </w:p>
        </w:tc>
        <w:tc>
          <w:tcPr>
            <w:tcW w:w="0" w:type="auto"/>
            <w:hideMark/>
          </w:tcPr>
          <w:p w14:paraId="75961866" w14:textId="77777777" w:rsidR="00CA361F" w:rsidRPr="00117789" w:rsidRDefault="00CA361F" w:rsidP="00FD74E2">
            <w:pPr>
              <w:jc w:val="both"/>
            </w:pPr>
            <w:r w:rsidRPr="00117789">
              <w:t>Código primário para a codificação da Narrativa Política.</w:t>
            </w:r>
          </w:p>
        </w:tc>
      </w:tr>
      <w:tr w:rsidR="00CA361F" w:rsidRPr="00117789" w14:paraId="380D74EA" w14:textId="77777777" w:rsidTr="003839F6">
        <w:tc>
          <w:tcPr>
            <w:tcW w:w="0" w:type="auto"/>
            <w:hideMark/>
          </w:tcPr>
          <w:p w14:paraId="2F099213" w14:textId="77777777" w:rsidR="00CA361F" w:rsidRPr="00117789" w:rsidRDefault="00CA361F" w:rsidP="00FD74E2">
            <w:r w:rsidRPr="00117789">
              <w:rPr>
                <w:b/>
                <w:bCs/>
              </w:rPr>
              <w:t>NV-SOB</w:t>
            </w:r>
          </w:p>
        </w:tc>
        <w:tc>
          <w:tcPr>
            <w:tcW w:w="0" w:type="auto"/>
            <w:hideMark/>
          </w:tcPr>
          <w:p w14:paraId="1D35C044" w14:textId="77777777" w:rsidR="00CA361F" w:rsidRPr="00117789" w:rsidRDefault="00CA361F" w:rsidP="00FD74E2">
            <w:r w:rsidRPr="00117789">
              <w:t>Soberania Nacional (Código de Análise)</w:t>
            </w:r>
          </w:p>
        </w:tc>
        <w:tc>
          <w:tcPr>
            <w:tcW w:w="0" w:type="auto"/>
            <w:hideMark/>
          </w:tcPr>
          <w:p w14:paraId="321DB09E" w14:textId="77777777" w:rsidR="00CA361F" w:rsidRPr="00117789" w:rsidRDefault="00CA361F" w:rsidP="00FD74E2">
            <w:pPr>
              <w:jc w:val="both"/>
            </w:pPr>
            <w:r w:rsidRPr="00117789">
              <w:t>Código primário para a codificação da Narrativa Política.</w:t>
            </w:r>
          </w:p>
        </w:tc>
      </w:tr>
      <w:tr w:rsidR="00CA361F" w:rsidRPr="00117789" w14:paraId="3EF21E0F" w14:textId="77777777" w:rsidTr="003839F6">
        <w:tc>
          <w:tcPr>
            <w:tcW w:w="0" w:type="auto"/>
            <w:hideMark/>
          </w:tcPr>
          <w:p w14:paraId="774B14D7" w14:textId="77777777" w:rsidR="00CA361F" w:rsidRPr="00117789" w:rsidRDefault="00CA361F" w:rsidP="00FD74E2">
            <w:r w:rsidRPr="00117789">
              <w:rPr>
                <w:b/>
                <w:bCs/>
              </w:rPr>
              <w:t>OEA</w:t>
            </w:r>
          </w:p>
        </w:tc>
        <w:tc>
          <w:tcPr>
            <w:tcW w:w="0" w:type="auto"/>
            <w:hideMark/>
          </w:tcPr>
          <w:p w14:paraId="166B6229" w14:textId="77777777" w:rsidR="00CA361F" w:rsidRPr="00117789" w:rsidRDefault="00CA361F" w:rsidP="00FD74E2">
            <w:r w:rsidRPr="00117789">
              <w:t>Organização dos Estados Americanos</w:t>
            </w:r>
          </w:p>
        </w:tc>
        <w:tc>
          <w:tcPr>
            <w:tcW w:w="0" w:type="auto"/>
            <w:hideMark/>
          </w:tcPr>
          <w:p w14:paraId="30A18182" w14:textId="77777777" w:rsidR="00CA361F" w:rsidRPr="00117789" w:rsidRDefault="00CA361F" w:rsidP="00FD74E2">
            <w:pPr>
              <w:jc w:val="both"/>
            </w:pPr>
            <w:r w:rsidRPr="00117789">
              <w:t>Instituição hegemônica e foco principal da comparação.</w:t>
            </w:r>
          </w:p>
        </w:tc>
      </w:tr>
      <w:tr w:rsidR="00CA361F" w:rsidRPr="00117789" w14:paraId="6F13660D" w14:textId="77777777" w:rsidTr="003839F6">
        <w:tc>
          <w:tcPr>
            <w:tcW w:w="0" w:type="auto"/>
            <w:hideMark/>
          </w:tcPr>
          <w:p w14:paraId="69780A60" w14:textId="77777777" w:rsidR="00CA361F" w:rsidRPr="00117789" w:rsidRDefault="00CA361F" w:rsidP="00FD74E2">
            <w:r w:rsidRPr="00117789">
              <w:rPr>
                <w:b/>
                <w:bCs/>
              </w:rPr>
              <w:t>ONU</w:t>
            </w:r>
          </w:p>
        </w:tc>
        <w:tc>
          <w:tcPr>
            <w:tcW w:w="0" w:type="auto"/>
            <w:hideMark/>
          </w:tcPr>
          <w:p w14:paraId="3D32F86A" w14:textId="77777777" w:rsidR="00CA361F" w:rsidRPr="00117789" w:rsidRDefault="00CA361F" w:rsidP="00FD74E2">
            <w:r w:rsidRPr="00117789">
              <w:t>Organização das Nações Unidas</w:t>
            </w:r>
          </w:p>
        </w:tc>
        <w:tc>
          <w:tcPr>
            <w:tcW w:w="0" w:type="auto"/>
            <w:hideMark/>
          </w:tcPr>
          <w:p w14:paraId="6770D7CB" w14:textId="77777777" w:rsidR="00CA361F" w:rsidRPr="00117789" w:rsidRDefault="00CA361F" w:rsidP="00FD74E2">
            <w:pPr>
              <w:jc w:val="both"/>
            </w:pPr>
            <w:r w:rsidRPr="00117789">
              <w:t>Organismo multilateral de referência, citado na coleta de dados e entrevistas.</w:t>
            </w:r>
          </w:p>
        </w:tc>
      </w:tr>
      <w:tr w:rsidR="00CA361F" w:rsidRPr="00117789" w14:paraId="5AE656FC" w14:textId="77777777" w:rsidTr="003839F6">
        <w:tc>
          <w:tcPr>
            <w:tcW w:w="0" w:type="auto"/>
            <w:hideMark/>
          </w:tcPr>
          <w:p w14:paraId="563F02B9" w14:textId="77777777" w:rsidR="00CA361F" w:rsidRPr="00117789" w:rsidRDefault="00CA361F" w:rsidP="00FD74E2">
            <w:r w:rsidRPr="00117789">
              <w:rPr>
                <w:b/>
                <w:bCs/>
              </w:rPr>
              <w:t>PPT</w:t>
            </w:r>
          </w:p>
        </w:tc>
        <w:tc>
          <w:tcPr>
            <w:tcW w:w="0" w:type="auto"/>
            <w:hideMark/>
          </w:tcPr>
          <w:p w14:paraId="4A5852BE" w14:textId="77777777" w:rsidR="00CA361F" w:rsidRPr="00117789" w:rsidRDefault="00CA361F" w:rsidP="00FD74E2">
            <w:r w:rsidRPr="00117789">
              <w:t>Presidência</w:t>
            </w:r>
            <w:r w:rsidRPr="00117789">
              <w:rPr>
                <w:rStyle w:val="apple-converted-space"/>
                <w:rFonts w:eastAsiaTheme="majorEastAsia"/>
              </w:rPr>
              <w:t> </w:t>
            </w:r>
            <w:r w:rsidRPr="00117789">
              <w:rPr>
                <w:i/>
                <w:iCs/>
              </w:rPr>
              <w:t>Pro Tempore</w:t>
            </w:r>
          </w:p>
        </w:tc>
        <w:tc>
          <w:tcPr>
            <w:tcW w:w="0" w:type="auto"/>
            <w:hideMark/>
          </w:tcPr>
          <w:p w14:paraId="396B0D34" w14:textId="77777777" w:rsidR="00CA361F" w:rsidRPr="00117789" w:rsidRDefault="00CA361F" w:rsidP="00FD74E2">
            <w:pPr>
              <w:jc w:val="both"/>
            </w:pPr>
            <w:r w:rsidRPr="00117789">
              <w:t>Mecanismo de liderança temporária e rotativa da CELAC.</w:t>
            </w:r>
          </w:p>
        </w:tc>
      </w:tr>
      <w:tr w:rsidR="00CA361F" w:rsidRPr="00117789" w14:paraId="4E715A28" w14:textId="77777777" w:rsidTr="003839F6">
        <w:tc>
          <w:tcPr>
            <w:tcW w:w="0" w:type="auto"/>
            <w:hideMark/>
          </w:tcPr>
          <w:p w14:paraId="51A3EC3E" w14:textId="77777777" w:rsidR="00CA361F" w:rsidRPr="00117789" w:rsidRDefault="00CA361F" w:rsidP="00FD74E2">
            <w:r w:rsidRPr="00117789">
              <w:rPr>
                <w:b/>
                <w:bCs/>
              </w:rPr>
              <w:t>UNASUL</w:t>
            </w:r>
          </w:p>
        </w:tc>
        <w:tc>
          <w:tcPr>
            <w:tcW w:w="0" w:type="auto"/>
            <w:hideMark/>
          </w:tcPr>
          <w:p w14:paraId="18AAF98B" w14:textId="77777777" w:rsidR="00CA361F" w:rsidRPr="00117789" w:rsidRDefault="00CA361F" w:rsidP="00FD74E2">
            <w:r w:rsidRPr="00117789">
              <w:t>União de Nações Sul-Americanas</w:t>
            </w:r>
          </w:p>
        </w:tc>
        <w:tc>
          <w:tcPr>
            <w:tcW w:w="0" w:type="auto"/>
            <w:hideMark/>
          </w:tcPr>
          <w:p w14:paraId="7233F600" w14:textId="77777777" w:rsidR="00CA361F" w:rsidRPr="00117789" w:rsidRDefault="00CA361F" w:rsidP="00FD74E2">
            <w:pPr>
              <w:jc w:val="both"/>
            </w:pPr>
            <w:r w:rsidRPr="00117789">
              <w:t>Organismo pós-hegemônico correlato, citado na Revisão da Literatura.</w:t>
            </w:r>
          </w:p>
        </w:tc>
      </w:tr>
    </w:tbl>
    <w:p w14:paraId="6D9C899E" w14:textId="77777777" w:rsidR="00CA361F" w:rsidRPr="00117789" w:rsidRDefault="00CA361F" w:rsidP="003839F6">
      <w:pPr>
        <w:spacing w:line="360" w:lineRule="auto"/>
        <w:rPr>
          <w:color w:val="000000"/>
        </w:rPr>
      </w:pPr>
    </w:p>
    <w:p w14:paraId="2958717B" w14:textId="77777777" w:rsidR="00CA361F" w:rsidRPr="003839F6" w:rsidRDefault="00CA361F" w:rsidP="003839F6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</w:p>
    <w:p w14:paraId="4106318F" w14:textId="7D82DF20" w:rsidR="00117789" w:rsidRDefault="00117789">
      <w:pPr>
        <w:spacing w:after="160" w:line="278" w:lineRule="auto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581165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1420AF" w14:textId="3A6A208A" w:rsidR="00117789" w:rsidRDefault="00117789" w:rsidP="00117789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11778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04A2CC8F" w14:textId="77777777" w:rsidR="00117789" w:rsidRPr="00117789" w:rsidRDefault="00117789" w:rsidP="00117789"/>
        <w:p w14:paraId="62F6DE8A" w14:textId="56E74B83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64366" w:history="1">
            <w:r w:rsidRPr="00F2560E">
              <w:rPr>
                <w:rStyle w:val="Hyperlink"/>
                <w:b/>
                <w:bCs/>
                <w:noProof/>
              </w:rPr>
              <w:t>1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4BDF" w14:textId="47A2C83B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67" w:history="1">
            <w:r w:rsidRPr="00F2560E">
              <w:rPr>
                <w:rStyle w:val="Hyperlink"/>
                <w:b/>
                <w:bCs/>
                <w:noProof/>
              </w:rPr>
              <w:t>2 PERGUNTA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6788" w14:textId="4FDDB6C8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68" w:history="1">
            <w:r w:rsidRPr="00F2560E">
              <w:rPr>
                <w:rStyle w:val="Hyperlink"/>
                <w:b/>
                <w:bCs/>
                <w:noProof/>
              </w:rPr>
              <w:t>3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384C0" w14:textId="02DBEEDB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69" w:history="1">
            <w:r w:rsidRPr="00F2560E">
              <w:rPr>
                <w:rStyle w:val="Hyperlink"/>
                <w:b/>
                <w:bCs/>
                <w:noProof/>
              </w:rPr>
              <w:t>3.1 Relevância Acadêmica e Lacuna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AA5E" w14:textId="6CBEEE2C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70" w:history="1">
            <w:r w:rsidRPr="00F2560E">
              <w:rPr>
                <w:rStyle w:val="Hyperlink"/>
                <w:b/>
                <w:bCs/>
                <w:noProof/>
              </w:rPr>
              <w:t>3.2 Relevância Política e de Governança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B237" w14:textId="424D259A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71" w:history="1">
            <w:r w:rsidRPr="00F2560E">
              <w:rPr>
                <w:rStyle w:val="Hyperlink"/>
                <w:b/>
                <w:bCs/>
                <w:noProof/>
              </w:rPr>
              <w:t>4 REVISÃO DA LITERATURA E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A832" w14:textId="675238D5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72" w:history="1">
            <w:r w:rsidRPr="00F2560E">
              <w:rPr>
                <w:rStyle w:val="Hyperlink"/>
                <w:b/>
                <w:noProof/>
              </w:rPr>
              <w:t>4.1 A OEA e a tradição interamericana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5331" w14:textId="3C7C67FF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73" w:history="1">
            <w:r w:rsidRPr="00F2560E">
              <w:rPr>
                <w:rStyle w:val="Hyperlink"/>
                <w:b/>
                <w:noProof/>
              </w:rPr>
              <w:t>4.2 A emergência da CELAC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64E25" w14:textId="3F0051C9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74" w:history="1">
            <w:r w:rsidRPr="00F2560E">
              <w:rPr>
                <w:rStyle w:val="Hyperlink"/>
                <w:b/>
                <w:noProof/>
              </w:rPr>
              <w:t>4.3 Regionalismo pós-hegemônico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EF5C" w14:textId="7E55A731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75" w:history="1">
            <w:r w:rsidRPr="00F2560E">
              <w:rPr>
                <w:rStyle w:val="Hyperlink"/>
                <w:b/>
                <w:noProof/>
              </w:rPr>
              <w:t>4.4 Hegemonia, autonomia e política externa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B5119" w14:textId="7C541762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76" w:history="1">
            <w:r w:rsidRPr="00F2560E">
              <w:rPr>
                <w:rStyle w:val="Hyperlink"/>
                <w:b/>
                <w:bCs/>
                <w:noProof/>
              </w:rPr>
              <w:t>5 ESTUDOS DE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FA29" w14:textId="6C776F88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77" w:history="1">
            <w:r w:rsidRPr="00F2560E">
              <w:rPr>
                <w:rStyle w:val="Hyperlink"/>
                <w:b/>
                <w:bCs/>
                <w:noProof/>
              </w:rPr>
              <w:t>6 HIPÓTESES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B4B7" w14:textId="0F9D964A" w:rsidR="00117789" w:rsidRDefault="008766E1" w:rsidP="008766E1">
          <w:pPr>
            <w:pStyle w:val="Sumrio3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r w:rsidRPr="008766E1">
            <w:rPr>
              <w:rStyle w:val="Hyperlink"/>
              <w:b/>
              <w:bCs/>
              <w:noProof/>
              <w:color w:val="000000" w:themeColor="text1"/>
              <w:u w:val="none"/>
            </w:rPr>
            <w:t>6.1</w:t>
          </w:r>
          <w:r w:rsidRPr="008766E1">
            <w:rPr>
              <w:rStyle w:val="Hyperlink"/>
              <w:noProof/>
              <w:color w:val="000000" w:themeColor="text1"/>
              <w:u w:val="none"/>
            </w:rPr>
            <w:t xml:space="preserve"> </w:t>
          </w:r>
          <w:hyperlink w:anchor="_Toc212364378" w:history="1">
            <w:r w:rsidR="00117789" w:rsidRPr="00F2560E">
              <w:rPr>
                <w:rStyle w:val="Hyperlink"/>
                <w:b/>
                <w:bCs/>
                <w:noProof/>
              </w:rPr>
              <w:t>Hipótese Central</w:t>
            </w:r>
            <w:r w:rsidR="00117789">
              <w:rPr>
                <w:noProof/>
                <w:webHidden/>
              </w:rPr>
              <w:tab/>
            </w:r>
            <w:r w:rsidR="00117789">
              <w:rPr>
                <w:noProof/>
                <w:webHidden/>
              </w:rPr>
              <w:fldChar w:fldCharType="begin"/>
            </w:r>
            <w:r w:rsidR="00117789">
              <w:rPr>
                <w:noProof/>
                <w:webHidden/>
              </w:rPr>
              <w:instrText xml:space="preserve"> PAGEREF _Toc212364378 \h </w:instrText>
            </w:r>
            <w:r w:rsidR="00117789">
              <w:rPr>
                <w:noProof/>
                <w:webHidden/>
              </w:rPr>
            </w:r>
            <w:r w:rsidR="00117789"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11</w:t>
            </w:r>
            <w:r w:rsidR="00117789">
              <w:rPr>
                <w:noProof/>
                <w:webHidden/>
              </w:rPr>
              <w:fldChar w:fldCharType="end"/>
            </w:r>
          </w:hyperlink>
        </w:p>
        <w:p w14:paraId="22187E57" w14:textId="02334091" w:rsidR="00117789" w:rsidRDefault="008766E1" w:rsidP="008766E1">
          <w:pPr>
            <w:pStyle w:val="Sumrio3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r w:rsidRPr="008766E1">
            <w:rPr>
              <w:rStyle w:val="Hyperlink"/>
              <w:b/>
              <w:bCs/>
              <w:noProof/>
              <w:color w:val="000000" w:themeColor="text1"/>
              <w:u w:val="none"/>
            </w:rPr>
            <w:t>6.2</w:t>
          </w:r>
          <w:r>
            <w:rPr>
              <w:rStyle w:val="Hyperlink"/>
              <w:noProof/>
            </w:rPr>
            <w:t xml:space="preserve"> </w:t>
          </w:r>
          <w:hyperlink w:anchor="_Toc212364379" w:history="1">
            <w:r w:rsidR="00117789" w:rsidRPr="00F2560E">
              <w:rPr>
                <w:rStyle w:val="Hyperlink"/>
                <w:b/>
                <w:bCs/>
                <w:noProof/>
              </w:rPr>
              <w:t>Hipótese Secundária</w:t>
            </w:r>
            <w:r w:rsidR="00117789">
              <w:rPr>
                <w:noProof/>
                <w:webHidden/>
              </w:rPr>
              <w:tab/>
            </w:r>
            <w:r w:rsidR="00117789">
              <w:rPr>
                <w:noProof/>
                <w:webHidden/>
              </w:rPr>
              <w:fldChar w:fldCharType="begin"/>
            </w:r>
            <w:r w:rsidR="00117789">
              <w:rPr>
                <w:noProof/>
                <w:webHidden/>
              </w:rPr>
              <w:instrText xml:space="preserve"> PAGEREF _Toc212364379 \h </w:instrText>
            </w:r>
            <w:r w:rsidR="00117789">
              <w:rPr>
                <w:noProof/>
                <w:webHidden/>
              </w:rPr>
            </w:r>
            <w:r w:rsidR="00117789"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11</w:t>
            </w:r>
            <w:r w:rsidR="00117789">
              <w:rPr>
                <w:noProof/>
                <w:webHidden/>
              </w:rPr>
              <w:fldChar w:fldCharType="end"/>
            </w:r>
          </w:hyperlink>
        </w:p>
        <w:p w14:paraId="20B38961" w14:textId="65292B89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80" w:history="1">
            <w:r w:rsidRPr="00F2560E">
              <w:rPr>
                <w:rStyle w:val="Hyperlink"/>
                <w:b/>
                <w:bCs/>
                <w:noProof/>
              </w:rPr>
              <w:t>7 MÉTODO DE ABORDAGEM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A0371" w14:textId="55E3947C" w:rsidR="00117789" w:rsidRDefault="00117789" w:rsidP="00117789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81" w:history="1">
            <w:r w:rsidRPr="00F2560E">
              <w:rPr>
                <w:rStyle w:val="Hyperlink"/>
                <w:b/>
                <w:bCs/>
                <w:noProof/>
              </w:rPr>
              <w:t>7.1 Método Comparativo e Variáveis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B82D" w14:textId="03FD10CF" w:rsidR="00117789" w:rsidRDefault="00117789" w:rsidP="00117789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82" w:history="1">
            <w:r w:rsidRPr="00F2560E">
              <w:rPr>
                <w:rStyle w:val="Hyperlink"/>
                <w:b/>
                <w:bCs/>
                <w:noProof/>
              </w:rPr>
              <w:t>7.2 Seleção e Justificativa dos Casos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0840B" w14:textId="5BF73C3F" w:rsidR="00117789" w:rsidRDefault="00117789" w:rsidP="00117789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83" w:history="1">
            <w:r w:rsidRPr="00F2560E">
              <w:rPr>
                <w:rStyle w:val="Hyperlink"/>
                <w:b/>
                <w:bCs/>
                <w:noProof/>
              </w:rPr>
              <w:t>7.3 Pesquisa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70D7" w14:textId="41DB6CEA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84" w:history="1">
            <w:r w:rsidRPr="00F2560E">
              <w:rPr>
                <w:rStyle w:val="Hyperlink"/>
                <w:b/>
                <w:bCs/>
                <w:noProof/>
              </w:rPr>
              <w:t>7.4 Entrevistas Semiestruturadas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AF97" w14:textId="60A5A0E2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85" w:history="1">
            <w:r w:rsidRPr="00F2560E">
              <w:rPr>
                <w:rStyle w:val="Hyperlink"/>
                <w:b/>
                <w:bCs/>
                <w:noProof/>
              </w:rPr>
              <w:t>7.5 Procedimentos de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F245" w14:textId="73614B83" w:rsidR="00117789" w:rsidRDefault="00117789" w:rsidP="008766E1">
          <w:pPr>
            <w:pStyle w:val="Sumrio2"/>
            <w:tabs>
              <w:tab w:val="right" w:leader="dot" w:pos="9061"/>
            </w:tabs>
            <w:spacing w:after="0" w:line="360" w:lineRule="auto"/>
            <w:ind w:left="0"/>
            <w:rPr>
              <w:noProof/>
            </w:rPr>
          </w:pPr>
          <w:hyperlink w:anchor="_Toc212364386" w:history="1">
            <w:r w:rsidRPr="00F2560E">
              <w:rPr>
                <w:rStyle w:val="Hyperlink"/>
                <w:b/>
                <w:bCs/>
                <w:noProof/>
              </w:rPr>
              <w:t>7.6 Limitações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226AB" w14:textId="2F0A995B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87" w:history="1">
            <w:r w:rsidRPr="00F2560E">
              <w:rPr>
                <w:rStyle w:val="Hyperlink"/>
                <w:b/>
                <w:bCs/>
                <w:noProof/>
              </w:rPr>
              <w:t>8 CRONOGRAMA DE PESQUISA (12 Meses)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253A7" w14:textId="49F687D1" w:rsidR="00117789" w:rsidRDefault="00117789" w:rsidP="00117789">
          <w:pPr>
            <w:pStyle w:val="Sumrio1"/>
            <w:tabs>
              <w:tab w:val="right" w:leader="dot" w:pos="9061"/>
            </w:tabs>
            <w:spacing w:after="0" w:line="360" w:lineRule="auto"/>
            <w:rPr>
              <w:noProof/>
            </w:rPr>
          </w:pPr>
          <w:hyperlink w:anchor="_Toc212364388" w:history="1">
            <w:r w:rsidRPr="00F2560E">
              <w:rPr>
                <w:rStyle w:val="Hyperlink"/>
                <w:b/>
                <w:bCs/>
                <w:noProof/>
              </w:rPr>
              <w:t>9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_Toc212364388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50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8AE1" w14:textId="6D8DBE96" w:rsidR="00117789" w:rsidRDefault="00117789" w:rsidP="00117789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0B6CE01" w14:textId="77777777" w:rsidR="00CA361F" w:rsidRDefault="00CA361F" w:rsidP="00117789">
      <w:pPr>
        <w:spacing w:line="360" w:lineRule="auto"/>
        <w:jc w:val="both"/>
        <w:outlineLvl w:val="2"/>
        <w:rPr>
          <w:b/>
          <w:bCs/>
          <w:color w:val="000000"/>
        </w:rPr>
      </w:pPr>
    </w:p>
    <w:p w14:paraId="71058DDF" w14:textId="77777777" w:rsidR="00590A2B" w:rsidRDefault="00590A2B">
      <w:pPr>
        <w:spacing w:after="160" w:line="278" w:lineRule="auto"/>
        <w:rPr>
          <w:b/>
          <w:bCs/>
          <w:color w:val="000000"/>
        </w:rPr>
        <w:sectPr w:rsidR="00590A2B" w:rsidSect="003839F6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  <w:bCs/>
          <w:color w:val="000000"/>
        </w:rPr>
        <w:br w:type="page"/>
      </w:r>
    </w:p>
    <w:p w14:paraId="222D3C98" w14:textId="3B694FA4" w:rsidR="00CA361F" w:rsidRPr="00590A2B" w:rsidRDefault="00CA361F" w:rsidP="00590A2B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12364366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 TEMA</w:t>
      </w:r>
      <w:bookmarkEnd w:id="12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EDE19C4" w14:textId="77777777" w:rsidR="00FD74E2" w:rsidRDefault="00FD74E2" w:rsidP="00590A2B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3C7A6929" w14:textId="71BEC6D0" w:rsidR="00CA361F" w:rsidRPr="00CA361F" w:rsidRDefault="00CA361F" w:rsidP="00590A2B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O presente trabalho de pesquisa propõe investigar a disputa entre diferentes modelos de governança regional na América Latina e no Caribe, tendo como foco comparativo 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Organização dos Estados Americanos (OEA)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e 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Comunidade de Estados Latino-Americanos e Caribenhos (CELAC)</w:t>
      </w:r>
      <w:r w:rsidRPr="00CA361F">
        <w:rPr>
          <w:color w:val="000000"/>
        </w:rPr>
        <w:t>.</w:t>
      </w:r>
    </w:p>
    <w:p w14:paraId="3F2130D9" w14:textId="07C4285E" w:rsidR="00CA361F" w:rsidRDefault="00CA361F" w:rsidP="00FD74E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O tema insere</w:t>
      </w:r>
      <w:r w:rsidR="00CF3867">
        <w:rPr>
          <w:color w:val="000000"/>
        </w:rPr>
        <w:t>-se</w:t>
      </w:r>
      <w:r w:rsidRPr="00CA361F">
        <w:rPr>
          <w:color w:val="000000"/>
        </w:rPr>
        <w:t xml:space="preserve"> no debate mais amplo sobre o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regionalismo pós-hegemônico</w:t>
      </w:r>
      <w:r w:rsidRPr="00CA361F">
        <w:rPr>
          <w:color w:val="000000"/>
        </w:rPr>
        <w:t>, conceito formulado por autor</w:t>
      </w:r>
      <w:r w:rsidR="00CF3867">
        <w:rPr>
          <w:color w:val="000000"/>
        </w:rPr>
        <w:t>a</w:t>
      </w:r>
      <w:r w:rsidRPr="00CA361F">
        <w:rPr>
          <w:color w:val="000000"/>
        </w:rPr>
        <w:t xml:space="preserve">s como </w:t>
      </w:r>
      <w:proofErr w:type="spellStart"/>
      <w:r w:rsidRPr="00CA361F">
        <w:rPr>
          <w:color w:val="000000"/>
        </w:rPr>
        <w:t>Pía</w:t>
      </w:r>
      <w:proofErr w:type="spellEnd"/>
      <w:r w:rsidRPr="00CA361F">
        <w:rPr>
          <w:color w:val="000000"/>
        </w:rPr>
        <w:t xml:space="preserve"> </w:t>
      </w:r>
      <w:proofErr w:type="spellStart"/>
      <w:r w:rsidRPr="00CA361F">
        <w:rPr>
          <w:color w:val="000000"/>
        </w:rPr>
        <w:t>Riggirozzi</w:t>
      </w:r>
      <w:proofErr w:type="spellEnd"/>
      <w:r w:rsidRPr="00CA361F">
        <w:rPr>
          <w:color w:val="000000"/>
        </w:rPr>
        <w:t xml:space="preserve"> e Diana </w:t>
      </w:r>
      <w:proofErr w:type="spellStart"/>
      <w:r w:rsidRPr="00CA361F">
        <w:rPr>
          <w:color w:val="000000"/>
        </w:rPr>
        <w:t>Tussie</w:t>
      </w:r>
      <w:proofErr w:type="spellEnd"/>
      <w:r w:rsidRPr="00CA361F">
        <w:rPr>
          <w:color w:val="000000"/>
        </w:rPr>
        <w:t xml:space="preserve"> que descreve</w:t>
      </w:r>
      <w:r w:rsidR="00CF3867">
        <w:rPr>
          <w:color w:val="000000"/>
        </w:rPr>
        <w:t>m</w:t>
      </w:r>
      <w:r w:rsidRPr="00CA361F">
        <w:rPr>
          <w:color w:val="000000"/>
        </w:rPr>
        <w:t xml:space="preserve"> um modelo de integração </w:t>
      </w:r>
      <w:r w:rsidR="00CF3867">
        <w:rPr>
          <w:color w:val="000000"/>
        </w:rPr>
        <w:t>surgido</w:t>
      </w:r>
      <w:r w:rsidRPr="00CA361F">
        <w:rPr>
          <w:color w:val="000000"/>
        </w:rPr>
        <w:t xml:space="preserve"> nos anos 2000, em reação tanto ao neoliberalismo quanto à hegemonia estadunidense. O objetivo central é compreender em que medida a CELAC, mesmo sem a institucionalidade rígida de organismos tradicionais, pode ser interpretada como uma alternativa pós-hegemônica diante da OEA, que historicamente se consolidou como braço institucional da hegemonia estadunidense no hemisfério.</w:t>
      </w:r>
    </w:p>
    <w:p w14:paraId="775BBE55" w14:textId="2B7949F5" w:rsidR="00CA361F" w:rsidRDefault="00CA361F" w:rsidP="00FD74E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 OEA, fundada em 1948, no contexto da Guerra Fria, com sede em Washington, foi dotada de uma estrutura robusta</w:t>
      </w:r>
      <w:r w:rsidR="00CF3867">
        <w:rPr>
          <w:color w:val="000000"/>
        </w:rPr>
        <w:t>,</w:t>
      </w:r>
      <w:r w:rsidRPr="00CA361F">
        <w:rPr>
          <w:color w:val="000000"/>
        </w:rPr>
        <w:t xml:space="preserve"> com carta constitutiva, orçamento regular, secretariado permanente e órgãos especializados, como a Comissão Interamericana de Direitos Humanos (CIDH). Contudo, essa institucionalidade gerou a percepção de que a OEA é um mecanismo instrumentalizado pelos Estados Unidos para projetar sua influência política na região. Já a CELAC, criada em 2010 e formalmente institucionalizada em 2011, distingue-se por ser um fórum intergovernamental flexível, sem sede permanente, carta constitutiva ou orçamento fixo. O seu traço mais marcante é a exclusão deliberada dos Estados Unidos e do Canadá, </w:t>
      </w:r>
      <w:proofErr w:type="gramStart"/>
      <w:r w:rsidRPr="00CA361F">
        <w:rPr>
          <w:color w:val="000000"/>
        </w:rPr>
        <w:t>reunindo  os</w:t>
      </w:r>
      <w:proofErr w:type="gramEnd"/>
      <w:r w:rsidRPr="00CA361F">
        <w:rPr>
          <w:color w:val="000000"/>
        </w:rPr>
        <w:t xml:space="preserve"> 33 países da América Latina e do Caribe. Ao se organizar dessa forma, a CELAC afirma sua vocação política de criar um espaço de diálogo regional livre da tutela de Washington.</w:t>
      </w:r>
    </w:p>
    <w:p w14:paraId="15A1CA5A" w14:textId="0B2AE260" w:rsidR="00CA361F" w:rsidRDefault="00CA361F" w:rsidP="00FD74E2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 relevância deste estudo reside na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590A2B">
        <w:rPr>
          <w:color w:val="000000"/>
        </w:rPr>
        <w:t>lacuna de uma análise comparativa aprofundada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 xml:space="preserve">que examine como a coexistência desses dois modelos (o </w:t>
      </w:r>
      <w:r w:rsidR="00CF3867" w:rsidRPr="00CF3867">
        <w:rPr>
          <w:color w:val="000000"/>
        </w:rPr>
        <w:t>interamericanismo</w:t>
      </w:r>
      <w:r w:rsidRPr="00CA361F">
        <w:rPr>
          <w:color w:val="000000"/>
        </w:rPr>
        <w:t xml:space="preserve"> tradicional da OEA e o regionalismo pós-hegemônico da CELAC) se manifesta nas crises regionais específicas, investigando as dinâmicas de governança, legitimidade e eficácia de cada organismo.</w:t>
      </w:r>
    </w:p>
    <w:p w14:paraId="5F240A52" w14:textId="04ACDECF" w:rsidR="00CF3867" w:rsidRDefault="00CF3867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7D3658C1" w14:textId="38243978" w:rsidR="00CA361F" w:rsidRPr="00590A2B" w:rsidRDefault="00CA361F" w:rsidP="00590A2B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2364367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 PERGUNTA DE PESQUISA</w:t>
      </w:r>
      <w:bookmarkEnd w:id="13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0BBB4A8" w14:textId="77777777" w:rsidR="00CF3867" w:rsidRDefault="00CF3867" w:rsidP="00590A2B">
      <w:pPr>
        <w:pStyle w:val="NormalWeb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</w:rPr>
      </w:pPr>
    </w:p>
    <w:p w14:paraId="46F3A0B6" w14:textId="040BB8C3" w:rsidR="00CA361F" w:rsidRPr="00CA361F" w:rsidRDefault="00CA361F" w:rsidP="00CF3867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b/>
          <w:bCs/>
          <w:color w:val="000000"/>
        </w:rPr>
        <w:t>Em que medida a dualidade entre a Institucionalidade da OEA e a Narrativa Política da CELAC se manifesta na eficácia e seletividade da governança regional latino-americana em crises de ruptura democrática?</w:t>
      </w:r>
    </w:p>
    <w:p w14:paraId="0B69353F" w14:textId="68D7D9CD" w:rsidR="00CA361F" w:rsidRPr="00CA361F" w:rsidRDefault="00CA361F" w:rsidP="00CF3867">
      <w:pPr>
        <w:spacing w:line="360" w:lineRule="auto"/>
        <w:jc w:val="both"/>
        <w:rPr>
          <w:color w:val="000000"/>
        </w:rPr>
      </w:pPr>
    </w:p>
    <w:p w14:paraId="5E2C5E2B" w14:textId="3BCB7C71" w:rsidR="00CA361F" w:rsidRPr="00590A2B" w:rsidRDefault="00CA361F" w:rsidP="00590A2B">
      <w:pPr>
        <w:pStyle w:val="Ttulo1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12364368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 JUSTIFICATIVA</w:t>
      </w:r>
      <w:bookmarkEnd w:id="14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A13E1A4" w14:textId="77777777" w:rsidR="00CF3867" w:rsidRDefault="00CF3867" w:rsidP="00CF3867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67257EDF" w14:textId="430320F3" w:rsidR="00CA361F" w:rsidRDefault="00CA361F" w:rsidP="00590A2B">
      <w:pPr>
        <w:pStyle w:val="NormalWeb"/>
        <w:spacing w:before="0" w:beforeAutospacing="0" w:after="0" w:afterAutospacing="0" w:line="360" w:lineRule="auto"/>
        <w:ind w:firstLine="708"/>
        <w:jc w:val="both"/>
        <w:rPr>
          <w:color w:val="000000"/>
        </w:rPr>
      </w:pPr>
      <w:r w:rsidRPr="00CA361F">
        <w:rPr>
          <w:color w:val="000000"/>
        </w:rPr>
        <w:t xml:space="preserve">O presente trabalho de pesquisa é de fundamental importância e justifica-se plenamente em três dimensões distintas: </w:t>
      </w:r>
      <w:r w:rsidRPr="00F52F0F">
        <w:rPr>
          <w:color w:val="000000"/>
        </w:rPr>
        <w:t>a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contribuição robusta para o debate acadêmico, a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relevância crítica para a política externa e a governança regional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e o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rigor metodológico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que atesta sua viabilidade.</w:t>
      </w:r>
    </w:p>
    <w:p w14:paraId="602B2809" w14:textId="77777777" w:rsidR="00CF3867" w:rsidRPr="00CA361F" w:rsidRDefault="00CF3867" w:rsidP="00590A2B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24811664" w14:textId="77777777" w:rsidR="00CA361F" w:rsidRPr="00590A2B" w:rsidRDefault="00CA361F" w:rsidP="00590A2B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12364369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Relevância Acadêmica e Lacuna de Pesquisa</w:t>
      </w:r>
      <w:bookmarkEnd w:id="15"/>
    </w:p>
    <w:p w14:paraId="741709D0" w14:textId="77777777" w:rsidR="00F52F0F" w:rsidRDefault="00F52F0F" w:rsidP="00590A2B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0744CAF4" w14:textId="412CBE05" w:rsidR="00CA361F" w:rsidRDefault="00CA361F" w:rsidP="00F52F0F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 literatura sobre governança regional latino-americana é ampla, mas carece de estudos que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comparem sistematicamente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os modelos de integração em ação. O valor da pesquisa reside em ir além da descrição, propondo um avanço ao debate teórico sobre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Hegemonia e Autonomia.</w:t>
      </w:r>
      <w:r w:rsidRPr="00CA361F">
        <w:rPr>
          <w:color w:val="000000"/>
        </w:rPr>
        <w:t xml:space="preserve"> Ao utilizar um método comparativo e a triangulação de dados, o </w:t>
      </w:r>
      <w:r w:rsidR="00F52F0F">
        <w:rPr>
          <w:color w:val="000000"/>
        </w:rPr>
        <w:t>estudo</w:t>
      </w:r>
      <w:r w:rsidRPr="00CA361F">
        <w:rPr>
          <w:color w:val="000000"/>
        </w:rPr>
        <w:t xml:space="preserve"> visa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testar empiricamente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 xml:space="preserve">a </w:t>
      </w:r>
      <w:r w:rsidR="00F52F0F">
        <w:rPr>
          <w:color w:val="000000"/>
        </w:rPr>
        <w:t>hipótese</w:t>
      </w:r>
      <w:r w:rsidRPr="00F52F0F">
        <w:rPr>
          <w:color w:val="000000"/>
        </w:rPr>
        <w:t xml:space="preserve"> de que a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legitimidade da CELAC reside na coerência discursiva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(sua narrativa de soberania e não-intervenção), ao passo que a OEA tem sua legitimidade condicionada pela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institucionalidade formal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e pela seletividade. O trabalho justifica</w:t>
      </w:r>
      <w:r w:rsidR="00F52F0F">
        <w:rPr>
          <w:color w:val="000000"/>
        </w:rPr>
        <w:t>-se</w:t>
      </w:r>
      <w:r w:rsidRPr="00F52F0F">
        <w:rPr>
          <w:color w:val="000000"/>
        </w:rPr>
        <w:t xml:space="preserve"> ao fornecer critérios claros para se medir a autonomia regional para além da mera retórica, focando na</w:t>
      </w:r>
      <w:r w:rsidRPr="00F52F0F">
        <w:rPr>
          <w:rStyle w:val="apple-converted-space"/>
          <w:rFonts w:eastAsiaTheme="majorEastAsia"/>
          <w:color w:val="000000"/>
        </w:rPr>
        <w:t> </w:t>
      </w:r>
      <w:r w:rsidRPr="00F52F0F">
        <w:rPr>
          <w:color w:val="000000"/>
        </w:rPr>
        <w:t>ruptura ideológica.</w:t>
      </w:r>
    </w:p>
    <w:p w14:paraId="2B077866" w14:textId="77777777" w:rsidR="00F52F0F" w:rsidRPr="00CA361F" w:rsidRDefault="00F52F0F" w:rsidP="00F52F0F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752AB732" w14:textId="77777777" w:rsidR="00CA361F" w:rsidRPr="00590A2B" w:rsidRDefault="00CA361F" w:rsidP="00590A2B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12364370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 Relevância Política e de Governança</w:t>
      </w:r>
      <w:bookmarkEnd w:id="16"/>
    </w:p>
    <w:p w14:paraId="76308A35" w14:textId="77777777" w:rsidR="00EB4D08" w:rsidRPr="00EB4D08" w:rsidRDefault="00EB4D08" w:rsidP="00EB4D08"/>
    <w:p w14:paraId="02C30117" w14:textId="363AFD5D" w:rsidR="00CA361F" w:rsidRDefault="00CA361F" w:rsidP="00EB4D08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Do ponto de vista da Política Externa e das Relações Internacionais, o estudo é crucial para entender 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EB4D08">
        <w:rPr>
          <w:color w:val="000000"/>
        </w:rPr>
        <w:t>utilidade funcional</w:t>
      </w:r>
      <w:r w:rsidRPr="00EB4D08">
        <w:rPr>
          <w:rStyle w:val="apple-converted-space"/>
          <w:rFonts w:eastAsiaTheme="majorEastAsia"/>
          <w:color w:val="000000"/>
        </w:rPr>
        <w:t> </w:t>
      </w:r>
      <w:r w:rsidRPr="00EB4D08">
        <w:rPr>
          <w:color w:val="000000"/>
        </w:rPr>
        <w:t>de</w:t>
      </w:r>
      <w:r w:rsidRPr="00CA361F">
        <w:rPr>
          <w:color w:val="000000"/>
        </w:rPr>
        <w:t xml:space="preserve"> cada organismo e a dinâmica de acomodação e autonomia da política externa latino-americana. A análise detalhada 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EB4D08">
        <w:rPr>
          <w:color w:val="000000"/>
        </w:rPr>
        <w:t>seletividade da OEA</w:t>
      </w:r>
      <w:r w:rsidRPr="00EB4D08">
        <w:rPr>
          <w:rStyle w:val="apple-converted-space"/>
          <w:rFonts w:eastAsiaTheme="majorEastAsia"/>
          <w:color w:val="000000"/>
        </w:rPr>
        <w:t> </w:t>
      </w:r>
      <w:r w:rsidRPr="00EB4D08">
        <w:rPr>
          <w:color w:val="000000"/>
        </w:rPr>
        <w:t>(como nos casos de Honduras e Paraguai) e da</w:t>
      </w:r>
      <w:r w:rsidRPr="00EB4D08">
        <w:rPr>
          <w:rStyle w:val="apple-converted-space"/>
          <w:rFonts w:eastAsiaTheme="majorEastAsia"/>
          <w:color w:val="000000"/>
        </w:rPr>
        <w:t> </w:t>
      </w:r>
      <w:r w:rsidRPr="00EB4D08">
        <w:rPr>
          <w:color w:val="000000"/>
        </w:rPr>
        <w:t>legitimidade discursiva da CELAC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 xml:space="preserve">(discurso de soberania) fornece subsídios essenciais para diplomatas e formuladores de política externa. </w:t>
      </w:r>
      <w:r w:rsidR="00EB4D08">
        <w:rPr>
          <w:color w:val="000000"/>
        </w:rPr>
        <w:t xml:space="preserve">A pesquisa </w:t>
      </w:r>
      <w:r w:rsidR="00EB4D08" w:rsidRPr="00CA361F">
        <w:rPr>
          <w:color w:val="000000"/>
        </w:rPr>
        <w:t>justifica</w:t>
      </w:r>
      <w:r w:rsidR="00EB4D08">
        <w:rPr>
          <w:color w:val="000000"/>
        </w:rPr>
        <w:t>-se</w:t>
      </w:r>
      <w:r w:rsidRPr="00CA361F">
        <w:rPr>
          <w:color w:val="000000"/>
        </w:rPr>
        <w:t xml:space="preserve"> ao </w:t>
      </w:r>
      <w:r w:rsidR="00EB4D08">
        <w:rPr>
          <w:color w:val="000000"/>
        </w:rPr>
        <w:t>indicar</w:t>
      </w:r>
      <w:r w:rsidRPr="00CA361F">
        <w:rPr>
          <w:color w:val="000000"/>
        </w:rPr>
        <w:t xml:space="preserve"> caminhos para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EB4D08">
        <w:rPr>
          <w:color w:val="000000"/>
        </w:rPr>
        <w:t>fortalecer mecanismos regionais de resolução de crises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 xml:space="preserve">que sejam percebidos como legítimos pelos Estados latino-americanos, reduzindo a </w:t>
      </w:r>
      <w:r w:rsidRPr="00CA361F">
        <w:rPr>
          <w:color w:val="000000"/>
        </w:rPr>
        <w:lastRenderedPageBreak/>
        <w:t>dependência da influência externa. A compreensão dessa dualidade funcional</w:t>
      </w:r>
      <w:r w:rsidR="00EB4D08">
        <w:rPr>
          <w:color w:val="000000"/>
        </w:rPr>
        <w:t xml:space="preserve">, </w:t>
      </w:r>
      <w:r w:rsidRPr="00CA361F">
        <w:rPr>
          <w:color w:val="000000"/>
        </w:rPr>
        <w:t>OEA normativa/coercitiva vs. CELAC política/dialógica</w:t>
      </w:r>
      <w:r w:rsidR="00EB4D08">
        <w:rPr>
          <w:color w:val="000000"/>
        </w:rPr>
        <w:t xml:space="preserve">, </w:t>
      </w:r>
      <w:r w:rsidRPr="00CA361F">
        <w:rPr>
          <w:color w:val="000000"/>
        </w:rPr>
        <w:t xml:space="preserve">é vital para os países que atuam em ambos os </w:t>
      </w:r>
      <w:r w:rsidR="00EB4D08">
        <w:rPr>
          <w:color w:val="000000"/>
        </w:rPr>
        <w:t>arranjos institucionais.</w:t>
      </w:r>
    </w:p>
    <w:p w14:paraId="4F8DAFCA" w14:textId="77777777" w:rsidR="00EB4D08" w:rsidRDefault="00EB4D08" w:rsidP="00EB4D08">
      <w:pPr>
        <w:pStyle w:val="Ttulo2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7B586C" w14:textId="0D77B428" w:rsidR="00CA361F" w:rsidRPr="00590A2B" w:rsidRDefault="00CA361F" w:rsidP="00590A2B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12364371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 REVISÃO DA </w:t>
      </w:r>
      <w:proofErr w:type="gramStart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LITERATURA E REFERENCIAL TEÓRICO</w:t>
      </w:r>
      <w:bookmarkEnd w:id="17"/>
      <w:proofErr w:type="gramEnd"/>
      <w:r w:rsidRPr="00590A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101CE7E" w14:textId="77777777" w:rsidR="00EB4D08" w:rsidRDefault="00EB4D08" w:rsidP="00EB4D08">
      <w:pPr>
        <w:pStyle w:val="NormalWeb"/>
        <w:spacing w:before="0" w:beforeAutospacing="0" w:after="0" w:afterAutospacing="0" w:line="360" w:lineRule="auto"/>
        <w:ind w:firstLine="708"/>
        <w:jc w:val="both"/>
        <w:rPr>
          <w:color w:val="000000"/>
        </w:rPr>
      </w:pPr>
    </w:p>
    <w:p w14:paraId="2CBFD5BF" w14:textId="1DE9E4F8" w:rsidR="00CA361F" w:rsidRDefault="00CA361F" w:rsidP="00EB4D08">
      <w:pPr>
        <w:pStyle w:val="NormalWeb"/>
        <w:spacing w:before="0" w:beforeAutospacing="0" w:after="0" w:afterAutospacing="0" w:line="360" w:lineRule="auto"/>
        <w:ind w:firstLine="708"/>
        <w:jc w:val="both"/>
        <w:rPr>
          <w:color w:val="000000"/>
        </w:rPr>
      </w:pPr>
      <w:r w:rsidRPr="00CA361F">
        <w:rPr>
          <w:color w:val="000000"/>
        </w:rPr>
        <w:t>A revisão de literatura e o referencial teórico são organizados em quatro blocos: (a) a tradição interamericana representada pela OEA; (b) a emergência da CELAC como fórum político; (c) a conceituação do regionalismo pós-hegemônico; e (d) os debates sobre hegemonia e autonomia na política externa latino-americana.</w:t>
      </w:r>
    </w:p>
    <w:p w14:paraId="2C5B6C4E" w14:textId="77777777" w:rsidR="00EB4D08" w:rsidRPr="00CA361F" w:rsidRDefault="00EB4D08" w:rsidP="0060204A">
      <w:pPr>
        <w:pStyle w:val="NormalWeb"/>
        <w:spacing w:before="0" w:beforeAutospacing="0" w:after="0" w:afterAutospacing="0" w:line="360" w:lineRule="auto"/>
        <w:ind w:firstLine="708"/>
        <w:jc w:val="both"/>
        <w:rPr>
          <w:color w:val="000000"/>
        </w:rPr>
      </w:pPr>
    </w:p>
    <w:p w14:paraId="5B283159" w14:textId="4195C572" w:rsidR="00CA361F" w:rsidRPr="00730673" w:rsidRDefault="00CA361F" w:rsidP="0060204A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8" w:name="_Toc210326515"/>
      <w:bookmarkStart w:id="19" w:name="_Toc212364372"/>
      <w:r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.1 A OEA e a tradição interamericana</w:t>
      </w:r>
      <w:bookmarkEnd w:id="18"/>
      <w:bookmarkEnd w:id="19"/>
    </w:p>
    <w:p w14:paraId="2FF9F741" w14:textId="77777777" w:rsidR="00CA361F" w:rsidRPr="00730673" w:rsidRDefault="00CA361F" w:rsidP="0060204A">
      <w:pPr>
        <w:spacing w:line="360" w:lineRule="auto"/>
      </w:pPr>
    </w:p>
    <w:p w14:paraId="238F3CE0" w14:textId="700BDD60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OEA foi criada na Conferência de Bogotá, em 1948, como parte do esforço estadunidense de consolidar sua liderança hemisférica no início da Guerra Fria. A Carta da OEA estabeleceu princípios como democracia representativa, defesa coletiva e não intervenção</w:t>
      </w:r>
      <w:r w:rsidR="006E6DBF">
        <w:rPr>
          <w:color w:val="000000"/>
        </w:rPr>
        <w:t xml:space="preserve"> (Meyer, 2025).</w:t>
      </w:r>
      <w:r w:rsidRPr="00730673">
        <w:rPr>
          <w:color w:val="000000"/>
        </w:rPr>
        <w:t xml:space="preserve"> Contudo, na prática, a organização operou como instrumento da política externa dos EUA</w:t>
      </w:r>
      <w:r w:rsidR="006E6DBF">
        <w:rPr>
          <w:color w:val="000000"/>
        </w:rPr>
        <w:t xml:space="preserve"> (</w:t>
      </w:r>
      <w:proofErr w:type="spellStart"/>
      <w:r w:rsidR="006E6DBF" w:rsidRPr="006E6DBF">
        <w:rPr>
          <w:color w:val="000000"/>
        </w:rPr>
        <w:t>Harmer</w:t>
      </w:r>
      <w:proofErr w:type="spellEnd"/>
      <w:r w:rsidR="006E6DBF" w:rsidRPr="006E6DBF">
        <w:rPr>
          <w:color w:val="000000"/>
        </w:rPr>
        <w:t>, 2019</w:t>
      </w:r>
      <w:r w:rsidR="006E6DBF">
        <w:rPr>
          <w:color w:val="000000"/>
        </w:rPr>
        <w:t>).</w:t>
      </w:r>
    </w:p>
    <w:p w14:paraId="491F230F" w14:textId="47C2D3CE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Exemplos não faltam. Em 1962, a OEA suspendeu Cuba após a revolução socialista liderada por Fidel Castro, alegando incompatibilidade entre marxismo-leninismo e os princípios do sistema interamericano. Essa decisão simbolizou a exclusão ideológica e reforçou a percepção de que a OEA servia como braço da Guerra Fria</w:t>
      </w:r>
      <w:r w:rsidR="006E6DBF">
        <w:rPr>
          <w:color w:val="000000"/>
        </w:rPr>
        <w:t xml:space="preserve"> (</w:t>
      </w:r>
      <w:proofErr w:type="spellStart"/>
      <w:r w:rsidR="006E6DBF" w:rsidRPr="006E6DBF">
        <w:rPr>
          <w:color w:val="000000"/>
        </w:rPr>
        <w:t>Harmer</w:t>
      </w:r>
      <w:proofErr w:type="spellEnd"/>
      <w:r w:rsidR="006E6DBF" w:rsidRPr="006E6DBF">
        <w:rPr>
          <w:color w:val="000000"/>
        </w:rPr>
        <w:t>, 2019</w:t>
      </w:r>
      <w:r w:rsidR="006E6DBF">
        <w:rPr>
          <w:color w:val="000000"/>
        </w:rPr>
        <w:t>).</w:t>
      </w:r>
    </w:p>
    <w:p w14:paraId="4A90CD71" w14:textId="565A857C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Outro episódio foi a intervenção na República Dominicana em 1965. Sob o pretexto de conter o avanço do comunismo, os EUA enviaram tropas ao país caribenho e a OEA legitimou a ação, estabelecendo a Força Interamericana de Paz. Esse caso reforçou críticas de que a organização, em vez de garantir a não intervenção, funcionava como mecanismo de validação para a política de segurança de Washington</w:t>
      </w:r>
      <w:r w:rsidR="006E6DBF">
        <w:rPr>
          <w:color w:val="000000"/>
        </w:rPr>
        <w:t xml:space="preserve"> (</w:t>
      </w:r>
      <w:proofErr w:type="spellStart"/>
      <w:r w:rsidR="006E6DBF" w:rsidRPr="006E6DBF">
        <w:rPr>
          <w:color w:val="000000"/>
        </w:rPr>
        <w:t>Lowenthal</w:t>
      </w:r>
      <w:proofErr w:type="spellEnd"/>
      <w:r w:rsidR="006E6DBF" w:rsidRPr="006E6DBF">
        <w:rPr>
          <w:color w:val="000000"/>
        </w:rPr>
        <w:t>, 1995</w:t>
      </w:r>
      <w:r w:rsidR="006E6DBF">
        <w:rPr>
          <w:color w:val="000000"/>
        </w:rPr>
        <w:t>).</w:t>
      </w:r>
    </w:p>
    <w:p w14:paraId="30263D78" w14:textId="44874903" w:rsidR="00CA361F" w:rsidRPr="00730673" w:rsidRDefault="00CA361F" w:rsidP="009175DD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Nas décadas de 1970 e 1980, a OEA conviveu com ditaduras militares em diversos países do Cone Sul. Apesar de dispor da CIDH desde 1959, o organismo teve dificuldades para enfrentar violações de direitos humanos. Ainda assim, a CIDH publicou relatórios históricos denunciando abusos na Argentina (1979) e no Chile (1985). Tais relatórios, embora relevantes, foram insuficientes para reverter a percepção de seletividade e ineficácia</w:t>
      </w:r>
      <w:r w:rsidR="0060204A">
        <w:rPr>
          <w:color w:val="000000"/>
        </w:rPr>
        <w:t xml:space="preserve"> (</w:t>
      </w:r>
      <w:r w:rsidR="0060204A" w:rsidRPr="0060204A">
        <w:rPr>
          <w:color w:val="000000"/>
        </w:rPr>
        <w:t>(</w:t>
      </w:r>
      <w:proofErr w:type="spellStart"/>
      <w:r w:rsidR="0060204A">
        <w:rPr>
          <w:color w:val="000000"/>
        </w:rPr>
        <w:t>S</w:t>
      </w:r>
      <w:r w:rsidR="0060204A" w:rsidRPr="0060204A">
        <w:rPr>
          <w:color w:val="000000"/>
        </w:rPr>
        <w:t>ikkink</w:t>
      </w:r>
      <w:proofErr w:type="spellEnd"/>
      <w:r w:rsidR="0060204A" w:rsidRPr="0060204A">
        <w:rPr>
          <w:color w:val="000000"/>
        </w:rPr>
        <w:t>, 2014</w:t>
      </w:r>
      <w:r w:rsidR="0060204A">
        <w:rPr>
          <w:color w:val="000000"/>
        </w:rPr>
        <w:t>)</w:t>
      </w:r>
    </w:p>
    <w:p w14:paraId="46110121" w14:textId="2ADD4BEE" w:rsidR="00CA361F" w:rsidRPr="009175DD" w:rsidRDefault="00CA361F" w:rsidP="009175DD">
      <w:pPr>
        <w:spacing w:line="360" w:lineRule="auto"/>
        <w:ind w:firstLine="709"/>
        <w:jc w:val="both"/>
      </w:pPr>
      <w:r w:rsidRPr="00730673">
        <w:rPr>
          <w:color w:val="000000"/>
        </w:rPr>
        <w:t xml:space="preserve">Nos anos 1990, com a redemocratização da região e o fim da Guerra Fria, a OEA buscou se reposicionar como defensora da democracia. Foi nesse contexto que lançou missões de </w:t>
      </w:r>
      <w:r w:rsidRPr="00730673">
        <w:rPr>
          <w:color w:val="000000"/>
        </w:rPr>
        <w:lastRenderedPageBreak/>
        <w:t xml:space="preserve">observação eleitoral e, em 2001, aprovou a Carta Democrática </w:t>
      </w:r>
      <w:r w:rsidRPr="009175DD">
        <w:t>Interamericana.</w:t>
      </w:r>
      <w:r w:rsidR="009175DD" w:rsidRPr="009175DD">
        <w:t xml:space="preserve"> </w:t>
      </w:r>
      <w:r w:rsidR="009175DD">
        <w:t>Es</w:t>
      </w:r>
      <w:r w:rsidR="009175DD" w:rsidRPr="009175DD">
        <w:t xml:space="preserve">se documento representou um avanço normativo importante, ao afirmar a democracia como princípio constitutivo da ordem hemisférica, mas sua aplicação prática continuou desigual e dependente da vontade política dos Estados membros </w:t>
      </w:r>
      <w:r w:rsidR="0060204A" w:rsidRPr="009175DD">
        <w:t>(</w:t>
      </w:r>
      <w:proofErr w:type="spellStart"/>
      <w:r w:rsidR="0060204A" w:rsidRPr="009175DD">
        <w:t>Perina</w:t>
      </w:r>
      <w:proofErr w:type="spellEnd"/>
      <w:r w:rsidR="0060204A" w:rsidRPr="009175DD">
        <w:t>, 2003).</w:t>
      </w:r>
    </w:p>
    <w:p w14:paraId="15653558" w14:textId="00C7B4DF" w:rsidR="00CA361F" w:rsidRPr="00730673" w:rsidRDefault="00CA361F" w:rsidP="009175DD">
      <w:pPr>
        <w:spacing w:line="360" w:lineRule="auto"/>
        <w:ind w:firstLine="709"/>
        <w:jc w:val="both"/>
        <w:rPr>
          <w:color w:val="000000"/>
        </w:rPr>
      </w:pPr>
      <w:r w:rsidRPr="009175DD">
        <w:t>Em Honduras (2009), após o golpe contra Manuel Zelaya, a OEA suspendeu</w:t>
      </w:r>
      <w:r w:rsidRPr="00730673">
        <w:rPr>
          <w:color w:val="000000"/>
        </w:rPr>
        <w:t xml:space="preserve"> o país, demonstrando rapidez na aplicação da Carta Democrática. Porém, no Paraguai (2012), diante do impeachment sumário de Fernando Lugo, a organização foi criticada por complacência e timidez. Essa seletividade confirma a tese de </w:t>
      </w:r>
      <w:proofErr w:type="spellStart"/>
      <w:r w:rsidRPr="00730673">
        <w:rPr>
          <w:color w:val="000000"/>
        </w:rPr>
        <w:t>Malamud</w:t>
      </w:r>
      <w:proofErr w:type="spellEnd"/>
      <w:r w:rsidRPr="00730673">
        <w:rPr>
          <w:color w:val="000000"/>
        </w:rPr>
        <w:t xml:space="preserve"> (2017), segundo a qual a OEA é ao mesmo tempo necessária e irrelevante: necessária porque mantém institucionalidade, irrelevante porque raramente atua de forma autônoma em relação aos EUA</w:t>
      </w:r>
      <w:r w:rsidR="0060204A">
        <w:rPr>
          <w:color w:val="000000"/>
        </w:rPr>
        <w:t xml:space="preserve"> (</w:t>
      </w:r>
      <w:proofErr w:type="spellStart"/>
      <w:r w:rsidR="0060204A">
        <w:rPr>
          <w:color w:val="000000"/>
        </w:rPr>
        <w:t>Perina</w:t>
      </w:r>
      <w:proofErr w:type="spellEnd"/>
      <w:r w:rsidR="0060204A">
        <w:rPr>
          <w:color w:val="000000"/>
        </w:rPr>
        <w:t>, 2003).</w:t>
      </w:r>
    </w:p>
    <w:p w14:paraId="06DE2C92" w14:textId="2B5CD696" w:rsidR="00CA361F" w:rsidRDefault="00CA361F" w:rsidP="00CA361F">
      <w:pPr>
        <w:spacing w:line="360" w:lineRule="auto"/>
        <w:ind w:firstLine="709"/>
        <w:jc w:val="both"/>
      </w:pPr>
      <w:r w:rsidRPr="00730673">
        <w:rPr>
          <w:color w:val="000000"/>
        </w:rPr>
        <w:t>Do ponto de vista teórico, a OEA encarna o </w:t>
      </w:r>
      <w:r w:rsidRPr="00730673">
        <w:rPr>
          <w:bCs/>
          <w:color w:val="000000"/>
        </w:rPr>
        <w:t>interamericanismo tradicional</w:t>
      </w:r>
      <w:r w:rsidRPr="00730673">
        <w:rPr>
          <w:color w:val="000000"/>
        </w:rPr>
        <w:t xml:space="preserve">, baseado na centralidade de Washington e na crença de que a democracia e a estabilidade hemisférica só podem ser garantidas sob liderança estadunidense. </w:t>
      </w:r>
      <w:r w:rsidR="009175DD" w:rsidRPr="009175DD">
        <w:t>Essa concepção, entretanto, entrou em crise à medida que emergiram alternativas regionais orientadas para a autonomia latino-americana e caribenha, como a CELAC, formuladas no marco do chamado regionalismo pós-hegemônico (</w:t>
      </w:r>
      <w:proofErr w:type="spellStart"/>
      <w:r w:rsidR="009175DD" w:rsidRPr="009175DD">
        <w:t>Riggirozzi</w:t>
      </w:r>
      <w:proofErr w:type="spellEnd"/>
      <w:r w:rsidR="009175DD" w:rsidRPr="009175DD">
        <w:t xml:space="preserve">; </w:t>
      </w:r>
      <w:proofErr w:type="spellStart"/>
      <w:r w:rsidR="009175DD" w:rsidRPr="009175DD">
        <w:t>Tussie</w:t>
      </w:r>
      <w:proofErr w:type="spellEnd"/>
      <w:r w:rsidR="009175DD" w:rsidRPr="009175DD">
        <w:t>, 2012).</w:t>
      </w:r>
    </w:p>
    <w:p w14:paraId="0D97F717" w14:textId="77777777" w:rsidR="009175DD" w:rsidRPr="009175DD" w:rsidRDefault="009175DD" w:rsidP="00CA361F">
      <w:pPr>
        <w:spacing w:line="360" w:lineRule="auto"/>
        <w:ind w:firstLine="709"/>
        <w:jc w:val="both"/>
      </w:pPr>
    </w:p>
    <w:p w14:paraId="76E1A95C" w14:textId="7461B94C" w:rsidR="00CA361F" w:rsidRPr="00730673" w:rsidRDefault="00CA361F" w:rsidP="00CA361F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0" w:name="_Toc210326516"/>
      <w:bookmarkStart w:id="21" w:name="_Toc212364373"/>
      <w:r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.2 A emergência da CELAC</w:t>
      </w:r>
      <w:bookmarkEnd w:id="20"/>
      <w:bookmarkEnd w:id="21"/>
    </w:p>
    <w:p w14:paraId="4A2B22DC" w14:textId="77777777" w:rsidR="00CA361F" w:rsidRPr="00730673" w:rsidRDefault="00CA361F" w:rsidP="00CA361F">
      <w:pPr>
        <w:spacing w:line="360" w:lineRule="auto"/>
      </w:pPr>
    </w:p>
    <w:p w14:paraId="73E53619" w14:textId="244B29FC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CELAC surgiu em 2010, na cúpula de Cancún, e foi institucionalizada em 2011, em Caracas. Diferente da OEA, não é um organismo internacional com carta constitutiva, mas sim um fórum intergovernamental baseado no consenso. Reúne todos os 33 países da América Latina e Caribe, excluindo explicitamente os Estados Unidos e o Canadá</w:t>
      </w:r>
      <w:r w:rsidR="0060204A">
        <w:rPr>
          <w:color w:val="000000"/>
        </w:rPr>
        <w:t xml:space="preserve"> (</w:t>
      </w:r>
      <w:proofErr w:type="spellStart"/>
      <w:r w:rsidR="0060204A" w:rsidRPr="0060204A">
        <w:rPr>
          <w:color w:val="000000"/>
        </w:rPr>
        <w:t>Huja</w:t>
      </w:r>
      <w:proofErr w:type="spellEnd"/>
      <w:r w:rsidR="0060204A" w:rsidRPr="0060204A">
        <w:rPr>
          <w:color w:val="000000"/>
        </w:rPr>
        <w:t xml:space="preserve">, 2012; </w:t>
      </w:r>
      <w:proofErr w:type="spellStart"/>
      <w:r w:rsidR="0060204A">
        <w:rPr>
          <w:color w:val="000000"/>
        </w:rPr>
        <w:t>Ma</w:t>
      </w:r>
      <w:r w:rsidR="0060204A" w:rsidRPr="0060204A">
        <w:rPr>
          <w:color w:val="000000"/>
        </w:rPr>
        <w:t>lamud</w:t>
      </w:r>
      <w:proofErr w:type="spellEnd"/>
      <w:r w:rsidR="0060204A" w:rsidRPr="0060204A">
        <w:rPr>
          <w:color w:val="000000"/>
        </w:rPr>
        <w:t>, 2017</w:t>
      </w:r>
      <w:r w:rsidR="0060204A">
        <w:rPr>
          <w:color w:val="000000"/>
        </w:rPr>
        <w:t>)</w:t>
      </w:r>
    </w:p>
    <w:p w14:paraId="3B5957AA" w14:textId="77777777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criação da CELAC reflete o contexto político da chamada “onda progressista” latino-americana. Presidentes como Hugo Chávez (Venezuela), Luiz Inácio Lula da Silva (Brasil), Rafael Correa (Equador) e Evo Morales (Bolívia) buscavam maior autonomia regional, afastando-se da lógica hegemônica da OEA. Nesse sentido, a CELAC nasceu como espaço de concertação política, e não como instituição com poderes jurídicos vinculantes.</w:t>
      </w:r>
    </w:p>
    <w:p w14:paraId="6D84F4E3" w14:textId="35616C24" w:rsidR="00CA361F" w:rsidRPr="00730673" w:rsidRDefault="00CA361F" w:rsidP="001F3B37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Sua fragilidade institucional é evidente</w:t>
      </w:r>
      <w:r w:rsidR="009175DD">
        <w:rPr>
          <w:color w:val="000000"/>
        </w:rPr>
        <w:t xml:space="preserve">, </w:t>
      </w:r>
      <w:r w:rsidRPr="00730673">
        <w:rPr>
          <w:color w:val="000000"/>
        </w:rPr>
        <w:t>não possui sede, orçamento</w:t>
      </w:r>
      <w:r w:rsidR="001F3B37">
        <w:rPr>
          <w:color w:val="000000"/>
        </w:rPr>
        <w:t xml:space="preserve"> </w:t>
      </w:r>
      <w:r w:rsidRPr="00730673">
        <w:rPr>
          <w:color w:val="000000"/>
        </w:rPr>
        <w:t xml:space="preserve">fixo, secretariado permanente ou mecanismos </w:t>
      </w:r>
      <w:r w:rsidR="009175DD">
        <w:rPr>
          <w:color w:val="000000"/>
        </w:rPr>
        <w:t xml:space="preserve">formais </w:t>
      </w:r>
      <w:r w:rsidRPr="00730673">
        <w:rPr>
          <w:color w:val="000000"/>
        </w:rPr>
        <w:t>de sanção. No entanto, essa mesma fragilidade é</w:t>
      </w:r>
      <w:r w:rsidR="001F3B37">
        <w:rPr>
          <w:color w:val="000000"/>
        </w:rPr>
        <w:t xml:space="preserve"> </w:t>
      </w:r>
      <w:r w:rsidRPr="00730673">
        <w:rPr>
          <w:color w:val="000000"/>
        </w:rPr>
        <w:t xml:space="preserve">interpretada por alguns autores como recurso político. </w:t>
      </w:r>
      <w:proofErr w:type="spellStart"/>
      <w:r w:rsidRPr="00730673">
        <w:rPr>
          <w:color w:val="000000"/>
        </w:rPr>
        <w:t>Sanahuja</w:t>
      </w:r>
      <w:proofErr w:type="spellEnd"/>
      <w:r w:rsidRPr="00730673">
        <w:rPr>
          <w:color w:val="000000"/>
        </w:rPr>
        <w:t xml:space="preserve"> (2014) argumenta que a CELAC é símbolo do regionalismo pós-hegemônico: ao excluir Washington, afirma autonomia regional; ao funcionar com base no consenso, reforça soberania dos Estados.</w:t>
      </w:r>
    </w:p>
    <w:p w14:paraId="20B3AA65" w14:textId="1702A385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lastRenderedPageBreak/>
        <w:t>A CELAC protagonizou declarações políticas relevantes. Em Havana</w:t>
      </w:r>
      <w:r w:rsidR="001F3B37">
        <w:rPr>
          <w:color w:val="000000"/>
        </w:rPr>
        <w:t>, em 2014,</w:t>
      </w:r>
      <w:r w:rsidRPr="00730673">
        <w:rPr>
          <w:color w:val="000000"/>
        </w:rPr>
        <w:t xml:space="preserve"> proclamou a América Latina e </w:t>
      </w:r>
      <w:r w:rsidR="001F3B37">
        <w:rPr>
          <w:color w:val="000000"/>
        </w:rPr>
        <w:t xml:space="preserve">o </w:t>
      </w:r>
      <w:r w:rsidRPr="00730673">
        <w:rPr>
          <w:color w:val="000000"/>
        </w:rPr>
        <w:t xml:space="preserve">Caribe </w:t>
      </w:r>
      <w:r w:rsidR="00270614" w:rsidRPr="00730673">
        <w:rPr>
          <w:color w:val="000000"/>
        </w:rPr>
        <w:t xml:space="preserve">como </w:t>
      </w:r>
      <w:r w:rsidR="00270614">
        <w:rPr>
          <w:color w:val="000000"/>
        </w:rPr>
        <w:t xml:space="preserve">uma </w:t>
      </w:r>
      <w:r w:rsidRPr="00730673">
        <w:rPr>
          <w:color w:val="000000"/>
        </w:rPr>
        <w:t>“zona de paz”, destacando a solução pacífica de controvérsias e o respeito à soberania</w:t>
      </w:r>
      <w:r w:rsidR="00365B86">
        <w:rPr>
          <w:color w:val="000000"/>
        </w:rPr>
        <w:t xml:space="preserve"> (</w:t>
      </w:r>
      <w:proofErr w:type="spellStart"/>
      <w:r w:rsidR="00365B86">
        <w:rPr>
          <w:color w:val="000000"/>
        </w:rPr>
        <w:t>S</w:t>
      </w:r>
      <w:r w:rsidR="00365B86" w:rsidRPr="00365B86">
        <w:rPr>
          <w:color w:val="000000"/>
        </w:rPr>
        <w:t>erbin</w:t>
      </w:r>
      <w:proofErr w:type="spellEnd"/>
      <w:r w:rsidR="00365B86" w:rsidRPr="00365B86">
        <w:rPr>
          <w:color w:val="000000"/>
        </w:rPr>
        <w:t>, 2014</w:t>
      </w:r>
      <w:r w:rsidR="00365B86">
        <w:rPr>
          <w:color w:val="000000"/>
        </w:rPr>
        <w:t xml:space="preserve">). </w:t>
      </w:r>
      <w:r w:rsidRPr="00730673">
        <w:rPr>
          <w:color w:val="000000"/>
        </w:rPr>
        <w:t>Em outros momentos, atuou como espaço de diálogo sobre integração produtiva, infraestrutura e desenvolvimento sustentável</w:t>
      </w:r>
      <w:r w:rsidR="00365B86">
        <w:rPr>
          <w:color w:val="000000"/>
        </w:rPr>
        <w:t>, f</w:t>
      </w:r>
      <w:r w:rsidR="00365B86" w:rsidRPr="00365B86">
        <w:rPr>
          <w:color w:val="000000"/>
        </w:rPr>
        <w:t>uncionando como um mecanismo político entre chefes de Estado e de governo, mais do que como uma organização internacional tradicional (</w:t>
      </w:r>
      <w:proofErr w:type="spellStart"/>
      <w:r w:rsidR="00365B86">
        <w:rPr>
          <w:color w:val="000000"/>
        </w:rPr>
        <w:t>S</w:t>
      </w:r>
      <w:r w:rsidR="00365B86" w:rsidRPr="00365B86">
        <w:rPr>
          <w:color w:val="000000"/>
        </w:rPr>
        <w:t>anahuja</w:t>
      </w:r>
      <w:proofErr w:type="spellEnd"/>
      <w:r w:rsidR="00365B86" w:rsidRPr="00365B86">
        <w:rPr>
          <w:color w:val="000000"/>
        </w:rPr>
        <w:t>, 2014).</w:t>
      </w:r>
    </w:p>
    <w:p w14:paraId="279C96D2" w14:textId="7A332FB4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A CELAC também </w:t>
      </w:r>
      <w:r w:rsidR="009175DD">
        <w:rPr>
          <w:color w:val="000000"/>
        </w:rPr>
        <w:t>exerceu</w:t>
      </w:r>
      <w:r w:rsidRPr="00730673">
        <w:rPr>
          <w:color w:val="000000"/>
        </w:rPr>
        <w:t xml:space="preserve"> papel simbólico na reinserção de Cuba no cenário regional. Enquanto a OEA manteve a suspensão de Havana por décadas, a CELAC sempre contou com Cuba como membro pleno. Esse contraste evidencia o caráter inclusivo da CELAC e sua disposição de </w:t>
      </w:r>
      <w:r w:rsidR="009175DD">
        <w:rPr>
          <w:color w:val="000000"/>
        </w:rPr>
        <w:t xml:space="preserve">contestar </w:t>
      </w:r>
      <w:r w:rsidRPr="00730673">
        <w:rPr>
          <w:color w:val="000000"/>
        </w:rPr>
        <w:t>exclusões ideológicas herdadas da Guerra Fria</w:t>
      </w:r>
      <w:r w:rsidR="00365B86">
        <w:rPr>
          <w:color w:val="000000"/>
        </w:rPr>
        <w:t xml:space="preserve"> </w:t>
      </w:r>
      <w:r w:rsidR="00365B86" w:rsidRPr="00365B86">
        <w:rPr>
          <w:color w:val="000000"/>
        </w:rPr>
        <w:t>(</w:t>
      </w:r>
      <w:proofErr w:type="spellStart"/>
      <w:r w:rsidR="00365B86" w:rsidRPr="00365B86">
        <w:rPr>
          <w:color w:val="000000"/>
        </w:rPr>
        <w:t>Serbin</w:t>
      </w:r>
      <w:proofErr w:type="spellEnd"/>
      <w:r w:rsidR="00365B86" w:rsidRPr="00365B86">
        <w:rPr>
          <w:color w:val="000000"/>
        </w:rPr>
        <w:t xml:space="preserve">, 2014; </w:t>
      </w:r>
      <w:proofErr w:type="spellStart"/>
      <w:r w:rsidR="00365B86" w:rsidRPr="00365B86">
        <w:rPr>
          <w:color w:val="000000"/>
        </w:rPr>
        <w:t>Sanahuja</w:t>
      </w:r>
      <w:proofErr w:type="spellEnd"/>
      <w:r w:rsidR="00365B86" w:rsidRPr="00365B86">
        <w:rPr>
          <w:color w:val="000000"/>
        </w:rPr>
        <w:t>, 2014).</w:t>
      </w:r>
    </w:p>
    <w:p w14:paraId="20A0AE51" w14:textId="77777777" w:rsidR="007E52EB" w:rsidRPr="00730673" w:rsidRDefault="00CA361F" w:rsidP="007E52EB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Ainda que limitada em termos de capacidade operacional, a </w:t>
      </w:r>
      <w:r w:rsidR="00365B86" w:rsidRPr="00730673">
        <w:rPr>
          <w:color w:val="000000"/>
        </w:rPr>
        <w:t>CELAC consolidou</w:t>
      </w:r>
      <w:r w:rsidR="00270614">
        <w:rPr>
          <w:color w:val="000000"/>
        </w:rPr>
        <w:t>-se</w:t>
      </w:r>
      <w:r w:rsidRPr="00730673">
        <w:rPr>
          <w:color w:val="000000"/>
        </w:rPr>
        <w:t xml:space="preserve"> como foro alternativo que dá voz a uma concepção distinta de governança regional, </w:t>
      </w:r>
      <w:r w:rsidR="00822F5D">
        <w:rPr>
          <w:color w:val="000000"/>
        </w:rPr>
        <w:t xml:space="preserve">mais orientada à autonomia </w:t>
      </w:r>
      <w:r w:rsidR="00822F5D" w:rsidRPr="00822F5D">
        <w:rPr>
          <w:color w:val="000000"/>
        </w:rPr>
        <w:t>política latino-americana e caribenha</w:t>
      </w:r>
      <w:r w:rsidR="007E52EB">
        <w:rPr>
          <w:color w:val="000000"/>
        </w:rPr>
        <w:t xml:space="preserve"> (</w:t>
      </w:r>
      <w:proofErr w:type="spellStart"/>
      <w:r w:rsidR="007E52EB" w:rsidRPr="00365B86">
        <w:rPr>
          <w:color w:val="000000"/>
        </w:rPr>
        <w:t>Sanahuja</w:t>
      </w:r>
      <w:proofErr w:type="spellEnd"/>
      <w:r w:rsidR="007E52EB" w:rsidRPr="00365B86">
        <w:rPr>
          <w:color w:val="000000"/>
        </w:rPr>
        <w:t>, 2014).</w:t>
      </w:r>
    </w:p>
    <w:p w14:paraId="2BFAD9A9" w14:textId="77777777" w:rsidR="00365B86" w:rsidRDefault="00365B86" w:rsidP="00365B86">
      <w:pPr>
        <w:pStyle w:val="Ttulo2"/>
        <w:spacing w:before="0" w:after="0" w:line="36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2" w:name="_Toc210326517"/>
    </w:p>
    <w:p w14:paraId="273128CB" w14:textId="517CE1CA" w:rsidR="00CA361F" w:rsidRPr="00730673" w:rsidRDefault="00CA361F" w:rsidP="00365B86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3" w:name="_Toc212364374"/>
      <w:r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.3 Regionalismo pós-hegemônico</w:t>
      </w:r>
      <w:bookmarkEnd w:id="22"/>
      <w:bookmarkEnd w:id="23"/>
    </w:p>
    <w:p w14:paraId="23F6B22A" w14:textId="77777777" w:rsidR="00CA361F" w:rsidRPr="00730673" w:rsidRDefault="00CA361F" w:rsidP="00365B86">
      <w:pPr>
        <w:spacing w:line="360" w:lineRule="auto"/>
        <w:ind w:firstLine="709"/>
        <w:jc w:val="both"/>
        <w:rPr>
          <w:color w:val="000000"/>
        </w:rPr>
      </w:pPr>
    </w:p>
    <w:p w14:paraId="4A1DB47F" w14:textId="0352F2D4" w:rsidR="00CA361F" w:rsidRPr="00730673" w:rsidRDefault="00CA361F" w:rsidP="00365B86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O conceito de regionalismo pós-hegemônico é central para compreender a CELAC</w:t>
      </w:r>
      <w:r w:rsidR="0029687B">
        <w:rPr>
          <w:color w:val="000000"/>
        </w:rPr>
        <w:t>,</w:t>
      </w:r>
      <w:r w:rsidRPr="00730673">
        <w:rPr>
          <w:color w:val="000000"/>
        </w:rPr>
        <w:t xml:space="preserve"> </w:t>
      </w:r>
      <w:r w:rsidR="0029687B">
        <w:rPr>
          <w:color w:val="000000"/>
        </w:rPr>
        <w:t>f</w:t>
      </w:r>
      <w:r w:rsidRPr="00730673">
        <w:rPr>
          <w:color w:val="000000"/>
        </w:rPr>
        <w:t>ormulado por autores como</w:t>
      </w:r>
      <w:r w:rsidR="0029687B">
        <w:rPr>
          <w:color w:val="000000"/>
        </w:rPr>
        <w:t>,</w:t>
      </w:r>
      <w:r w:rsidRPr="00730673">
        <w:rPr>
          <w:color w:val="000000"/>
        </w:rPr>
        <w:t xml:space="preserve"> </w:t>
      </w:r>
      <w:proofErr w:type="spellStart"/>
      <w:r w:rsidRPr="00730673">
        <w:rPr>
          <w:color w:val="000000"/>
        </w:rPr>
        <w:t>Riggirozzi</w:t>
      </w:r>
      <w:proofErr w:type="spellEnd"/>
      <w:r w:rsidRPr="00730673">
        <w:rPr>
          <w:color w:val="000000"/>
        </w:rPr>
        <w:t xml:space="preserve"> e </w:t>
      </w:r>
      <w:proofErr w:type="spellStart"/>
      <w:r w:rsidRPr="00730673">
        <w:rPr>
          <w:color w:val="000000"/>
        </w:rPr>
        <w:t>Tussie</w:t>
      </w:r>
      <w:proofErr w:type="spellEnd"/>
      <w:r w:rsidRPr="00730673">
        <w:rPr>
          <w:color w:val="000000"/>
        </w:rPr>
        <w:t xml:space="preserve"> (2012), descreve um modelo de integração que emergiu nos anos 2000, em reação tanto ao neoliberalismo dos anos 1990 quanto à hegemonia estadunidense.</w:t>
      </w:r>
    </w:p>
    <w:p w14:paraId="70A251A9" w14:textId="77777777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Três características principais marcam esse regionalismo:</w:t>
      </w:r>
    </w:p>
    <w:p w14:paraId="1E23C552" w14:textId="77777777" w:rsidR="00CA361F" w:rsidRPr="00730673" w:rsidRDefault="00CA361F" w:rsidP="00CA361F">
      <w:pPr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</w:rPr>
      </w:pPr>
      <w:r w:rsidRPr="00730673">
        <w:rPr>
          <w:bCs/>
          <w:color w:val="000000"/>
        </w:rPr>
        <w:t>Exclusão dos EUA dos processos decisórios.</w:t>
      </w:r>
    </w:p>
    <w:p w14:paraId="5D55971B" w14:textId="77777777" w:rsidR="00CA361F" w:rsidRPr="00730673" w:rsidRDefault="00CA361F" w:rsidP="00CA361F">
      <w:pPr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</w:rPr>
      </w:pPr>
      <w:r w:rsidRPr="00730673">
        <w:rPr>
          <w:bCs/>
          <w:color w:val="000000"/>
        </w:rPr>
        <w:t>Ênfase na soberania e na não intervenção.</w:t>
      </w:r>
    </w:p>
    <w:p w14:paraId="3792C91E" w14:textId="77777777" w:rsidR="00CA361F" w:rsidRPr="00730673" w:rsidRDefault="00CA361F" w:rsidP="00CA361F">
      <w:pPr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</w:rPr>
      </w:pPr>
      <w:r w:rsidRPr="00730673">
        <w:rPr>
          <w:bCs/>
          <w:color w:val="000000"/>
        </w:rPr>
        <w:t>Flexibilidade institucional, sem regras vinculantes.</w:t>
      </w:r>
    </w:p>
    <w:p w14:paraId="153A435E" w14:textId="1A3C16F8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Ruiz (2013) sustenta que o pós-hegemonismo não deve ser entendido apenas como resistência, mas </w:t>
      </w:r>
      <w:r w:rsidR="007E52EB">
        <w:rPr>
          <w:color w:val="000000"/>
        </w:rPr>
        <w:t xml:space="preserve">também </w:t>
      </w:r>
      <w:r w:rsidRPr="00730673">
        <w:rPr>
          <w:color w:val="000000"/>
        </w:rPr>
        <w:t xml:space="preserve">como afirmação de agendas próprias de desenvolvimento e inclusão social. Autores como Nolte (2018) acrescentam que o regionalismo pós-hegemônico expressa a fragmentação das iniciativas regionais, resultando em múltiplos arranjos </w:t>
      </w:r>
      <w:r w:rsidR="007E52EB">
        <w:rPr>
          <w:color w:val="000000"/>
        </w:rPr>
        <w:t xml:space="preserve">parcialmente </w:t>
      </w:r>
      <w:r w:rsidRPr="00730673">
        <w:rPr>
          <w:color w:val="000000"/>
        </w:rPr>
        <w:t>sobrepostos, entre eles CELAC, UNASUL e ALBA.</w:t>
      </w:r>
    </w:p>
    <w:p w14:paraId="77371ADA" w14:textId="77777777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>A CELAC exemplifica esse modelo ao priorizar soberania, consenso e inclusão. Seu funcionamento contrasta com a OEA, que dispõe de institucionalidade rígida, mas é percebida como instrumento hegemônico.</w:t>
      </w:r>
    </w:p>
    <w:p w14:paraId="180E15C2" w14:textId="77777777" w:rsidR="00CA361F" w:rsidRPr="00730673" w:rsidRDefault="00CA361F" w:rsidP="00CA361F">
      <w:pPr>
        <w:jc w:val="both"/>
        <w:outlineLvl w:val="3"/>
        <w:rPr>
          <w:b/>
          <w:bCs/>
          <w:color w:val="000000"/>
        </w:rPr>
      </w:pPr>
    </w:p>
    <w:p w14:paraId="40A4D989" w14:textId="05D3452B" w:rsidR="00CA361F" w:rsidRPr="00730673" w:rsidRDefault="00CA361F" w:rsidP="00CA361F">
      <w:pPr>
        <w:pStyle w:val="Ttulo2"/>
        <w:spacing w:before="0" w:after="0" w:line="36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4" w:name="_Toc210326518"/>
      <w:bookmarkStart w:id="25" w:name="_Toc212364375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4</w:t>
      </w:r>
      <w:r w:rsidRPr="00730673">
        <w:rPr>
          <w:rFonts w:ascii="Times New Roman" w:hAnsi="Times New Roman" w:cs="Times New Roman"/>
          <w:b/>
          <w:color w:val="auto"/>
          <w:sz w:val="24"/>
          <w:szCs w:val="24"/>
        </w:rPr>
        <w:t>.4 Hegemonia, autonomia e política externa</w:t>
      </w:r>
      <w:bookmarkEnd w:id="24"/>
      <w:bookmarkEnd w:id="25"/>
    </w:p>
    <w:p w14:paraId="0F3A435A" w14:textId="77777777" w:rsidR="00CA361F" w:rsidRPr="00730673" w:rsidRDefault="00CA361F" w:rsidP="00CA361F"/>
    <w:p w14:paraId="49367A5C" w14:textId="771F0686" w:rsidR="00CA361F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O conceito de hegemonia, inspirado em Gramsci, é aplicado às relações internacionais por Cox (1987), que define hegemonia como combinação </w:t>
      </w:r>
      <w:r w:rsidR="00364561">
        <w:rPr>
          <w:color w:val="000000"/>
        </w:rPr>
        <w:t>entre</w:t>
      </w:r>
      <w:r w:rsidRPr="00730673">
        <w:rPr>
          <w:color w:val="000000"/>
        </w:rPr>
        <w:t xml:space="preserve"> poder material, liderança ideológica e institucionalização de normas. No sistema interamericano, a OEA representa a institucionalização da hegemonia estadunidense.</w:t>
      </w:r>
    </w:p>
    <w:p w14:paraId="4A00EAC5" w14:textId="77777777" w:rsidR="00CA361F" w:rsidRDefault="00CA361F" w:rsidP="00CA361F">
      <w:pPr>
        <w:spacing w:line="360" w:lineRule="auto"/>
        <w:ind w:firstLine="709"/>
        <w:jc w:val="both"/>
        <w:rPr>
          <w:color w:val="000000"/>
        </w:rPr>
      </w:pPr>
      <w:r w:rsidRPr="00730673">
        <w:rPr>
          <w:color w:val="000000"/>
        </w:rPr>
        <w:t xml:space="preserve">Por outro lado, </w:t>
      </w:r>
      <w:proofErr w:type="spellStart"/>
      <w:r w:rsidRPr="00730673">
        <w:rPr>
          <w:color w:val="000000"/>
        </w:rPr>
        <w:t>Tokatlian</w:t>
      </w:r>
      <w:proofErr w:type="spellEnd"/>
      <w:r w:rsidRPr="00730673">
        <w:rPr>
          <w:color w:val="000000"/>
        </w:rPr>
        <w:t xml:space="preserve"> (2011) argumenta que a política externa latino-americana oscila entre acomodação e autonomia. A CELAC encarna essa busca de autonomia coletiva, funcionando como espaço de contestação e resistência.</w:t>
      </w:r>
    </w:p>
    <w:p w14:paraId="203B6F1F" w14:textId="232CE2FF" w:rsidR="00CA361F" w:rsidRDefault="00CA361F" w:rsidP="00CA361F">
      <w:pPr>
        <w:spacing w:line="360" w:lineRule="auto"/>
        <w:ind w:firstLine="709"/>
        <w:jc w:val="both"/>
        <w:rPr>
          <w:color w:val="000000"/>
        </w:rPr>
      </w:pPr>
      <w:proofErr w:type="spellStart"/>
      <w:r w:rsidRPr="00730673">
        <w:rPr>
          <w:color w:val="000000"/>
        </w:rPr>
        <w:t>Hurrell</w:t>
      </w:r>
      <w:proofErr w:type="spellEnd"/>
      <w:r w:rsidRPr="00730673">
        <w:rPr>
          <w:color w:val="000000"/>
        </w:rPr>
        <w:t xml:space="preserve"> (1995) acrescenta que os projetos de integração regional refletem não apenas condições externas, mas também disputas internas de identidade e legitimidade. A CELAC</w:t>
      </w:r>
      <w:r w:rsidR="00364561">
        <w:rPr>
          <w:color w:val="000000"/>
        </w:rPr>
        <w:t>, nesse quadro,</w:t>
      </w:r>
      <w:r w:rsidRPr="00730673">
        <w:rPr>
          <w:color w:val="000000"/>
        </w:rPr>
        <w:t xml:space="preserve"> simboliza a tentativa de construir identidade política latino-americana autônoma, ainda que sem mecanismos de </w:t>
      </w:r>
      <w:proofErr w:type="spellStart"/>
      <w:r w:rsidRPr="00730673">
        <w:rPr>
          <w:i/>
          <w:color w:val="000000"/>
        </w:rPr>
        <w:t>enforcement</w:t>
      </w:r>
      <w:proofErr w:type="spellEnd"/>
      <w:r w:rsidRPr="00730673">
        <w:rPr>
          <w:color w:val="000000"/>
        </w:rPr>
        <w:t>.</w:t>
      </w:r>
    </w:p>
    <w:p w14:paraId="58BA1C6F" w14:textId="77777777" w:rsidR="00CA361F" w:rsidRPr="00730673" w:rsidRDefault="00CA361F" w:rsidP="00364561">
      <w:pPr>
        <w:spacing w:line="360" w:lineRule="auto"/>
        <w:ind w:firstLine="709"/>
        <w:jc w:val="both"/>
        <w:rPr>
          <w:color w:val="000000"/>
        </w:rPr>
      </w:pPr>
    </w:p>
    <w:p w14:paraId="4B302074" w14:textId="5DDD7FA8" w:rsidR="00CA361F" w:rsidRPr="00997E71" w:rsidRDefault="00CA361F" w:rsidP="00997E71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212364376"/>
      <w:r w:rsidRPr="00997E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 ESTUDOS DE CASO</w:t>
      </w:r>
      <w:bookmarkEnd w:id="26"/>
      <w:r w:rsidRPr="00997E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0F9F108" w14:textId="77777777" w:rsidR="00F347CE" w:rsidRDefault="00F347CE" w:rsidP="00364561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1059E75F" w14:textId="6F4E4563" w:rsidR="00CA361F" w:rsidRPr="00CA361F" w:rsidRDefault="00CA361F" w:rsidP="00F347CE">
      <w:pPr>
        <w:pStyle w:val="NormalWeb"/>
        <w:spacing w:before="0" w:before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Os estudos de caso escolhidos ilustram como a OEA e a CELAC se posicionaram diante de crises específicas, garantindo 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364561">
        <w:rPr>
          <w:color w:val="000000"/>
        </w:rPr>
        <w:t>máxima variação</w:t>
      </w:r>
      <w:r w:rsidRPr="00364561">
        <w:rPr>
          <w:rStyle w:val="apple-converted-space"/>
          <w:rFonts w:eastAsiaTheme="majorEastAsia"/>
          <w:color w:val="000000"/>
        </w:rPr>
        <w:t> </w:t>
      </w:r>
      <w:r w:rsidRPr="00364561">
        <w:rPr>
          <w:color w:val="000000"/>
        </w:rPr>
        <w:t>necessária para a comparação. O recorte concentra</w:t>
      </w:r>
      <w:r w:rsidR="00364561">
        <w:rPr>
          <w:color w:val="000000"/>
        </w:rPr>
        <w:t>-se</w:t>
      </w:r>
      <w:r w:rsidRPr="00364561">
        <w:rPr>
          <w:color w:val="000000"/>
        </w:rPr>
        <w:t xml:space="preserve"> em</w:t>
      </w:r>
      <w:r w:rsidRPr="00364561">
        <w:rPr>
          <w:rStyle w:val="apple-converted-space"/>
          <w:rFonts w:eastAsiaTheme="majorEastAsia"/>
          <w:color w:val="000000"/>
        </w:rPr>
        <w:t> </w:t>
      </w:r>
      <w:r w:rsidRPr="00364561">
        <w:rPr>
          <w:color w:val="000000"/>
        </w:rPr>
        <w:t>cinco casos cruciais de crise institucional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que ocorreram após a fundação da CELAC (2011), ou que a impulsionaram:</w:t>
      </w:r>
    </w:p>
    <w:p w14:paraId="640DEA32" w14:textId="77777777" w:rsidR="00CA361F" w:rsidRPr="00CA361F" w:rsidRDefault="00CA361F" w:rsidP="00CA361F">
      <w:pPr>
        <w:pStyle w:val="NormalWeb"/>
        <w:numPr>
          <w:ilvl w:val="0"/>
          <w:numId w:val="6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Honduras (2009):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Golpe contra Manuel Zelaya. A OEA suspendeu o país, mas falhou em reverter a ruptura, estimulando a criação da CELAC.</w:t>
      </w:r>
    </w:p>
    <w:p w14:paraId="04DE7355" w14:textId="3E05D232" w:rsidR="00CA361F" w:rsidRPr="00CA361F" w:rsidRDefault="00CA361F" w:rsidP="00CA361F">
      <w:pPr>
        <w:pStyle w:val="NormalWeb"/>
        <w:numPr>
          <w:ilvl w:val="0"/>
          <w:numId w:val="6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Paraguai</w:t>
      </w:r>
      <w:r w:rsidR="00364561">
        <w:rPr>
          <w:b/>
          <w:bCs/>
          <w:color w:val="000000"/>
        </w:rPr>
        <w:t xml:space="preserve"> </w:t>
      </w:r>
      <w:r w:rsidRPr="00CA361F">
        <w:rPr>
          <w:b/>
          <w:bCs/>
          <w:color w:val="000000"/>
        </w:rPr>
        <w:t>(2012):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i/>
          <w:iCs/>
          <w:color w:val="000000"/>
        </w:rPr>
        <w:t>Impeachment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sumário de Fernando Lugo. Caso crítico de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seletividade da OEA</w:t>
      </w:r>
      <w:r>
        <w:rPr>
          <w:b/>
          <w:bCs/>
          <w:color w:val="000000"/>
        </w:rPr>
        <w:t xml:space="preserve"> </w:t>
      </w:r>
      <w:r w:rsidRPr="00CA361F">
        <w:rPr>
          <w:color w:val="000000"/>
        </w:rPr>
        <w:t>(tratamento brando) em contraste com a condenação da CELAC/MERCOSUL.</w:t>
      </w:r>
    </w:p>
    <w:p w14:paraId="64FB3E52" w14:textId="77777777" w:rsidR="00CA361F" w:rsidRPr="00CA361F" w:rsidRDefault="00CA361F" w:rsidP="00CA361F">
      <w:pPr>
        <w:pStyle w:val="NormalWeb"/>
        <w:numPr>
          <w:ilvl w:val="0"/>
          <w:numId w:val="6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Nicarágua (2018):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Repressão a protestos. Contraste direto entre a condenação da OEA e a defesa de soberania pela CELAC.</w:t>
      </w:r>
    </w:p>
    <w:p w14:paraId="1592C3B5" w14:textId="77777777" w:rsidR="00CA361F" w:rsidRPr="00CA361F" w:rsidRDefault="00CA361F" w:rsidP="00CA361F">
      <w:pPr>
        <w:pStyle w:val="NormalWeb"/>
        <w:numPr>
          <w:ilvl w:val="0"/>
          <w:numId w:val="6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Bolívia (2019):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Denúncias de fraude eleitoral pela OEA legitimaram a queda de Evo Morales; a CELAC manteve a neutralidade.</w:t>
      </w:r>
    </w:p>
    <w:p w14:paraId="3A6AAA28" w14:textId="77777777" w:rsidR="00CA361F" w:rsidRPr="00CA361F" w:rsidRDefault="00CA361F" w:rsidP="00CA361F">
      <w:pPr>
        <w:pStyle w:val="NormalWeb"/>
        <w:numPr>
          <w:ilvl w:val="0"/>
          <w:numId w:val="6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Colômbia (2016+):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Acompanhamento do acordo de paz pela OEA (MAPP) e apoio político da CELAC.</w:t>
      </w:r>
    </w:p>
    <w:p w14:paraId="290E8B3D" w14:textId="18BBFE4E" w:rsidR="00CA361F" w:rsidRPr="00CA361F" w:rsidRDefault="00CA361F" w:rsidP="00CA361F">
      <w:pPr>
        <w:spacing w:line="360" w:lineRule="auto"/>
        <w:jc w:val="both"/>
        <w:rPr>
          <w:color w:val="000000"/>
        </w:rPr>
      </w:pPr>
    </w:p>
    <w:p w14:paraId="1E9457D2" w14:textId="39DAA8A3" w:rsidR="00CA361F" w:rsidRPr="00997E71" w:rsidRDefault="00CA361F" w:rsidP="00997E71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10326520"/>
      <w:bookmarkStart w:id="28" w:name="_Toc212364377"/>
      <w:r w:rsidRPr="00997E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 HIPÓTESE</w:t>
      </w:r>
      <w:bookmarkEnd w:id="27"/>
      <w:r w:rsidR="00997E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bookmarkEnd w:id="28"/>
    </w:p>
    <w:p w14:paraId="3BF9DDB2" w14:textId="77777777" w:rsidR="00CA361F" w:rsidRPr="00730673" w:rsidRDefault="00CA361F" w:rsidP="00CA361F">
      <w:pPr>
        <w:spacing w:line="360" w:lineRule="auto"/>
        <w:ind w:firstLine="709"/>
        <w:jc w:val="both"/>
        <w:rPr>
          <w:color w:val="000000"/>
        </w:rPr>
      </w:pPr>
    </w:p>
    <w:p w14:paraId="7BBAB74C" w14:textId="47C40D52" w:rsidR="00CA361F" w:rsidRPr="00CA361F" w:rsidRDefault="00F42C8A" w:rsidP="00CA361F">
      <w:pPr>
        <w:spacing w:after="100" w:afterAutospacing="1"/>
        <w:outlineLvl w:val="2"/>
        <w:rPr>
          <w:b/>
          <w:bCs/>
          <w:color w:val="000000"/>
        </w:rPr>
      </w:pPr>
      <w:bookmarkStart w:id="29" w:name="_Toc212364378"/>
      <w:r>
        <w:rPr>
          <w:b/>
          <w:bCs/>
          <w:color w:val="000000"/>
        </w:rPr>
        <w:t xml:space="preserve">6.1 </w:t>
      </w:r>
      <w:r w:rsidR="00CA361F" w:rsidRPr="00CA361F">
        <w:rPr>
          <w:b/>
          <w:bCs/>
          <w:color w:val="000000"/>
        </w:rPr>
        <w:t>Hipótese Central</w:t>
      </w:r>
      <w:bookmarkEnd w:id="29"/>
      <w:r w:rsidR="00CA361F" w:rsidRPr="00CA361F">
        <w:rPr>
          <w:b/>
          <w:bCs/>
          <w:color w:val="000000"/>
        </w:rPr>
        <w:t xml:space="preserve"> </w:t>
      </w:r>
    </w:p>
    <w:p w14:paraId="4516E34F" w14:textId="77777777" w:rsidR="00CA361F" w:rsidRPr="00105E72" w:rsidRDefault="00CA361F" w:rsidP="00364561">
      <w:pPr>
        <w:spacing w:line="360" w:lineRule="auto"/>
        <w:ind w:firstLine="709"/>
        <w:jc w:val="both"/>
        <w:rPr>
          <w:color w:val="000000"/>
        </w:rPr>
      </w:pPr>
      <w:r w:rsidRPr="00105E72">
        <w:rPr>
          <w:color w:val="000000"/>
        </w:rPr>
        <w:t>A </w:t>
      </w:r>
      <w:r w:rsidRPr="00105E72">
        <w:rPr>
          <w:b/>
          <w:bCs/>
          <w:color w:val="000000"/>
        </w:rPr>
        <w:t>Comunidade de Estados Latino-Americanos e Caribenhos (CELAC) opera primariamente como um fórum político de governança pós-hegemônica, utilizando a flexibilidade institucional e a coerência discursiva como fontes de legitimidade e autonomia regional, em contraste direto com a Organização dos Estados Americanos (OEA), que representa a institucionalização histórica da hegemonia estadunidense no hemisfério</w:t>
      </w:r>
      <w:r w:rsidRPr="00105E72">
        <w:rPr>
          <w:color w:val="000000"/>
        </w:rPr>
        <w:t>.</w:t>
      </w:r>
    </w:p>
    <w:p w14:paraId="1A1B1B8D" w14:textId="2E8DC548" w:rsidR="00CA361F" w:rsidRPr="00364561" w:rsidRDefault="00CA361F" w:rsidP="00364561">
      <w:pPr>
        <w:spacing w:line="360" w:lineRule="auto"/>
        <w:ind w:firstLine="709"/>
        <w:jc w:val="both"/>
        <w:rPr>
          <w:color w:val="000000"/>
        </w:rPr>
      </w:pPr>
      <w:r w:rsidRPr="00364561">
        <w:rPr>
          <w:color w:val="000000"/>
        </w:rPr>
        <w:t xml:space="preserve">Esta hipótese estabelece que a CELAC não deve ser avaliada apenas por sua eficácia prática (capacidade de reverter crises), mas </w:t>
      </w:r>
      <w:r w:rsidR="00364561" w:rsidRPr="00364561">
        <w:rPr>
          <w:color w:val="000000"/>
        </w:rPr>
        <w:t>também</w:t>
      </w:r>
      <w:r w:rsidRPr="00364561">
        <w:rPr>
          <w:color w:val="000000"/>
        </w:rPr>
        <w:t xml:space="preserve"> por sua eficácia simbólica e política (capacidade de criar uma narrativa autônoma e inclusiva que desafie a OEA). O contraste é definido pela natureza da legitimidade</w:t>
      </w:r>
      <w:r w:rsidR="00364561" w:rsidRPr="00364561">
        <w:rPr>
          <w:color w:val="000000"/>
        </w:rPr>
        <w:t>, enquanto</w:t>
      </w:r>
      <w:r w:rsidRPr="00364561">
        <w:rPr>
          <w:color w:val="000000"/>
        </w:rPr>
        <w:t xml:space="preserve"> a OEA busca legitimidade </w:t>
      </w:r>
      <w:r w:rsidR="00364561" w:rsidRPr="00364561">
        <w:rPr>
          <w:color w:val="000000"/>
        </w:rPr>
        <w:t>em sua</w:t>
      </w:r>
      <w:r w:rsidRPr="00364561">
        <w:rPr>
          <w:color w:val="000000"/>
        </w:rPr>
        <w:t> institucionalidade formal e na condicionalidade democrática, ao passo que a CELAC a constrói na soberania absoluta, no consenso político e na exclusão da tutela externa.</w:t>
      </w:r>
    </w:p>
    <w:p w14:paraId="1CFCBF80" w14:textId="77777777" w:rsidR="00CA361F" w:rsidRDefault="00CA361F" w:rsidP="00CA361F">
      <w:pPr>
        <w:spacing w:line="360" w:lineRule="auto"/>
        <w:jc w:val="both"/>
        <w:rPr>
          <w:color w:val="000000"/>
        </w:rPr>
      </w:pPr>
    </w:p>
    <w:p w14:paraId="274B4BB9" w14:textId="7D0FEB13" w:rsidR="00CA361F" w:rsidRPr="00CA361F" w:rsidRDefault="00F42C8A" w:rsidP="0029687B">
      <w:pPr>
        <w:spacing w:line="360" w:lineRule="auto"/>
        <w:jc w:val="both"/>
        <w:outlineLvl w:val="2"/>
        <w:rPr>
          <w:b/>
          <w:bCs/>
          <w:color w:val="000000"/>
        </w:rPr>
      </w:pPr>
      <w:bookmarkStart w:id="30" w:name="_Toc212364379"/>
      <w:r>
        <w:rPr>
          <w:b/>
          <w:bCs/>
          <w:color w:val="000000"/>
        </w:rPr>
        <w:t xml:space="preserve">6.2 </w:t>
      </w:r>
      <w:r w:rsidR="00CA361F" w:rsidRPr="00CA361F">
        <w:rPr>
          <w:b/>
          <w:bCs/>
          <w:color w:val="000000"/>
        </w:rPr>
        <w:t>Hipótese Secundária</w:t>
      </w:r>
      <w:bookmarkEnd w:id="30"/>
      <w:r w:rsidR="00CA361F" w:rsidRPr="00CA361F">
        <w:rPr>
          <w:b/>
          <w:bCs/>
          <w:color w:val="000000"/>
        </w:rPr>
        <w:t xml:space="preserve"> </w:t>
      </w:r>
    </w:p>
    <w:p w14:paraId="745AA40E" w14:textId="77777777" w:rsidR="0029687B" w:rsidRDefault="0029687B" w:rsidP="0029687B">
      <w:pPr>
        <w:spacing w:line="360" w:lineRule="auto"/>
        <w:ind w:firstLine="709"/>
        <w:jc w:val="both"/>
        <w:rPr>
          <w:color w:val="000000"/>
        </w:rPr>
      </w:pPr>
    </w:p>
    <w:p w14:paraId="0EA4B0DB" w14:textId="47FA9CB5" w:rsidR="00CA361F" w:rsidRPr="00105E72" w:rsidRDefault="00CA361F" w:rsidP="0029687B">
      <w:pPr>
        <w:spacing w:line="360" w:lineRule="auto"/>
        <w:ind w:firstLine="709"/>
        <w:jc w:val="both"/>
        <w:rPr>
          <w:color w:val="000000"/>
        </w:rPr>
      </w:pPr>
      <w:r w:rsidRPr="00105E72">
        <w:rPr>
          <w:color w:val="000000"/>
        </w:rPr>
        <w:t>A </w:t>
      </w:r>
      <w:r w:rsidRPr="00105E72">
        <w:rPr>
          <w:b/>
          <w:bCs/>
          <w:color w:val="000000"/>
        </w:rPr>
        <w:t>coexistência entre a OEA e a CELAC não representa uma redundância desnecessária de organismos regionais, mas sim a manifestação de uma dualidade funcional de modelos de governança: a OEA prevalece como uma arena normativa e jurídica dotada de mecanismos coercitivos, enquanto a CELAC se consolidou como o fórum essencial de diálogo político e resistência à hegemonia externa</w:t>
      </w:r>
      <w:r w:rsidRPr="00105E72">
        <w:rPr>
          <w:color w:val="000000"/>
        </w:rPr>
        <w:t>.</w:t>
      </w:r>
    </w:p>
    <w:p w14:paraId="5F218152" w14:textId="77777777" w:rsidR="00CA361F" w:rsidRPr="00105E72" w:rsidRDefault="00CA361F" w:rsidP="0029687B">
      <w:pPr>
        <w:spacing w:line="360" w:lineRule="auto"/>
        <w:ind w:firstLine="709"/>
        <w:jc w:val="both"/>
        <w:rPr>
          <w:color w:val="000000"/>
        </w:rPr>
      </w:pPr>
      <w:r w:rsidRPr="00105E72">
        <w:rPr>
          <w:color w:val="000000"/>
        </w:rPr>
        <w:t xml:space="preserve">Esta hipótese aprofunda o entendimento da coexistência, argumentando que a irrelevância de um organismo não implica a eliminação do outro. Pelo contrário, a competição funcional sustenta a sobrevivência de ambos. A CELAC, ao oferecer um espaço de diálogo livre dos EUA, exerce uma função </w:t>
      </w:r>
      <w:r w:rsidRPr="00107873">
        <w:rPr>
          <w:color w:val="000000"/>
        </w:rPr>
        <w:t>de legitimação política para governos</w:t>
      </w:r>
      <w:r w:rsidRPr="00105E72">
        <w:rPr>
          <w:color w:val="000000"/>
        </w:rPr>
        <w:t xml:space="preserve"> que buscam autonomia, enquanto a OEA, mesmo sob críticas de seletividade, mantém o monopólio de funções cruciais como a observação eleitoral e a defesa dos Direitos Humanos por meio da CIDH. Assim, a dualidade reflete a complexa política externa latino-americana que oscila entre </w:t>
      </w:r>
      <w:r w:rsidRPr="00107873">
        <w:rPr>
          <w:color w:val="000000"/>
        </w:rPr>
        <w:t>a acomodação pragmática (OEA) e a autonomia ideológica (CELAC).</w:t>
      </w:r>
    </w:p>
    <w:p w14:paraId="2DD29EB9" w14:textId="33608430" w:rsidR="00CA361F" w:rsidRDefault="00CA361F" w:rsidP="00CA361F">
      <w:pPr>
        <w:spacing w:line="360" w:lineRule="auto"/>
        <w:jc w:val="both"/>
        <w:rPr>
          <w:color w:val="000000"/>
        </w:rPr>
      </w:pPr>
    </w:p>
    <w:p w14:paraId="041FD7DB" w14:textId="67707902" w:rsidR="00CA361F" w:rsidRPr="00997E71" w:rsidRDefault="00CA361F" w:rsidP="00997E71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12364380"/>
      <w:r w:rsidRPr="00997E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 MÉTODO DE ABORDAGEM</w:t>
      </w:r>
      <w:bookmarkEnd w:id="31"/>
      <w:r w:rsidRPr="00997E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BD91FF4" w14:textId="50A6413A" w:rsidR="00CA361F" w:rsidRPr="00CA361F" w:rsidRDefault="00CA361F" w:rsidP="00107873">
      <w:pPr>
        <w:spacing w:line="360" w:lineRule="auto"/>
        <w:ind w:firstLine="709"/>
        <w:jc w:val="both"/>
        <w:rPr>
          <w:color w:val="000000"/>
        </w:rPr>
      </w:pPr>
    </w:p>
    <w:p w14:paraId="3C1F99E0" w14:textId="4E24A418" w:rsidR="00CA361F" w:rsidRDefault="00CA361F" w:rsidP="00107873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 metodologia adotada para este trabalho será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07873">
        <w:rPr>
          <w:color w:val="000000"/>
        </w:rPr>
        <w:t>qualitativa, comparativa e exploratória,</w:t>
      </w:r>
      <w:r w:rsidRPr="00CA361F">
        <w:rPr>
          <w:color w:val="000000"/>
        </w:rPr>
        <w:t xml:space="preserve"> combinando análise documental, entrevistas semiestruturadas e, subsequentemente, a rigorosa triangulação de dados. O objetivo central não é a descrição de eventos, mas a busca por uma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07873">
        <w:rPr>
          <w:color w:val="000000"/>
        </w:rPr>
        <w:t>compreensão aprofundada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das dinâmicas institucionais, das narrativas políticas e das percepções de legitimidade que permeiam a disputa pela governança regional entre a OEA e a CELAC. A meta metodológica final é a</w:t>
      </w:r>
      <w:r w:rsidR="00107873">
        <w:rPr>
          <w:color w:val="000000"/>
        </w:rPr>
        <w:t>lcançar</w:t>
      </w:r>
      <w:r w:rsidRPr="00CA361F">
        <w:rPr>
          <w:color w:val="000000"/>
        </w:rPr>
        <w:t xml:space="preserve"> uma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07873">
        <w:rPr>
          <w:color w:val="000000"/>
        </w:rPr>
        <w:t>compreensão aprofundada</w:t>
      </w:r>
      <w:r w:rsidRPr="00107873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da disputa comparando os padrões de comportamento e a legitimidade dos dois modelos.</w:t>
      </w:r>
    </w:p>
    <w:p w14:paraId="0141901B" w14:textId="77777777" w:rsidR="00107873" w:rsidRPr="00CA361F" w:rsidRDefault="00107873" w:rsidP="00107873">
      <w:pPr>
        <w:pStyle w:val="NormalWeb"/>
        <w:spacing w:before="0" w:beforeAutospacing="0" w:after="0" w:afterAutospacing="0" w:line="360" w:lineRule="auto"/>
        <w:jc w:val="both"/>
        <w:rPr>
          <w:color w:val="000000"/>
        </w:rPr>
      </w:pPr>
    </w:p>
    <w:p w14:paraId="235EE9E3" w14:textId="5EF91D6E" w:rsidR="00CA361F" w:rsidRPr="00E7105C" w:rsidRDefault="00CA361F" w:rsidP="00E7105C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2" w:name="_Toc212364381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7.1 Método Comparativo e Variáveis de Estudo</w:t>
      </w:r>
      <w:bookmarkEnd w:id="32"/>
    </w:p>
    <w:p w14:paraId="33D1F10F" w14:textId="77777777" w:rsidR="00107873" w:rsidRPr="00E7105C" w:rsidRDefault="00107873" w:rsidP="00E7105C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3F7632" w14:textId="0EFEE271" w:rsidR="00CA361F" w:rsidRDefault="00CA361F" w:rsidP="00107873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 xml:space="preserve">O método central </w:t>
      </w:r>
      <w:r w:rsidR="00971964">
        <w:rPr>
          <w:color w:val="000000"/>
        </w:rPr>
        <w:t xml:space="preserve">adotado </w:t>
      </w:r>
      <w:r w:rsidRPr="00CA361F">
        <w:rPr>
          <w:color w:val="000000"/>
        </w:rPr>
        <w:t>é 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07873">
        <w:rPr>
          <w:color w:val="000000"/>
        </w:rPr>
        <w:t>Comparação Focada e Estruturada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(</w:t>
      </w:r>
      <w:proofErr w:type="spellStart"/>
      <w:r w:rsidRPr="00CA361F">
        <w:rPr>
          <w:i/>
          <w:iCs/>
          <w:color w:val="000000"/>
        </w:rPr>
        <w:t>Structured</w:t>
      </w:r>
      <w:proofErr w:type="spellEnd"/>
      <w:r w:rsidRPr="00CA361F">
        <w:rPr>
          <w:i/>
          <w:iCs/>
          <w:color w:val="000000"/>
        </w:rPr>
        <w:t xml:space="preserve"> </w:t>
      </w:r>
      <w:proofErr w:type="spellStart"/>
      <w:r w:rsidRPr="00CA361F">
        <w:rPr>
          <w:i/>
          <w:iCs/>
          <w:color w:val="000000"/>
        </w:rPr>
        <w:t>Focused</w:t>
      </w:r>
      <w:proofErr w:type="spellEnd"/>
      <w:r w:rsidRPr="00CA361F">
        <w:rPr>
          <w:i/>
          <w:iCs/>
          <w:color w:val="000000"/>
        </w:rPr>
        <w:t xml:space="preserve"> </w:t>
      </w:r>
      <w:proofErr w:type="spellStart"/>
      <w:r w:rsidRPr="00CA361F">
        <w:rPr>
          <w:i/>
          <w:iCs/>
          <w:color w:val="000000"/>
        </w:rPr>
        <w:t>Comparison</w:t>
      </w:r>
      <w:proofErr w:type="spellEnd"/>
      <w:r w:rsidRPr="00CA361F">
        <w:rPr>
          <w:color w:val="000000"/>
        </w:rPr>
        <w:t xml:space="preserve">), conforme preconizado por </w:t>
      </w:r>
      <w:proofErr w:type="spellStart"/>
      <w:r w:rsidRPr="00CA361F">
        <w:rPr>
          <w:color w:val="000000"/>
        </w:rPr>
        <w:t>Gerring</w:t>
      </w:r>
      <w:proofErr w:type="spellEnd"/>
      <w:r w:rsidRPr="00CA361F">
        <w:rPr>
          <w:color w:val="000000"/>
        </w:rPr>
        <w:t xml:space="preserve"> (2007) e Yin (2018), que prioriza a profundidade contextual dos casos em detrimento da generalização estatística. Este método é ideal para o tema, pois permite o exame minucioso dos mesmos episódios históricos sob o olhar de duas estruturas distintas, identificando contradições de atuação.</w:t>
      </w:r>
    </w:p>
    <w:p w14:paraId="1CA60FA4" w14:textId="77777777" w:rsidR="00CA361F" w:rsidRPr="00CA361F" w:rsidRDefault="00CA361F" w:rsidP="00107873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As hipóteses serão testadas a partir de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três dimensões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principais, que atuam como variáveis de estudo no quadro comparativo:</w:t>
      </w:r>
    </w:p>
    <w:p w14:paraId="29B2D840" w14:textId="6CCA8EA0" w:rsidR="00CA361F" w:rsidRPr="00CA361F" w:rsidRDefault="00CA361F" w:rsidP="00CA361F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Institucionalidade (Estrutura e Ação Formal):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971964">
        <w:rPr>
          <w:color w:val="000000"/>
        </w:rPr>
        <w:t>m</w:t>
      </w:r>
      <w:r w:rsidRPr="00CA361F">
        <w:rPr>
          <w:color w:val="000000"/>
        </w:rPr>
        <w:t>edida pela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aplicação de mecanismos formais (</w:t>
      </w:r>
      <w:r w:rsidRPr="00CA361F">
        <w:rPr>
          <w:color w:val="000000"/>
        </w:rPr>
        <w:t>acionamento da Carta Democrática, suspensões da OEA) e pela eficácia 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ausência institucional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da CELAC como recurso político de consenso.</w:t>
      </w:r>
    </w:p>
    <w:p w14:paraId="4D1EE8A4" w14:textId="5A44D220" w:rsidR="00CA361F" w:rsidRPr="00CA361F" w:rsidRDefault="00CA361F" w:rsidP="00CA361F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Narrativa Política (Legitimidade Discursiva):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971964">
        <w:rPr>
          <w:color w:val="000000"/>
        </w:rPr>
        <w:t>f</w:t>
      </w:r>
      <w:r w:rsidRPr="00CA361F">
        <w:rPr>
          <w:color w:val="000000"/>
        </w:rPr>
        <w:t>oco na capacidade da CELAC de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construir uma narrativa de legitimidade</w:t>
      </w:r>
      <w:r w:rsidRPr="00971964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que desafie a hegemonia da OEA. A análise do discurso revelará o posicionamento ideológico e os limites da autonomia regional.</w:t>
      </w:r>
    </w:p>
    <w:p w14:paraId="60EDD468" w14:textId="1776949F" w:rsidR="00971964" w:rsidRDefault="00CA361F" w:rsidP="006C5FEB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color w:val="000000"/>
        </w:rPr>
      </w:pPr>
      <w:r w:rsidRPr="00971964">
        <w:rPr>
          <w:b/>
          <w:bCs/>
          <w:color w:val="000000"/>
        </w:rPr>
        <w:t>Resultados Práticos (Eficácia e Seletividade):</w:t>
      </w:r>
      <w:r w:rsidRPr="00971964">
        <w:rPr>
          <w:rStyle w:val="apple-converted-space"/>
          <w:rFonts w:eastAsiaTheme="majorEastAsia"/>
          <w:color w:val="000000"/>
        </w:rPr>
        <w:t> </w:t>
      </w:r>
      <w:r w:rsidR="00971964" w:rsidRPr="00971964">
        <w:rPr>
          <w:color w:val="000000"/>
        </w:rPr>
        <w:t>a</w:t>
      </w:r>
      <w:r w:rsidRPr="00971964">
        <w:rPr>
          <w:color w:val="000000"/>
        </w:rPr>
        <w:t xml:space="preserve">valia o impacto das ações de cada organismo no desfecho da crise. </w:t>
      </w:r>
      <w:r w:rsidRPr="00971964">
        <w:rPr>
          <w:b/>
          <w:bCs/>
          <w:color w:val="000000"/>
        </w:rPr>
        <w:t>A</w:t>
      </w:r>
      <w:r w:rsidRPr="00971964">
        <w:rPr>
          <w:rStyle w:val="apple-converted-space"/>
          <w:rFonts w:eastAsiaTheme="majorEastAsia"/>
          <w:b/>
          <w:bCs/>
          <w:color w:val="000000"/>
        </w:rPr>
        <w:t> </w:t>
      </w:r>
      <w:r w:rsidRPr="00971964">
        <w:rPr>
          <w:b/>
          <w:bCs/>
          <w:color w:val="000000"/>
        </w:rPr>
        <w:t>seletividade</w:t>
      </w:r>
      <w:r w:rsidRPr="00971964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(subvariável crítica) será observada ao contrastar posturas em crises similares (</w:t>
      </w:r>
      <w:proofErr w:type="spellStart"/>
      <w:r w:rsidRPr="00971964">
        <w:rPr>
          <w:color w:val="000000"/>
        </w:rPr>
        <w:t>ex</w:t>
      </w:r>
      <w:proofErr w:type="spellEnd"/>
      <w:r w:rsidRPr="00971964">
        <w:rPr>
          <w:color w:val="000000"/>
        </w:rPr>
        <w:t>: Honduras e Paraguai) para testar a tese de instrumentalização pelos Estados Unidos.</w:t>
      </w:r>
    </w:p>
    <w:p w14:paraId="458CC2CD" w14:textId="77777777" w:rsidR="00971964" w:rsidRDefault="00971964" w:rsidP="00971964">
      <w:pPr>
        <w:pStyle w:val="NormalWeb"/>
        <w:spacing w:before="0" w:beforeAutospacing="0" w:line="360" w:lineRule="auto"/>
        <w:ind w:left="720"/>
        <w:jc w:val="both"/>
        <w:rPr>
          <w:b/>
          <w:bCs/>
          <w:color w:val="000000"/>
        </w:rPr>
      </w:pPr>
    </w:p>
    <w:p w14:paraId="33FB85E5" w14:textId="77777777" w:rsidR="00971964" w:rsidRPr="00971964" w:rsidRDefault="00971964" w:rsidP="00971964">
      <w:pPr>
        <w:pStyle w:val="NormalWeb"/>
        <w:spacing w:before="0" w:beforeAutospacing="0" w:line="360" w:lineRule="auto"/>
        <w:ind w:left="720"/>
        <w:jc w:val="both"/>
        <w:rPr>
          <w:color w:val="000000"/>
        </w:rPr>
      </w:pPr>
    </w:p>
    <w:p w14:paraId="7AB20F96" w14:textId="1E18B744" w:rsidR="00CA361F" w:rsidRPr="00E7105C" w:rsidRDefault="00CA361F" w:rsidP="00E7105C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3" w:name="_Toc212364382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7.2 Seleção e Justificativa dos Casos</w:t>
      </w:r>
      <w:bookmarkEnd w:id="33"/>
    </w:p>
    <w:p w14:paraId="0F69D4DB" w14:textId="77777777" w:rsidR="00971964" w:rsidRDefault="00971964" w:rsidP="00E7105C">
      <w:pPr>
        <w:pStyle w:val="NormalWeb"/>
        <w:spacing w:before="0" w:beforeAutospacing="0" w:after="0" w:afterAutospacing="0" w:line="360" w:lineRule="auto"/>
        <w:ind w:firstLine="708"/>
        <w:jc w:val="both"/>
        <w:rPr>
          <w:color w:val="000000"/>
        </w:rPr>
      </w:pPr>
    </w:p>
    <w:p w14:paraId="1C0CDFD6" w14:textId="502DFDAE" w:rsidR="00CA361F" w:rsidRPr="00CA361F" w:rsidRDefault="00CA361F" w:rsidP="00971964">
      <w:pPr>
        <w:pStyle w:val="NormalWeb"/>
        <w:spacing w:before="0" w:beforeAutospacing="0" w:line="360" w:lineRule="auto"/>
        <w:ind w:firstLine="708"/>
        <w:jc w:val="both"/>
        <w:rPr>
          <w:color w:val="000000"/>
        </w:rPr>
      </w:pPr>
      <w:r w:rsidRPr="00971964">
        <w:rPr>
          <w:color w:val="000000"/>
        </w:rPr>
        <w:t>Os</w:t>
      </w:r>
      <w:r w:rsidRPr="00971964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cinco casos críticos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selecionados (Honduras 2009, Paraguai 2012, Nicarágua 2018, Bolívia 2019 e Colômbia 2016+) foram escolhidos por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amostragem intencional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 xml:space="preserve">e pelo critério </w:t>
      </w:r>
      <w:r w:rsidRPr="00971964">
        <w:rPr>
          <w:color w:val="000000"/>
        </w:rPr>
        <w:t>de</w:t>
      </w:r>
      <w:r w:rsidRPr="00971964">
        <w:rPr>
          <w:rStyle w:val="apple-converted-space"/>
          <w:rFonts w:eastAsiaTheme="majorEastAsia"/>
          <w:color w:val="000000"/>
        </w:rPr>
        <w:t> </w:t>
      </w:r>
      <w:r w:rsidRPr="00971964">
        <w:rPr>
          <w:color w:val="000000"/>
        </w:rPr>
        <w:t>presença e contraste simultâneo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de OEA e CELAC.</w:t>
      </w:r>
    </w:p>
    <w:p w14:paraId="34F3CF43" w14:textId="1D63F7B7" w:rsidR="00CA361F" w:rsidRPr="00E7105C" w:rsidRDefault="00971964" w:rsidP="007E3A87">
      <w:pPr>
        <w:pStyle w:val="Ttulo4"/>
        <w:spacing w:before="0" w:after="0"/>
        <w:jc w:val="center"/>
        <w:rPr>
          <w:rFonts w:cs="Times New Roman"/>
          <w:i w:val="0"/>
          <w:iCs w:val="0"/>
          <w:color w:val="000000"/>
        </w:rPr>
      </w:pPr>
      <w:r w:rsidRPr="00E7105C">
        <w:rPr>
          <w:rFonts w:cs="Times New Roman"/>
          <w:b/>
          <w:bCs/>
          <w:i w:val="0"/>
          <w:iCs w:val="0"/>
          <w:color w:val="000000"/>
        </w:rPr>
        <w:t xml:space="preserve">Quadro </w:t>
      </w:r>
      <w:r w:rsidR="00E7105C" w:rsidRPr="00E7105C">
        <w:rPr>
          <w:rFonts w:cs="Times New Roman"/>
          <w:b/>
          <w:bCs/>
          <w:i w:val="0"/>
          <w:iCs w:val="0"/>
          <w:color w:val="000000"/>
        </w:rPr>
        <w:t>1</w:t>
      </w:r>
      <w:r w:rsidRPr="00E7105C">
        <w:rPr>
          <w:rFonts w:cs="Times New Roman"/>
          <w:i w:val="0"/>
          <w:iCs w:val="0"/>
          <w:color w:val="000000"/>
        </w:rPr>
        <w:t xml:space="preserve"> – Casos selecionados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644"/>
        <w:gridCol w:w="7417"/>
      </w:tblGrid>
      <w:tr w:rsidR="00CA361F" w:rsidRPr="00E7105C" w14:paraId="2F8957C1" w14:textId="77777777" w:rsidTr="007E3A87">
        <w:trPr>
          <w:trHeight w:val="585"/>
        </w:trPr>
        <w:tc>
          <w:tcPr>
            <w:tcW w:w="907" w:type="pct"/>
            <w:hideMark/>
          </w:tcPr>
          <w:p w14:paraId="086311DD" w14:textId="5BD29736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sz w:val="20"/>
                <w:szCs w:val="20"/>
              </w:rPr>
              <w:t>Caso(s) / Padrão</w:t>
            </w:r>
            <w:r w:rsidR="007E3A87" w:rsidRPr="00E7105C">
              <w:rPr>
                <w:sz w:val="20"/>
                <w:szCs w:val="20"/>
              </w:rPr>
              <w:t xml:space="preserve"> </w:t>
            </w:r>
          </w:p>
        </w:tc>
        <w:tc>
          <w:tcPr>
            <w:tcW w:w="4093" w:type="pct"/>
            <w:hideMark/>
          </w:tcPr>
          <w:p w14:paraId="5BB0FA90" w14:textId="77777777" w:rsidR="00CA361F" w:rsidRPr="00E7105C" w:rsidRDefault="00CA361F" w:rsidP="007E3A87">
            <w:pPr>
              <w:rPr>
                <w:b/>
                <w:bCs/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Racional Metodológico</w:t>
            </w:r>
          </w:p>
        </w:tc>
      </w:tr>
      <w:tr w:rsidR="00CA361F" w:rsidRPr="00E7105C" w14:paraId="4105A43C" w14:textId="77777777" w:rsidTr="007E3A87">
        <w:trPr>
          <w:trHeight w:val="794"/>
        </w:trPr>
        <w:tc>
          <w:tcPr>
            <w:tcW w:w="907" w:type="pct"/>
            <w:hideMark/>
          </w:tcPr>
          <w:p w14:paraId="42F8611A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Honduras (2009)</w:t>
            </w:r>
          </w:p>
        </w:tc>
        <w:tc>
          <w:tcPr>
            <w:tcW w:w="4093" w:type="pct"/>
            <w:hideMark/>
          </w:tcPr>
          <w:p w14:paraId="4DB2020E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Caso Catalisador: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sz w:val="20"/>
                <w:szCs w:val="20"/>
              </w:rPr>
              <w:t>É o marco que demonstrou a ineficácia da OEA em reverter o golpe apesar da suspensão, impulsionando a CELAC. Testa o limite da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b/>
                <w:bCs/>
                <w:sz w:val="20"/>
                <w:szCs w:val="20"/>
              </w:rPr>
              <w:t>Institucionalidade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sz w:val="20"/>
                <w:szCs w:val="20"/>
              </w:rPr>
              <w:t>da OEA.</w:t>
            </w:r>
          </w:p>
        </w:tc>
      </w:tr>
      <w:tr w:rsidR="00CA361F" w:rsidRPr="00E7105C" w14:paraId="2F256CB6" w14:textId="77777777" w:rsidTr="007E3A87">
        <w:tc>
          <w:tcPr>
            <w:tcW w:w="907" w:type="pct"/>
            <w:hideMark/>
          </w:tcPr>
          <w:p w14:paraId="107A60C6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Paraguai (2012)</w:t>
            </w:r>
          </w:p>
        </w:tc>
        <w:tc>
          <w:tcPr>
            <w:tcW w:w="4093" w:type="pct"/>
            <w:hideMark/>
          </w:tcPr>
          <w:p w14:paraId="41DF50A4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Caso Crítico de Seletividade: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sz w:val="20"/>
                <w:szCs w:val="20"/>
              </w:rPr>
              <w:t>Contrasta diretamente com Honduras. A suspensão rápida de um (Honduras) e a brandura no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i/>
                <w:iCs/>
                <w:sz w:val="20"/>
                <w:szCs w:val="20"/>
              </w:rPr>
              <w:t>impeachment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sz w:val="20"/>
                <w:szCs w:val="20"/>
              </w:rPr>
              <w:t>sumário do outro (Paraguai) são essenciais para testar a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b/>
                <w:bCs/>
                <w:sz w:val="20"/>
                <w:szCs w:val="20"/>
              </w:rPr>
              <w:t>seletividade da OEA</w:t>
            </w:r>
            <w:r w:rsidRPr="00E7105C">
              <w:rPr>
                <w:sz w:val="20"/>
                <w:szCs w:val="20"/>
              </w:rPr>
              <w:t>.</w:t>
            </w:r>
          </w:p>
        </w:tc>
      </w:tr>
      <w:tr w:rsidR="00CA361F" w:rsidRPr="00E7105C" w14:paraId="0F9B697A" w14:textId="77777777" w:rsidTr="007E3A87">
        <w:tc>
          <w:tcPr>
            <w:tcW w:w="907" w:type="pct"/>
            <w:hideMark/>
          </w:tcPr>
          <w:p w14:paraId="49C84062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Bolívia (2019) e Nicarágua (2018)</w:t>
            </w:r>
          </w:p>
        </w:tc>
        <w:tc>
          <w:tcPr>
            <w:tcW w:w="4093" w:type="pct"/>
            <w:hideMark/>
          </w:tcPr>
          <w:p w14:paraId="225AC745" w14:textId="2AEDB329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Casos de Ambiguidade Pós-Hegemônica: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sz w:val="20"/>
                <w:szCs w:val="20"/>
              </w:rPr>
              <w:t>Evidenciam o dilema da CELAC. O contraste entre a condenação da OEA (Nicarágua) ou a denúncia de fraude (Bolívia) e a defesa da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b/>
                <w:bCs/>
                <w:sz w:val="20"/>
                <w:szCs w:val="20"/>
              </w:rPr>
              <w:t xml:space="preserve">Soberania </w:t>
            </w:r>
            <w:r w:rsidRPr="00E7105C">
              <w:rPr>
                <w:sz w:val="20"/>
                <w:szCs w:val="20"/>
              </w:rPr>
              <w:t>pela CELAC expõe o limite entre a defesa ideológica e a eficácia prática.</w:t>
            </w:r>
          </w:p>
        </w:tc>
      </w:tr>
      <w:tr w:rsidR="00CA361F" w:rsidRPr="00E7105C" w14:paraId="71E6D540" w14:textId="77777777" w:rsidTr="007E3A87">
        <w:tc>
          <w:tcPr>
            <w:tcW w:w="907" w:type="pct"/>
            <w:hideMark/>
          </w:tcPr>
          <w:p w14:paraId="582A24C4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Colômbia (2016+)</w:t>
            </w:r>
          </w:p>
        </w:tc>
        <w:tc>
          <w:tcPr>
            <w:tcW w:w="4093" w:type="pct"/>
            <w:hideMark/>
          </w:tcPr>
          <w:p w14:paraId="63D15CED" w14:textId="77777777" w:rsidR="00CA361F" w:rsidRPr="00E7105C" w:rsidRDefault="00CA361F" w:rsidP="007E3A87">
            <w:pPr>
              <w:rPr>
                <w:sz w:val="20"/>
                <w:szCs w:val="20"/>
              </w:rPr>
            </w:pPr>
            <w:r w:rsidRPr="00E7105C">
              <w:rPr>
                <w:b/>
                <w:bCs/>
                <w:sz w:val="20"/>
                <w:szCs w:val="20"/>
              </w:rPr>
              <w:t>Caso de Funções Complementares:</w:t>
            </w:r>
            <w:r w:rsidRPr="00E7105C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r w:rsidRPr="00E7105C">
              <w:rPr>
                <w:sz w:val="20"/>
                <w:szCs w:val="20"/>
              </w:rPr>
              <w:t>Demonstra a atuação da OEA (MAPP) em apoio técnico-normativo e o apoio político da CELAC.</w:t>
            </w:r>
          </w:p>
        </w:tc>
      </w:tr>
    </w:tbl>
    <w:p w14:paraId="42C1EDBE" w14:textId="49A4BC2A" w:rsidR="00CA361F" w:rsidRPr="00E7105C" w:rsidRDefault="007E3A87" w:rsidP="00CA361F">
      <w:pPr>
        <w:pStyle w:val="Ttulo4"/>
        <w:spacing w:before="0"/>
        <w:rPr>
          <w:rFonts w:cs="Times New Roman"/>
          <w:i w:val="0"/>
          <w:iCs w:val="0"/>
          <w:color w:val="000000"/>
          <w:sz w:val="20"/>
          <w:szCs w:val="20"/>
        </w:rPr>
      </w:pPr>
      <w:r w:rsidRPr="00E7105C">
        <w:rPr>
          <w:rFonts w:cs="Times New Roman"/>
          <w:i w:val="0"/>
          <w:iCs w:val="0"/>
          <w:color w:val="000000"/>
          <w:sz w:val="20"/>
          <w:szCs w:val="20"/>
        </w:rPr>
        <w:t>Fonte: Autoria própria (2025)</w:t>
      </w:r>
    </w:p>
    <w:p w14:paraId="7DFCD9DF" w14:textId="77777777" w:rsidR="007E3A87" w:rsidRPr="007E3A87" w:rsidRDefault="007E3A87" w:rsidP="007E3A87"/>
    <w:p w14:paraId="0CB7BFE1" w14:textId="77777777" w:rsidR="00CA361F" w:rsidRPr="00CA361F" w:rsidRDefault="00CA361F" w:rsidP="007E3A87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O projeto justifica a exclusão de casos relevantes, mas logisticamente inviáveis, para manter o foco e o cronograma do Mestrado:</w:t>
      </w:r>
    </w:p>
    <w:p w14:paraId="0048DBC8" w14:textId="494CF946" w:rsidR="00CA361F" w:rsidRPr="00CA361F" w:rsidRDefault="00CA361F" w:rsidP="007E3A87">
      <w:pPr>
        <w:pStyle w:val="NormalWeb"/>
        <w:numPr>
          <w:ilvl w:val="0"/>
          <w:numId w:val="9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Exclusão de Cuba (1962–2014) e Haiti (2010):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7E3A87">
        <w:rPr>
          <w:color w:val="000000"/>
        </w:rPr>
        <w:t>e</w:t>
      </w:r>
      <w:r w:rsidRPr="00CA361F">
        <w:rPr>
          <w:color w:val="000000"/>
        </w:rPr>
        <w:t>mbora o caso Cuba seja crucial para o contraste ideológico e o Haiti seja relevante para a atuação da OEA, ambos foram excluídos devido</w:t>
      </w:r>
      <w:r w:rsidR="003A1A91">
        <w:rPr>
          <w:color w:val="000000"/>
        </w:rPr>
        <w:t xml:space="preserve"> </w:t>
      </w:r>
      <w:r w:rsidRPr="00CA361F">
        <w:rPr>
          <w:color w:val="000000"/>
        </w:rPr>
        <w:t>à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dificuldade na obtenção de fontes primárias recentes</w:t>
      </w:r>
      <w:r w:rsidRPr="007E3A87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e à</w:t>
      </w:r>
      <w:r w:rsidRPr="007E3A87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complexidade de contatos institucionais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em regimes específicos ou em cenários de alta instabilidade política. A prioridade metodológica foi dada a casos em que o acesso aos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atores-chave (diplomatas e políticos)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é mais viável para a coleta de dados primários.</w:t>
      </w:r>
    </w:p>
    <w:p w14:paraId="06242E40" w14:textId="7ED3FB14" w:rsidR="00CA361F" w:rsidRPr="00CA361F" w:rsidRDefault="00CA361F" w:rsidP="00CA361F">
      <w:pPr>
        <w:pStyle w:val="NormalWeb"/>
        <w:numPr>
          <w:ilvl w:val="0"/>
          <w:numId w:val="9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Exclusão de Crise Venezuela (2015 em diante):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7E3A87">
        <w:rPr>
          <w:color w:val="000000"/>
        </w:rPr>
        <w:t>a</w:t>
      </w:r>
      <w:r w:rsidRPr="00CA361F">
        <w:rPr>
          <w:color w:val="000000"/>
        </w:rPr>
        <w:t xml:space="preserve"> crise é excluída por sua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simetria ideológica. O cenário de</w:t>
      </w:r>
      <w:r w:rsidRPr="007E3A87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fragmentação regional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que se seguiu (OEA contra o regime e CELAC dividida) não permitiria a análise 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dualidade estável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que é o foco da pesquisa.</w:t>
      </w:r>
    </w:p>
    <w:p w14:paraId="350EEF45" w14:textId="232177BF" w:rsidR="00CA361F" w:rsidRDefault="00CA361F" w:rsidP="00CA361F">
      <w:pPr>
        <w:pStyle w:val="NormalWeb"/>
        <w:numPr>
          <w:ilvl w:val="0"/>
          <w:numId w:val="9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Exclusão de UNASUL (2008) e Malvinas (1982):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7E3A87">
        <w:rPr>
          <w:color w:val="000000"/>
        </w:rPr>
        <w:t>s</w:t>
      </w:r>
      <w:r w:rsidRPr="00CA361F">
        <w:rPr>
          <w:color w:val="000000"/>
        </w:rPr>
        <w:t xml:space="preserve">ão excluídos </w:t>
      </w:r>
      <w:r w:rsidRPr="007E3A87">
        <w:rPr>
          <w:color w:val="000000"/>
        </w:rPr>
        <w:t>por</w:t>
      </w:r>
      <w:r w:rsidRPr="007E3A87">
        <w:rPr>
          <w:rStyle w:val="apple-converted-space"/>
          <w:rFonts w:eastAsiaTheme="majorEastAsia"/>
          <w:color w:val="000000"/>
        </w:rPr>
        <w:t> </w:t>
      </w:r>
      <w:r w:rsidRPr="007E3A87">
        <w:rPr>
          <w:color w:val="000000"/>
        </w:rPr>
        <w:t>incompatibilidade temporal ou temática.</w:t>
      </w:r>
    </w:p>
    <w:p w14:paraId="280BE63C" w14:textId="77777777" w:rsidR="003A1A91" w:rsidRDefault="003A1A91" w:rsidP="003A1A91">
      <w:pPr>
        <w:pStyle w:val="NormalWeb"/>
        <w:spacing w:before="0" w:beforeAutospacing="0" w:line="360" w:lineRule="auto"/>
        <w:jc w:val="both"/>
        <w:rPr>
          <w:color w:val="000000"/>
        </w:rPr>
      </w:pPr>
    </w:p>
    <w:p w14:paraId="00E25565" w14:textId="77777777" w:rsidR="003A1A91" w:rsidRPr="00CA361F" w:rsidRDefault="003A1A91" w:rsidP="003A1A91">
      <w:pPr>
        <w:pStyle w:val="NormalWeb"/>
        <w:spacing w:before="0" w:beforeAutospacing="0" w:line="360" w:lineRule="auto"/>
        <w:jc w:val="both"/>
        <w:rPr>
          <w:color w:val="000000"/>
        </w:rPr>
      </w:pPr>
    </w:p>
    <w:p w14:paraId="18FDFDC0" w14:textId="7132F148" w:rsidR="00CA361F" w:rsidRPr="00E7105C" w:rsidRDefault="00CA361F" w:rsidP="00E7105C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4" w:name="_Toc212364383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7.3 Pesquisa Documental</w:t>
      </w:r>
      <w:bookmarkEnd w:id="34"/>
    </w:p>
    <w:p w14:paraId="5A532200" w14:textId="77777777" w:rsidR="003A1A91" w:rsidRDefault="003A1A91" w:rsidP="003A1A91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62FC6D93" w14:textId="65ED43E9" w:rsidR="00CA361F" w:rsidRPr="00CA361F" w:rsidRDefault="00CA361F" w:rsidP="003A1A91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 xml:space="preserve">A primeira etapa metodológica será </w:t>
      </w:r>
      <w:r w:rsidRPr="00E7105C">
        <w:rPr>
          <w:color w:val="000000"/>
        </w:rPr>
        <w:t>a</w:t>
      </w:r>
      <w:r w:rsidRPr="00E7105C">
        <w:rPr>
          <w:rStyle w:val="apple-converted-space"/>
          <w:rFonts w:eastAsiaTheme="majorEastAsia"/>
          <w:color w:val="000000"/>
        </w:rPr>
        <w:t> </w:t>
      </w:r>
      <w:r w:rsidRPr="00E7105C">
        <w:rPr>
          <w:color w:val="000000"/>
        </w:rPr>
        <w:t>análise documental.</w:t>
      </w:r>
      <w:r w:rsidRPr="00CA361F">
        <w:rPr>
          <w:color w:val="000000"/>
        </w:rPr>
        <w:t xml:space="preserve"> Os documentos serão tratados como evidências primárias das variáveis de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Institucionalidade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Narrativa Política</w:t>
      </w:r>
      <w:r w:rsidRPr="00CA361F">
        <w:rPr>
          <w:color w:val="000000"/>
        </w:rPr>
        <w:t>. A coleta será focada em:</w:t>
      </w:r>
    </w:p>
    <w:p w14:paraId="09049927" w14:textId="6FBEC4CA" w:rsidR="00CA361F" w:rsidRPr="00CA361F" w:rsidRDefault="00CA361F" w:rsidP="00CA361F">
      <w:pPr>
        <w:pStyle w:val="NormalWeb"/>
        <w:numPr>
          <w:ilvl w:val="0"/>
          <w:numId w:val="10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Documentos Oficiais da OEA: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3A1A91">
        <w:rPr>
          <w:color w:val="000000"/>
        </w:rPr>
        <w:t>r</w:t>
      </w:r>
      <w:r w:rsidRPr="00CA361F">
        <w:rPr>
          <w:color w:val="000000"/>
        </w:rPr>
        <w:t xml:space="preserve">esoluções, </w:t>
      </w:r>
      <w:r w:rsidR="003A1A91">
        <w:rPr>
          <w:color w:val="000000"/>
        </w:rPr>
        <w:t>a</w:t>
      </w:r>
      <w:r w:rsidRPr="00CA361F">
        <w:rPr>
          <w:color w:val="000000"/>
        </w:rPr>
        <w:t xml:space="preserve">tas de </w:t>
      </w:r>
      <w:r w:rsidR="003A1A91">
        <w:rPr>
          <w:color w:val="000000"/>
        </w:rPr>
        <w:t>r</w:t>
      </w:r>
      <w:r w:rsidRPr="00CA361F">
        <w:rPr>
          <w:color w:val="000000"/>
        </w:rPr>
        <w:t>eunião e a aplicação da Carta Democrática Interamericana.</w:t>
      </w:r>
    </w:p>
    <w:p w14:paraId="107428E4" w14:textId="352DC5E5" w:rsidR="00CA361F" w:rsidRPr="00CA361F" w:rsidRDefault="00CA361F" w:rsidP="00CA361F">
      <w:pPr>
        <w:pStyle w:val="NormalWeb"/>
        <w:numPr>
          <w:ilvl w:val="0"/>
          <w:numId w:val="10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Relatórios da CIDH: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3A1A91">
        <w:rPr>
          <w:color w:val="000000"/>
        </w:rPr>
        <w:t>e</w:t>
      </w:r>
      <w:r w:rsidRPr="00CA361F">
        <w:rPr>
          <w:color w:val="000000"/>
        </w:rPr>
        <w:t>ssenciais para avaliar a dimensão de direitos humanos e a seletividade da OEA.</w:t>
      </w:r>
    </w:p>
    <w:p w14:paraId="53515D63" w14:textId="0229EE20" w:rsidR="00CA361F" w:rsidRPr="00CA361F" w:rsidRDefault="00CA361F" w:rsidP="00CA361F">
      <w:pPr>
        <w:pStyle w:val="NormalWeb"/>
        <w:numPr>
          <w:ilvl w:val="0"/>
          <w:numId w:val="10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Documentos da CELAC: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3A1A91">
        <w:rPr>
          <w:color w:val="000000"/>
        </w:rPr>
        <w:t>d</w:t>
      </w:r>
      <w:r w:rsidRPr="00CA361F">
        <w:rPr>
          <w:color w:val="000000"/>
        </w:rPr>
        <w:t>eclarações e comunicados de cúpula, disponíveis em portais oficiais.</w:t>
      </w:r>
    </w:p>
    <w:p w14:paraId="73787F65" w14:textId="429A1B9D" w:rsidR="00CA361F" w:rsidRPr="00CA361F" w:rsidRDefault="00CA361F" w:rsidP="00CA361F">
      <w:pPr>
        <w:pStyle w:val="NormalWeb"/>
        <w:numPr>
          <w:ilvl w:val="0"/>
          <w:numId w:val="10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Fontes Secundárias: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="003A1A91">
        <w:rPr>
          <w:color w:val="000000"/>
        </w:rPr>
        <w:t>a</w:t>
      </w:r>
      <w:r w:rsidRPr="00CA361F">
        <w:rPr>
          <w:color w:val="000000"/>
        </w:rPr>
        <w:t xml:space="preserve">rtigos acadêmicos e reportagens para contextualizar </w:t>
      </w:r>
      <w:r w:rsidRPr="003A1A91">
        <w:rPr>
          <w:color w:val="000000"/>
        </w:rPr>
        <w:t>a</w:t>
      </w:r>
      <w:r w:rsidRPr="003A1A91">
        <w:rPr>
          <w:rStyle w:val="apple-converted-space"/>
          <w:rFonts w:eastAsiaTheme="majorEastAsia"/>
          <w:color w:val="000000"/>
        </w:rPr>
        <w:t> </w:t>
      </w:r>
      <w:r w:rsidRPr="003A1A91">
        <w:rPr>
          <w:color w:val="000000"/>
        </w:rPr>
        <w:t>percepção de legitimidade.</w:t>
      </w:r>
    </w:p>
    <w:p w14:paraId="70BC3D20" w14:textId="77777777" w:rsidR="00CA361F" w:rsidRDefault="00CA361F" w:rsidP="00E7105C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Todos os documentos serão sistematizados em um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3A1A91">
        <w:rPr>
          <w:color w:val="000000"/>
        </w:rPr>
        <w:t>banco de dados textual</w:t>
      </w:r>
      <w:r w:rsidRPr="00CA361F">
        <w:rPr>
          <w:color w:val="000000"/>
        </w:rPr>
        <w:t>, organizado cronologicamente por caso, para facilitar a codificação.</w:t>
      </w:r>
    </w:p>
    <w:p w14:paraId="64A4C1BB" w14:textId="77777777" w:rsidR="00E7105C" w:rsidRDefault="00E7105C" w:rsidP="00E7105C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0081E300" w14:textId="44D9C735" w:rsidR="00CA361F" w:rsidRPr="00E7105C" w:rsidRDefault="00CA361F" w:rsidP="00E7105C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212364384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7.4 Entrevistas </w:t>
      </w:r>
      <w:r w:rsidR="00E7105C"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emiestruturadas</w:t>
      </w:r>
      <w:bookmarkEnd w:id="35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C48F9A3" w14:textId="77777777" w:rsidR="003A1A91" w:rsidRPr="003A1A91" w:rsidRDefault="003A1A91" w:rsidP="003A1A91"/>
    <w:p w14:paraId="11EE198C" w14:textId="3DF450D2" w:rsidR="00CA361F" w:rsidRPr="00CA361F" w:rsidRDefault="00CA361F" w:rsidP="003A1A91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 segunda etapa emprega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3A1A91">
        <w:rPr>
          <w:color w:val="000000"/>
        </w:rPr>
        <w:t>entrevistas semiestruturadas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com atores-chave,</w:t>
      </w:r>
      <w:r w:rsidR="001B73C9">
        <w:rPr>
          <w:color w:val="000000"/>
        </w:rPr>
        <w:t xml:space="preserve"> com o objetivo de</w:t>
      </w:r>
      <w:r w:rsidRPr="00CA361F">
        <w:rPr>
          <w:color w:val="000000"/>
        </w:rPr>
        <w:t xml:space="preserve"> validar as narrativas e captar a percepção de eficácia e seletividade.</w:t>
      </w:r>
    </w:p>
    <w:p w14:paraId="7656B938" w14:textId="0EBCD1AD" w:rsidR="00CA361F" w:rsidRPr="00CA361F" w:rsidRDefault="00CA361F" w:rsidP="003A1A91">
      <w:pPr>
        <w:pStyle w:val="NormalWeb"/>
        <w:spacing w:before="0" w:beforeAutospacing="0" w:line="360" w:lineRule="auto"/>
        <w:ind w:firstLine="708"/>
        <w:jc w:val="both"/>
        <w:rPr>
          <w:color w:val="000000"/>
        </w:rPr>
      </w:pPr>
      <w:r w:rsidRPr="00CA361F">
        <w:rPr>
          <w:color w:val="000000"/>
        </w:rPr>
        <w:t xml:space="preserve">A viabilidade da coleta de dados primários </w:t>
      </w:r>
      <w:r w:rsidR="001B73C9">
        <w:rPr>
          <w:color w:val="000000"/>
        </w:rPr>
        <w:t>está</w:t>
      </w:r>
      <w:r w:rsidRPr="00CA361F">
        <w:rPr>
          <w:color w:val="000000"/>
        </w:rPr>
        <w:t xml:space="preserve"> assegurada pela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3A1A91">
        <w:rPr>
          <w:color w:val="000000"/>
        </w:rPr>
        <w:t>rede de contatos já estabelecida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 xml:space="preserve">pelo proponente. A prioridade será dada aos seguintes grupos de entrevistados, </w:t>
      </w:r>
      <w:r w:rsidR="001B73C9">
        <w:rPr>
          <w:color w:val="000000"/>
        </w:rPr>
        <w:t xml:space="preserve">para os quais serão formalizados </w:t>
      </w:r>
      <w:r w:rsidRPr="00CA361F">
        <w:rPr>
          <w:color w:val="000000"/>
        </w:rPr>
        <w:t>pré-contatos:</w:t>
      </w:r>
    </w:p>
    <w:p w14:paraId="780C88DF" w14:textId="77777777" w:rsidR="00CA361F" w:rsidRPr="00CA361F" w:rsidRDefault="00CA361F" w:rsidP="00CA361F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Diplomatas e Ex-Ministros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envolvidos nas negociações dos casos (Honduras, Paraguai, Bolívia, Nicarágua).</w:t>
      </w:r>
    </w:p>
    <w:p w14:paraId="13EBCE46" w14:textId="77777777" w:rsidR="00CA361F" w:rsidRPr="00CA361F" w:rsidRDefault="00CA361F" w:rsidP="00CA361F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Representantes de Organismos Internacionais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(OEA, CELAC, ONU).</w:t>
      </w:r>
    </w:p>
    <w:p w14:paraId="5854FF43" w14:textId="77777777" w:rsidR="00CA361F" w:rsidRPr="00CA361F" w:rsidRDefault="00CA361F" w:rsidP="00CA361F">
      <w:pPr>
        <w:pStyle w:val="NormalWeb"/>
        <w:numPr>
          <w:ilvl w:val="0"/>
          <w:numId w:val="11"/>
        </w:numPr>
        <w:spacing w:before="0" w:beforeAutospacing="0" w:line="360" w:lineRule="auto"/>
        <w:jc w:val="both"/>
        <w:rPr>
          <w:color w:val="000000"/>
        </w:rPr>
      </w:pPr>
      <w:r w:rsidRPr="00CA361F">
        <w:rPr>
          <w:b/>
          <w:bCs/>
          <w:color w:val="000000"/>
        </w:rPr>
        <w:t>Acadêmicos e Analistas especializados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(Grupo de Validação).</w:t>
      </w:r>
    </w:p>
    <w:p w14:paraId="4FD19125" w14:textId="4871F811" w:rsidR="00CA361F" w:rsidRPr="001B73C9" w:rsidRDefault="00CA361F" w:rsidP="001B73C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1B73C9">
        <w:rPr>
          <w:color w:val="000000"/>
        </w:rPr>
        <w:t>O roteiro de entrevistas será estruturado para co</w:t>
      </w:r>
      <w:r w:rsidR="001B73C9">
        <w:rPr>
          <w:color w:val="000000"/>
        </w:rPr>
        <w:t>ntemplar</w:t>
      </w:r>
      <w:r w:rsidRPr="001B73C9">
        <w:rPr>
          <w:color w:val="000000"/>
        </w:rPr>
        <w:t xml:space="preserve"> as percepções sobre a</w:t>
      </w:r>
      <w:r w:rsidRPr="001B73C9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legitimidade, a eficácia e a seletividade</w:t>
      </w:r>
      <w:r w:rsidRPr="001B73C9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da atuação d</w:t>
      </w:r>
      <w:r w:rsidR="001B73C9">
        <w:rPr>
          <w:color w:val="000000"/>
        </w:rPr>
        <w:t>a</w:t>
      </w:r>
      <w:r w:rsidRPr="001B73C9">
        <w:rPr>
          <w:color w:val="000000"/>
        </w:rPr>
        <w:t xml:space="preserve"> OEA e CELAC em cada caso.</w:t>
      </w:r>
    </w:p>
    <w:p w14:paraId="24DEE288" w14:textId="151937C0" w:rsidR="001B73C9" w:rsidRDefault="001B73C9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35BA102F" w14:textId="6AA80CEA" w:rsidR="00CA361F" w:rsidRPr="00E7105C" w:rsidRDefault="00CA361F" w:rsidP="00E7105C">
      <w:pPr>
        <w:pStyle w:val="Ttulo2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Toc212364385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7.5 Procedimentos de Análise</w:t>
      </w:r>
      <w:bookmarkEnd w:id="36"/>
    </w:p>
    <w:p w14:paraId="19E8DAA9" w14:textId="77777777" w:rsidR="001B73C9" w:rsidRDefault="001B73C9" w:rsidP="001B73C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3E0BA973" w14:textId="3958ACC5" w:rsidR="00CA361F" w:rsidRPr="00CA361F" w:rsidRDefault="00CA361F" w:rsidP="001B73C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Os dados serão analisados por meio de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triangulação metodológica</w:t>
      </w:r>
      <w:r w:rsidRPr="00CA361F">
        <w:rPr>
          <w:color w:val="000000"/>
        </w:rPr>
        <w:t>, cruzando a análise documental e a codificação das entrevistas.</w:t>
      </w:r>
    </w:p>
    <w:p w14:paraId="56171154" w14:textId="77777777" w:rsidR="00CA361F" w:rsidRPr="00CA361F" w:rsidRDefault="00CA361F" w:rsidP="001B73C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Narrativa Política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será analisada por uma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Análise de Conteúdo Qualitativa (ACQ),</w:t>
      </w:r>
      <w:r w:rsidRPr="00CA361F">
        <w:rPr>
          <w:color w:val="000000"/>
        </w:rPr>
        <w:t xml:space="preserve"> buscando a frequência, a polarização e o contexto de uso dos termos.</w:t>
      </w:r>
    </w:p>
    <w:p w14:paraId="4E00A526" w14:textId="3832B209" w:rsidR="00CA361F" w:rsidRDefault="00CA361F" w:rsidP="001B73C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>O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Dicionário de Dados Qualitativo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guiará a codificação dos textos, com foco em: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NV-NI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(Não-Intervenção),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NV-SOB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(Soberania) e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b/>
          <w:bCs/>
          <w:color w:val="000000"/>
        </w:rPr>
        <w:t>NV-AUT</w:t>
      </w:r>
      <w:r w:rsidRPr="00CA361F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(Autodeterminação). A exclusão de termos comuns ("Paz" e "Cooperação") justifica</w:t>
      </w:r>
      <w:r w:rsidR="001B73C9">
        <w:rPr>
          <w:color w:val="000000"/>
        </w:rPr>
        <w:t>-se</w:t>
      </w:r>
      <w:r w:rsidRPr="00CA361F">
        <w:rPr>
          <w:color w:val="000000"/>
        </w:rPr>
        <w:t xml:space="preserve"> por </w:t>
      </w:r>
      <w:r w:rsidRPr="001B73C9">
        <w:rPr>
          <w:color w:val="000000"/>
        </w:rPr>
        <w:t>sua</w:t>
      </w:r>
      <w:r w:rsidRPr="001B73C9">
        <w:rPr>
          <w:rStyle w:val="apple-converted-space"/>
          <w:rFonts w:eastAsiaTheme="majorEastAsia"/>
          <w:color w:val="000000"/>
        </w:rPr>
        <w:t> </w:t>
      </w:r>
      <w:r w:rsidRPr="001B73C9">
        <w:rPr>
          <w:color w:val="000000"/>
        </w:rPr>
        <w:t>baixa capacidade de diferenciação polarizadora</w:t>
      </w:r>
      <w:r w:rsidRPr="00CA361F">
        <w:rPr>
          <w:color w:val="000000"/>
        </w:rPr>
        <w:t>. A codificação concentra</w:t>
      </w:r>
      <w:r w:rsidR="001B73C9">
        <w:rPr>
          <w:color w:val="000000"/>
        </w:rPr>
        <w:t>-se</w:t>
      </w:r>
      <w:r w:rsidRPr="00CA361F">
        <w:rPr>
          <w:color w:val="000000"/>
        </w:rPr>
        <w:t xml:space="preserve"> nos termos que revelam </w:t>
      </w:r>
      <w:r w:rsidR="001B73C9">
        <w:rPr>
          <w:color w:val="000000"/>
        </w:rPr>
        <w:t xml:space="preserve">a </w:t>
      </w:r>
      <w:r w:rsidRPr="001B73C9">
        <w:rPr>
          <w:color w:val="000000"/>
        </w:rPr>
        <w:t>ruptura ideológica.</w:t>
      </w:r>
    </w:p>
    <w:p w14:paraId="647F3E4D" w14:textId="77777777" w:rsidR="001B73C9" w:rsidRPr="001B73C9" w:rsidRDefault="001B73C9" w:rsidP="001B73C9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04E09C75" w14:textId="77777777" w:rsidR="00CA361F" w:rsidRPr="00BE18E0" w:rsidRDefault="00CA361F" w:rsidP="00CA361F">
      <w:pPr>
        <w:spacing w:line="360" w:lineRule="auto"/>
        <w:jc w:val="both"/>
        <w:outlineLvl w:val="3"/>
        <w:rPr>
          <w:b/>
          <w:bCs/>
          <w:color w:val="000000"/>
        </w:rPr>
      </w:pPr>
      <w:r w:rsidRPr="00BE18E0">
        <w:rPr>
          <w:b/>
          <w:bCs/>
          <w:color w:val="000000"/>
        </w:rPr>
        <w:t>Validade e ética</w:t>
      </w:r>
    </w:p>
    <w:p w14:paraId="37DEF192" w14:textId="6266841E" w:rsidR="00CA361F" w:rsidRPr="00BE18E0" w:rsidRDefault="00CA361F" w:rsidP="00CA361F">
      <w:pPr>
        <w:numPr>
          <w:ilvl w:val="0"/>
          <w:numId w:val="12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O roteiro será testado em entrevistas</w:t>
      </w:r>
      <w:r w:rsidR="00752B74">
        <w:rPr>
          <w:color w:val="000000"/>
        </w:rPr>
        <w:t>-</w:t>
      </w:r>
      <w:r w:rsidRPr="00BE18E0">
        <w:rPr>
          <w:color w:val="000000"/>
        </w:rPr>
        <w:t>piloto.</w:t>
      </w:r>
    </w:p>
    <w:p w14:paraId="7EE6494C" w14:textId="77777777" w:rsidR="00CA361F" w:rsidRPr="00BE18E0" w:rsidRDefault="00CA361F" w:rsidP="00CA361F">
      <w:pPr>
        <w:numPr>
          <w:ilvl w:val="0"/>
          <w:numId w:val="12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Todos os entrevistados serão informados sobre objetivo acadêmico.</w:t>
      </w:r>
    </w:p>
    <w:p w14:paraId="6396F1F3" w14:textId="77777777" w:rsidR="00CA361F" w:rsidRDefault="00CA361F" w:rsidP="00CA361F">
      <w:pPr>
        <w:numPr>
          <w:ilvl w:val="0"/>
          <w:numId w:val="12"/>
        </w:numPr>
        <w:spacing w:line="360" w:lineRule="auto"/>
        <w:ind w:left="714" w:hanging="357"/>
        <w:jc w:val="both"/>
        <w:rPr>
          <w:color w:val="000000"/>
        </w:rPr>
      </w:pPr>
      <w:r w:rsidRPr="00BE18E0">
        <w:rPr>
          <w:color w:val="000000"/>
        </w:rPr>
        <w:t>A confidencialidade será assegurada quando solicitada.</w:t>
      </w:r>
    </w:p>
    <w:p w14:paraId="7132C36F" w14:textId="77777777" w:rsidR="00752B74" w:rsidRPr="00BE18E0" w:rsidRDefault="00752B74" w:rsidP="00752B74">
      <w:pPr>
        <w:spacing w:line="360" w:lineRule="auto"/>
        <w:ind w:left="714"/>
        <w:jc w:val="both"/>
        <w:rPr>
          <w:color w:val="000000"/>
        </w:rPr>
      </w:pPr>
    </w:p>
    <w:p w14:paraId="30CCF588" w14:textId="77777777" w:rsidR="00CA361F" w:rsidRPr="00BE18E0" w:rsidRDefault="00CA361F" w:rsidP="00CA361F">
      <w:pPr>
        <w:spacing w:line="360" w:lineRule="auto"/>
        <w:jc w:val="both"/>
        <w:outlineLvl w:val="3"/>
        <w:rPr>
          <w:b/>
          <w:bCs/>
          <w:color w:val="000000"/>
        </w:rPr>
      </w:pPr>
      <w:r w:rsidRPr="00BE18E0">
        <w:rPr>
          <w:b/>
          <w:bCs/>
          <w:color w:val="000000"/>
        </w:rPr>
        <w:t>Procedimentos de registro</w:t>
      </w:r>
    </w:p>
    <w:p w14:paraId="41F43EB8" w14:textId="77777777" w:rsidR="00CA361F" w:rsidRPr="00BE18E0" w:rsidRDefault="00CA361F" w:rsidP="00CA361F">
      <w:pPr>
        <w:numPr>
          <w:ilvl w:val="0"/>
          <w:numId w:val="13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As entrevistas serão gravadas com autorização.</w:t>
      </w:r>
    </w:p>
    <w:p w14:paraId="5216EA4A" w14:textId="77777777" w:rsidR="00CA361F" w:rsidRDefault="00CA361F" w:rsidP="00CA361F">
      <w:pPr>
        <w:numPr>
          <w:ilvl w:val="0"/>
          <w:numId w:val="13"/>
        </w:numPr>
        <w:spacing w:line="360" w:lineRule="auto"/>
        <w:jc w:val="both"/>
        <w:rPr>
          <w:color w:val="000000"/>
        </w:rPr>
      </w:pPr>
      <w:r w:rsidRPr="00BE18E0">
        <w:rPr>
          <w:color w:val="000000"/>
        </w:rPr>
        <w:t>Serão transcritas integralmente e armazenadas em software de análise qualitativa</w:t>
      </w:r>
      <w:r>
        <w:rPr>
          <w:color w:val="000000"/>
        </w:rPr>
        <w:t>.</w:t>
      </w:r>
    </w:p>
    <w:p w14:paraId="62FD69D4" w14:textId="77777777" w:rsidR="00D916C7" w:rsidRPr="00BE18E0" w:rsidRDefault="00D916C7" w:rsidP="00D916C7">
      <w:pPr>
        <w:spacing w:line="360" w:lineRule="auto"/>
        <w:ind w:left="720"/>
        <w:jc w:val="both"/>
        <w:rPr>
          <w:color w:val="000000"/>
        </w:rPr>
      </w:pPr>
    </w:p>
    <w:p w14:paraId="09CC7049" w14:textId="62E2CE97" w:rsidR="00CA361F" w:rsidRDefault="00CA361F" w:rsidP="00E7105C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7" w:name="_Toc212364386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7.6 Limitações Metodológicas</w:t>
      </w:r>
      <w:bookmarkEnd w:id="37"/>
    </w:p>
    <w:p w14:paraId="0A57B61D" w14:textId="77777777" w:rsidR="00E7105C" w:rsidRPr="00E7105C" w:rsidRDefault="00E7105C" w:rsidP="00E7105C"/>
    <w:p w14:paraId="02FC4CF5" w14:textId="2C4C8278" w:rsidR="00CA361F" w:rsidRDefault="00CA361F" w:rsidP="00752B74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CA361F">
        <w:rPr>
          <w:color w:val="000000"/>
        </w:rPr>
        <w:t xml:space="preserve">As principais limitações são </w:t>
      </w:r>
      <w:r w:rsidRPr="00752B74">
        <w:rPr>
          <w:color w:val="000000"/>
        </w:rPr>
        <w:t>a</w:t>
      </w:r>
      <w:r w:rsidRPr="00752B74">
        <w:rPr>
          <w:rStyle w:val="apple-converted-space"/>
          <w:rFonts w:eastAsiaTheme="majorEastAsia"/>
          <w:color w:val="000000"/>
        </w:rPr>
        <w:t> </w:t>
      </w:r>
      <w:r w:rsidR="00752B74">
        <w:rPr>
          <w:color w:val="000000"/>
        </w:rPr>
        <w:t>f</w:t>
      </w:r>
      <w:r w:rsidRPr="00752B74">
        <w:rPr>
          <w:color w:val="000000"/>
        </w:rPr>
        <w:t xml:space="preserve">ragilidade </w:t>
      </w:r>
      <w:r w:rsidR="00752B74">
        <w:rPr>
          <w:color w:val="000000"/>
        </w:rPr>
        <w:t>d</w:t>
      </w:r>
      <w:r w:rsidRPr="00752B74">
        <w:rPr>
          <w:color w:val="000000"/>
        </w:rPr>
        <w:t>ocumental da CELAC</w:t>
      </w:r>
      <w:r w:rsidRPr="00752B74">
        <w:rPr>
          <w:rStyle w:val="apple-converted-space"/>
          <w:rFonts w:eastAsiaTheme="majorEastAsia"/>
          <w:color w:val="000000"/>
        </w:rPr>
        <w:t> </w:t>
      </w:r>
      <w:r w:rsidRPr="00752B74">
        <w:rPr>
          <w:color w:val="000000"/>
        </w:rPr>
        <w:t>(dada a ausência de secretariado) e o</w:t>
      </w:r>
      <w:r w:rsidRPr="00752B74">
        <w:rPr>
          <w:rStyle w:val="apple-converted-space"/>
          <w:rFonts w:eastAsiaTheme="majorEastAsia"/>
          <w:color w:val="000000"/>
        </w:rPr>
        <w:t> </w:t>
      </w:r>
      <w:r w:rsidR="00752B74">
        <w:rPr>
          <w:color w:val="000000"/>
        </w:rPr>
        <w:t>v</w:t>
      </w:r>
      <w:r w:rsidRPr="00752B74">
        <w:rPr>
          <w:color w:val="000000"/>
        </w:rPr>
        <w:t xml:space="preserve">iés de </w:t>
      </w:r>
      <w:r w:rsidR="00752B74">
        <w:rPr>
          <w:color w:val="000000"/>
        </w:rPr>
        <w:t>s</w:t>
      </w:r>
      <w:r w:rsidRPr="00752B74">
        <w:rPr>
          <w:color w:val="000000"/>
        </w:rPr>
        <w:t xml:space="preserve">eletividade em </w:t>
      </w:r>
      <w:r w:rsidR="00752B74">
        <w:rPr>
          <w:color w:val="000000"/>
        </w:rPr>
        <w:t>e</w:t>
      </w:r>
      <w:r w:rsidRPr="00752B74">
        <w:rPr>
          <w:color w:val="000000"/>
        </w:rPr>
        <w:t>ntrevistas</w:t>
      </w:r>
      <w:r w:rsidRPr="00752B74">
        <w:rPr>
          <w:rStyle w:val="apple-converted-space"/>
          <w:rFonts w:eastAsiaTheme="majorEastAsia"/>
          <w:color w:val="000000"/>
        </w:rPr>
        <w:t> </w:t>
      </w:r>
      <w:r w:rsidRPr="00752B74">
        <w:rPr>
          <w:color w:val="000000"/>
        </w:rPr>
        <w:t xml:space="preserve">(relatos parciais). A mitigação será </w:t>
      </w:r>
      <w:r w:rsidR="00752B74">
        <w:rPr>
          <w:color w:val="000000"/>
        </w:rPr>
        <w:t>conduzida</w:t>
      </w:r>
      <w:r w:rsidRPr="00752B74">
        <w:rPr>
          <w:color w:val="000000"/>
        </w:rPr>
        <w:t xml:space="preserve"> </w:t>
      </w:r>
      <w:r w:rsidR="00752B74">
        <w:rPr>
          <w:color w:val="000000"/>
        </w:rPr>
        <w:t>por meio</w:t>
      </w:r>
      <w:r w:rsidRPr="00752B74">
        <w:rPr>
          <w:color w:val="000000"/>
        </w:rPr>
        <w:t xml:space="preserve"> da</w:t>
      </w:r>
      <w:r w:rsidRPr="00752B74">
        <w:rPr>
          <w:rStyle w:val="apple-converted-space"/>
          <w:rFonts w:eastAsiaTheme="majorEastAsia"/>
          <w:color w:val="000000"/>
        </w:rPr>
        <w:t> </w:t>
      </w:r>
      <w:r w:rsidRPr="00752B74">
        <w:rPr>
          <w:color w:val="000000"/>
        </w:rPr>
        <w:t>triangulação de fontes</w:t>
      </w:r>
      <w:r w:rsidRPr="00752B74">
        <w:rPr>
          <w:rStyle w:val="apple-converted-space"/>
          <w:rFonts w:eastAsiaTheme="majorEastAsia"/>
          <w:color w:val="000000"/>
        </w:rPr>
        <w:t> </w:t>
      </w:r>
      <w:r w:rsidRPr="00CA361F">
        <w:rPr>
          <w:color w:val="000000"/>
        </w:rPr>
        <w:t>e da busca de entrevistados alternativos.</w:t>
      </w:r>
    </w:p>
    <w:p w14:paraId="5F9E87A8" w14:textId="77777777" w:rsidR="00752B74" w:rsidRPr="00CA361F" w:rsidRDefault="00752B74" w:rsidP="00752B74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4B9729B8" w14:textId="49545A02" w:rsidR="00CA361F" w:rsidRPr="00E7105C" w:rsidRDefault="00752B74" w:rsidP="00117789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8" w:name="_Toc212364387"/>
      <w:r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 </w:t>
      </w:r>
      <w:r w:rsidR="00CA361F" w:rsidRPr="00E7105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CRONOGRAMA DE PESQUISA (12 Meses)</w:t>
      </w:r>
      <w:bookmarkEnd w:id="38"/>
    </w:p>
    <w:p w14:paraId="09ABCD52" w14:textId="77777777" w:rsidR="00752B74" w:rsidRDefault="00752B74" w:rsidP="00752B74">
      <w:pPr>
        <w:pStyle w:val="NormalWeb"/>
        <w:spacing w:before="0" w:beforeAutospacing="0" w:after="0" w:afterAutospacing="0" w:line="360" w:lineRule="auto"/>
        <w:ind w:firstLine="709"/>
        <w:rPr>
          <w:color w:val="000000"/>
        </w:rPr>
      </w:pPr>
    </w:p>
    <w:p w14:paraId="0128586E" w14:textId="652E9279" w:rsidR="00CA361F" w:rsidRDefault="00CA361F" w:rsidP="00752B74">
      <w:pPr>
        <w:pStyle w:val="NormalWeb"/>
        <w:spacing w:before="0" w:beforeAutospacing="0" w:after="0" w:afterAutospacing="0" w:line="360" w:lineRule="auto"/>
        <w:ind w:firstLine="709"/>
        <w:rPr>
          <w:color w:val="000000"/>
        </w:rPr>
      </w:pPr>
      <w:r w:rsidRPr="00CA361F">
        <w:rPr>
          <w:color w:val="000000"/>
        </w:rPr>
        <w:t xml:space="preserve">A pesquisa está organizada em seis </w:t>
      </w:r>
      <w:r w:rsidR="00D916C7" w:rsidRPr="00CA361F">
        <w:rPr>
          <w:color w:val="000000"/>
        </w:rPr>
        <w:t>macroetapas</w:t>
      </w:r>
      <w:r w:rsidRPr="00CA361F">
        <w:rPr>
          <w:color w:val="000000"/>
        </w:rPr>
        <w:t xml:space="preserve">, distribuídas </w:t>
      </w:r>
      <w:r w:rsidR="00752B74">
        <w:rPr>
          <w:color w:val="000000"/>
        </w:rPr>
        <w:t xml:space="preserve">ao longo de </w:t>
      </w:r>
      <w:r w:rsidR="00752B74" w:rsidRPr="00CA361F">
        <w:rPr>
          <w:color w:val="000000"/>
        </w:rPr>
        <w:t>12</w:t>
      </w:r>
      <w:r w:rsidRPr="00CA361F">
        <w:rPr>
          <w:color w:val="000000"/>
        </w:rPr>
        <w:t xml:space="preserve"> meses, </w:t>
      </w:r>
      <w:r w:rsidR="00752B74">
        <w:rPr>
          <w:color w:val="000000"/>
        </w:rPr>
        <w:t>o que garante</w:t>
      </w:r>
      <w:r w:rsidRPr="00CA361F">
        <w:rPr>
          <w:color w:val="000000"/>
        </w:rPr>
        <w:t xml:space="preserve"> a viabilidade do projeto no prazo regulamentar do Mestrado</w:t>
      </w:r>
      <w:r w:rsidR="00752B74">
        <w:rPr>
          <w:color w:val="000000"/>
        </w:rPr>
        <w:t>.</w:t>
      </w:r>
    </w:p>
    <w:p w14:paraId="51878395" w14:textId="77777777" w:rsidR="00752B74" w:rsidRDefault="00752B74" w:rsidP="00752B74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439379A7" w14:textId="77777777" w:rsidR="00752B74" w:rsidRDefault="00752B74" w:rsidP="00752B74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4F3E7702" w14:textId="77777777" w:rsidR="00752B74" w:rsidRDefault="00752B74" w:rsidP="00752B74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014E6B08" w14:textId="77777777" w:rsidR="00752B74" w:rsidRDefault="00752B74" w:rsidP="00752B74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421358CC" w14:textId="77777777" w:rsidR="00752B74" w:rsidRDefault="00752B74" w:rsidP="00752B74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7A0C638D" w14:textId="7665CE21" w:rsidR="00752B74" w:rsidRPr="00CA361F" w:rsidRDefault="00752B74" w:rsidP="00117789">
      <w:pPr>
        <w:pStyle w:val="NormalWeb"/>
        <w:spacing w:before="0" w:beforeAutospacing="0" w:after="0" w:afterAutospacing="0" w:line="360" w:lineRule="auto"/>
        <w:jc w:val="center"/>
        <w:rPr>
          <w:color w:val="000000"/>
        </w:rPr>
      </w:pPr>
      <w:r w:rsidRPr="00117789">
        <w:rPr>
          <w:b/>
          <w:bCs/>
          <w:color w:val="000000"/>
        </w:rPr>
        <w:t xml:space="preserve">Quadro </w:t>
      </w:r>
      <w:r w:rsidR="00117789" w:rsidRPr="00117789">
        <w:rPr>
          <w:b/>
          <w:bCs/>
          <w:color w:val="000000"/>
        </w:rPr>
        <w:t xml:space="preserve">2 </w:t>
      </w:r>
      <w:r w:rsidRPr="00117789">
        <w:rPr>
          <w:b/>
          <w:bCs/>
          <w:color w:val="000000"/>
        </w:rPr>
        <w:t xml:space="preserve">  -</w:t>
      </w:r>
      <w:r>
        <w:rPr>
          <w:color w:val="000000"/>
        </w:rPr>
        <w:t xml:space="preserve"> Cronograma da pesquisa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37"/>
        <w:gridCol w:w="3896"/>
        <w:gridCol w:w="888"/>
        <w:gridCol w:w="2740"/>
      </w:tblGrid>
      <w:tr w:rsidR="00CA361F" w:rsidRPr="00752B74" w14:paraId="12CA1BD1" w14:textId="77777777" w:rsidTr="00752B74">
        <w:trPr>
          <w:trHeight w:val="57"/>
        </w:trPr>
        <w:tc>
          <w:tcPr>
            <w:tcW w:w="848" w:type="pct"/>
            <w:hideMark/>
          </w:tcPr>
          <w:p w14:paraId="03D52C9C" w14:textId="77777777" w:rsidR="00CA361F" w:rsidRPr="00752B74" w:rsidRDefault="00CA361F" w:rsidP="00752B74">
            <w:pPr>
              <w:jc w:val="center"/>
              <w:rPr>
                <w:b/>
                <w:bCs/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150" w:type="pct"/>
            <w:hideMark/>
          </w:tcPr>
          <w:p w14:paraId="241D1C70" w14:textId="77777777" w:rsidR="00CA361F" w:rsidRPr="00752B74" w:rsidRDefault="00CA361F" w:rsidP="00752B74">
            <w:pPr>
              <w:jc w:val="center"/>
              <w:rPr>
                <w:b/>
                <w:bCs/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Ação Principal</w:t>
            </w:r>
          </w:p>
        </w:tc>
        <w:tc>
          <w:tcPr>
            <w:tcW w:w="490" w:type="pct"/>
            <w:hideMark/>
          </w:tcPr>
          <w:p w14:paraId="0BD8C9C6" w14:textId="77777777" w:rsidR="00CA361F" w:rsidRPr="00752B74" w:rsidRDefault="00CA361F" w:rsidP="00752B74">
            <w:pPr>
              <w:jc w:val="center"/>
              <w:rPr>
                <w:b/>
                <w:bCs/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513" w:type="pct"/>
            <w:hideMark/>
          </w:tcPr>
          <w:p w14:paraId="16C15AEE" w14:textId="77777777" w:rsidR="00CA361F" w:rsidRPr="00752B74" w:rsidRDefault="00CA361F" w:rsidP="00752B74">
            <w:pPr>
              <w:jc w:val="center"/>
              <w:rPr>
                <w:b/>
                <w:bCs/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Produtos / Entregas Finais da Etapa</w:t>
            </w:r>
          </w:p>
        </w:tc>
      </w:tr>
      <w:tr w:rsidR="00CA361F" w:rsidRPr="00752B74" w14:paraId="75B497CE" w14:textId="77777777" w:rsidTr="00752B74">
        <w:trPr>
          <w:trHeight w:val="20"/>
        </w:trPr>
        <w:tc>
          <w:tcPr>
            <w:tcW w:w="848" w:type="pct"/>
            <w:hideMark/>
          </w:tcPr>
          <w:p w14:paraId="6E99D75C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I. Revisão e Refino Teórico</w:t>
            </w:r>
          </w:p>
        </w:tc>
        <w:tc>
          <w:tcPr>
            <w:tcW w:w="2150" w:type="pct"/>
            <w:hideMark/>
          </w:tcPr>
          <w:p w14:paraId="1EE7CFFC" w14:textId="77777777" w:rsidR="00CA361F" w:rsidRPr="00752B74" w:rsidRDefault="00CA361F" w:rsidP="00752B74">
            <w:pPr>
              <w:jc w:val="both"/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Busca sistemática na literatura (incluindo o núcleo de 39 textos "pós-hegemônico" validado pelo</w:t>
            </w:r>
            <w:r w:rsidRPr="00752B74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  <w:proofErr w:type="spellStart"/>
            <w:r w:rsidRPr="00752B74">
              <w:rPr>
                <w:i/>
                <w:iCs/>
                <w:sz w:val="20"/>
                <w:szCs w:val="20"/>
              </w:rPr>
              <w:t>Publish</w:t>
            </w:r>
            <w:proofErr w:type="spellEnd"/>
            <w:r w:rsidRPr="00752B74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52B74">
              <w:rPr>
                <w:i/>
                <w:iCs/>
                <w:sz w:val="20"/>
                <w:szCs w:val="20"/>
              </w:rPr>
              <w:t>or</w:t>
            </w:r>
            <w:proofErr w:type="spellEnd"/>
            <w:r w:rsidRPr="00752B74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52B74">
              <w:rPr>
                <w:i/>
                <w:iCs/>
                <w:sz w:val="20"/>
                <w:szCs w:val="20"/>
              </w:rPr>
              <w:t>Perish</w:t>
            </w:r>
            <w:proofErr w:type="spellEnd"/>
            <w:r w:rsidRPr="00752B74">
              <w:rPr>
                <w:sz w:val="20"/>
                <w:szCs w:val="20"/>
              </w:rPr>
              <w:t>); Refino e adensamento do referencial teórico.</w:t>
            </w:r>
          </w:p>
        </w:tc>
        <w:tc>
          <w:tcPr>
            <w:tcW w:w="490" w:type="pct"/>
            <w:hideMark/>
          </w:tcPr>
          <w:p w14:paraId="3E22B377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1º – 2º</w:t>
            </w:r>
          </w:p>
        </w:tc>
        <w:tc>
          <w:tcPr>
            <w:tcW w:w="1513" w:type="pct"/>
            <w:hideMark/>
          </w:tcPr>
          <w:p w14:paraId="544BA98E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Referencial Teórico Consolidado e Revisado; Roteiro de Leitura Final.</w:t>
            </w:r>
          </w:p>
        </w:tc>
      </w:tr>
      <w:tr w:rsidR="00CA361F" w:rsidRPr="00752B74" w14:paraId="0FF71636" w14:textId="77777777" w:rsidTr="00752B74">
        <w:trPr>
          <w:trHeight w:val="20"/>
        </w:trPr>
        <w:tc>
          <w:tcPr>
            <w:tcW w:w="848" w:type="pct"/>
            <w:hideMark/>
          </w:tcPr>
          <w:p w14:paraId="2C30B744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II. Pesquisa Documental</w:t>
            </w:r>
          </w:p>
        </w:tc>
        <w:tc>
          <w:tcPr>
            <w:tcW w:w="2150" w:type="pct"/>
            <w:hideMark/>
          </w:tcPr>
          <w:p w14:paraId="63F38816" w14:textId="77777777" w:rsidR="00CA361F" w:rsidRPr="00752B74" w:rsidRDefault="00CA361F" w:rsidP="00752B74">
            <w:pPr>
              <w:jc w:val="both"/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Coleta de resoluções (OEA), declarações (CELAC) e relatórios (CIDH) para os 5 casos mantidos; Organização de fontes primárias.</w:t>
            </w:r>
          </w:p>
        </w:tc>
        <w:tc>
          <w:tcPr>
            <w:tcW w:w="490" w:type="pct"/>
            <w:hideMark/>
          </w:tcPr>
          <w:p w14:paraId="10B8B2C6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3º – 4º</w:t>
            </w:r>
          </w:p>
        </w:tc>
        <w:tc>
          <w:tcPr>
            <w:tcW w:w="1513" w:type="pct"/>
            <w:hideMark/>
          </w:tcPr>
          <w:p w14:paraId="18AF164C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Banco de Dados Textual (organizado cronologicamente por caso); Lista de Fontes Documentais Primárias.</w:t>
            </w:r>
          </w:p>
        </w:tc>
      </w:tr>
      <w:tr w:rsidR="00CA361F" w:rsidRPr="00752B74" w14:paraId="41888DF8" w14:textId="77777777" w:rsidTr="00752B74">
        <w:tc>
          <w:tcPr>
            <w:tcW w:w="848" w:type="pct"/>
            <w:hideMark/>
          </w:tcPr>
          <w:p w14:paraId="151BDCBA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III. Codificação e Preparação</w:t>
            </w:r>
          </w:p>
        </w:tc>
        <w:tc>
          <w:tcPr>
            <w:tcW w:w="2150" w:type="pct"/>
            <w:hideMark/>
          </w:tcPr>
          <w:p w14:paraId="68EF8D81" w14:textId="77777777" w:rsidR="00CA361F" w:rsidRPr="00752B74" w:rsidRDefault="00CA361F" w:rsidP="00752B74">
            <w:pPr>
              <w:jc w:val="both"/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Desenvolvimento dos códigos NV-NI, NV-</w:t>
            </w:r>
            <w:proofErr w:type="gramStart"/>
            <w:r w:rsidRPr="00752B74">
              <w:rPr>
                <w:sz w:val="20"/>
                <w:szCs w:val="20"/>
              </w:rPr>
              <w:t>SOB, NV-AUT</w:t>
            </w:r>
            <w:proofErr w:type="gramEnd"/>
            <w:r w:rsidRPr="00752B74">
              <w:rPr>
                <w:sz w:val="20"/>
                <w:szCs w:val="20"/>
              </w:rPr>
              <w:t>; Aplicação da Análise de Conteúdo Qualitativa (ACQ) inicial nos documentos; Elaboração e validação final do roteiro de entrevistas.</w:t>
            </w:r>
          </w:p>
        </w:tc>
        <w:tc>
          <w:tcPr>
            <w:tcW w:w="490" w:type="pct"/>
            <w:hideMark/>
          </w:tcPr>
          <w:p w14:paraId="49148812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5º – 6º</w:t>
            </w:r>
          </w:p>
        </w:tc>
        <w:tc>
          <w:tcPr>
            <w:tcW w:w="1513" w:type="pct"/>
            <w:hideMark/>
          </w:tcPr>
          <w:p w14:paraId="33B4FE32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Dicionário de Códigos Operacionalizado; Matrizes de Codificação Qualitativa Iniciais.</w:t>
            </w:r>
          </w:p>
        </w:tc>
      </w:tr>
      <w:tr w:rsidR="00CA361F" w:rsidRPr="00752B74" w14:paraId="7D1109F3" w14:textId="77777777" w:rsidTr="00752B74">
        <w:tc>
          <w:tcPr>
            <w:tcW w:w="848" w:type="pct"/>
            <w:hideMark/>
          </w:tcPr>
          <w:p w14:paraId="2EBB39B6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IV. Entrevistas e Transcrição</w:t>
            </w:r>
          </w:p>
        </w:tc>
        <w:tc>
          <w:tcPr>
            <w:tcW w:w="2150" w:type="pct"/>
            <w:hideMark/>
          </w:tcPr>
          <w:p w14:paraId="5FA1D40E" w14:textId="77777777" w:rsidR="00CA361F" w:rsidRPr="00752B74" w:rsidRDefault="00CA361F" w:rsidP="00752B74">
            <w:pPr>
              <w:jc w:val="both"/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Contato formal e realização das entrevistas (priorizando diplomatas, políticos e acadêmicos); Transcrição integral do material coletado.</w:t>
            </w:r>
          </w:p>
        </w:tc>
        <w:tc>
          <w:tcPr>
            <w:tcW w:w="490" w:type="pct"/>
            <w:hideMark/>
          </w:tcPr>
          <w:p w14:paraId="5E510E3A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7º – 8º</w:t>
            </w:r>
          </w:p>
        </w:tc>
        <w:tc>
          <w:tcPr>
            <w:tcW w:w="1513" w:type="pct"/>
            <w:hideMark/>
          </w:tcPr>
          <w:p w14:paraId="669BAB8C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Transcrições Finais das Entrevistas; Dados Primários Qualitativos.</w:t>
            </w:r>
          </w:p>
        </w:tc>
      </w:tr>
      <w:tr w:rsidR="00CA361F" w:rsidRPr="00752B74" w14:paraId="319EF523" w14:textId="77777777" w:rsidTr="00752B74">
        <w:tc>
          <w:tcPr>
            <w:tcW w:w="848" w:type="pct"/>
            <w:hideMark/>
          </w:tcPr>
          <w:p w14:paraId="11B7A54B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V. Análise e Triangulação</w:t>
            </w:r>
          </w:p>
        </w:tc>
        <w:tc>
          <w:tcPr>
            <w:tcW w:w="2150" w:type="pct"/>
            <w:hideMark/>
          </w:tcPr>
          <w:p w14:paraId="4D4CE505" w14:textId="77777777" w:rsidR="00CA361F" w:rsidRPr="00752B74" w:rsidRDefault="00CA361F" w:rsidP="00752B74">
            <w:pPr>
              <w:jc w:val="both"/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Codificação temática das entrevistas; Triangulação dos dados documentais e das entrevistas para análise do contraste das variáveis (Institucionalidade, Narrativa, Resultados Práticos).</w:t>
            </w:r>
          </w:p>
        </w:tc>
        <w:tc>
          <w:tcPr>
            <w:tcW w:w="490" w:type="pct"/>
            <w:hideMark/>
          </w:tcPr>
          <w:p w14:paraId="19FAC231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9º – 10º</w:t>
            </w:r>
          </w:p>
        </w:tc>
        <w:tc>
          <w:tcPr>
            <w:tcW w:w="1513" w:type="pct"/>
            <w:hideMark/>
          </w:tcPr>
          <w:p w14:paraId="43F88F51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Capítulo de Análise de Resultados; Capítulo Metodológico Final.</w:t>
            </w:r>
          </w:p>
        </w:tc>
      </w:tr>
      <w:tr w:rsidR="00CA361F" w:rsidRPr="00752B74" w14:paraId="7A2150E0" w14:textId="77777777" w:rsidTr="00752B74">
        <w:tc>
          <w:tcPr>
            <w:tcW w:w="848" w:type="pct"/>
            <w:hideMark/>
          </w:tcPr>
          <w:p w14:paraId="3A2F09F8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b/>
                <w:bCs/>
                <w:sz w:val="20"/>
                <w:szCs w:val="20"/>
              </w:rPr>
              <w:t>VI. Redação e Defesa</w:t>
            </w:r>
          </w:p>
        </w:tc>
        <w:tc>
          <w:tcPr>
            <w:tcW w:w="2150" w:type="pct"/>
            <w:hideMark/>
          </w:tcPr>
          <w:p w14:paraId="399E4929" w14:textId="77777777" w:rsidR="00CA361F" w:rsidRPr="00752B74" w:rsidRDefault="00CA361F" w:rsidP="00752B74">
            <w:pPr>
              <w:jc w:val="both"/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Redação final da Dissertação; Revisão e formatação ABNT; Preparação para a defesa pública.</w:t>
            </w:r>
          </w:p>
        </w:tc>
        <w:tc>
          <w:tcPr>
            <w:tcW w:w="490" w:type="pct"/>
            <w:hideMark/>
          </w:tcPr>
          <w:p w14:paraId="08696A1D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11º – 12º</w:t>
            </w:r>
          </w:p>
        </w:tc>
        <w:tc>
          <w:tcPr>
            <w:tcW w:w="1513" w:type="pct"/>
            <w:hideMark/>
          </w:tcPr>
          <w:p w14:paraId="4F188133" w14:textId="77777777" w:rsidR="00CA361F" w:rsidRPr="00752B74" w:rsidRDefault="00CA361F" w:rsidP="00752B74">
            <w:pPr>
              <w:rPr>
                <w:sz w:val="20"/>
                <w:szCs w:val="20"/>
              </w:rPr>
            </w:pPr>
            <w:r w:rsidRPr="00752B74">
              <w:rPr>
                <w:sz w:val="20"/>
                <w:szCs w:val="20"/>
              </w:rPr>
              <w:t>Dissertação Completa e Finalizada.</w:t>
            </w:r>
          </w:p>
        </w:tc>
      </w:tr>
    </w:tbl>
    <w:p w14:paraId="6B2888EC" w14:textId="103BE752" w:rsidR="00CA361F" w:rsidRPr="00752B74" w:rsidRDefault="00CA361F" w:rsidP="00CA361F">
      <w:pPr>
        <w:rPr>
          <w:color w:val="000000"/>
          <w:sz w:val="20"/>
          <w:szCs w:val="20"/>
        </w:rPr>
      </w:pPr>
    </w:p>
    <w:p w14:paraId="60A19FB7" w14:textId="77777777" w:rsidR="00752B74" w:rsidRDefault="00752B74" w:rsidP="00CA361F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9" w:name="_Toc210326529"/>
    </w:p>
    <w:p w14:paraId="24BED2B8" w14:textId="24DD80C4" w:rsidR="00CA361F" w:rsidRPr="00730673" w:rsidRDefault="00CA361F" w:rsidP="00CA361F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21236438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9 </w:t>
      </w:r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>RE</w:t>
      </w:r>
      <w:r w:rsidRPr="00730673">
        <w:rPr>
          <w:rStyle w:val="Ttulo1Char"/>
          <w:rFonts w:ascii="Times New Roman" w:hAnsi="Times New Roman" w:cs="Times New Roman"/>
          <w:b/>
          <w:bCs/>
          <w:color w:val="auto"/>
          <w:sz w:val="24"/>
          <w:szCs w:val="24"/>
        </w:rPr>
        <w:t>FERÊNCIA</w:t>
      </w:r>
      <w:r w:rsidRPr="00730673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  <w:bookmarkEnd w:id="39"/>
      <w:bookmarkEnd w:id="40"/>
    </w:p>
    <w:p w14:paraId="47A69531" w14:textId="77777777" w:rsidR="00CA361F" w:rsidRDefault="00CA361F" w:rsidP="00CA361F">
      <w:pPr>
        <w:spacing w:line="360" w:lineRule="auto"/>
        <w:rPr>
          <w:b/>
          <w:bCs/>
        </w:rPr>
      </w:pPr>
    </w:p>
    <w:p w14:paraId="246F0E8B" w14:textId="77777777" w:rsidR="00EF54F0" w:rsidRDefault="00EF54F0" w:rsidP="00EF54F0">
      <w:r w:rsidRPr="00EF54F0">
        <w:rPr>
          <w:lang w:val="es-ES"/>
        </w:rPr>
        <w:t xml:space="preserve">BRICEÑO-RUIZ, José. </w:t>
      </w:r>
      <w:r w:rsidRPr="00EF54F0">
        <w:rPr>
          <w:b/>
          <w:bCs/>
          <w:lang w:val="es-ES"/>
        </w:rPr>
        <w:t>El regionalismo post-hegemónico en América Latina</w:t>
      </w:r>
      <w:r w:rsidRPr="00EF54F0">
        <w:rPr>
          <w:lang w:val="es-ES"/>
        </w:rPr>
        <w:t xml:space="preserve">: origen y dilemas. </w:t>
      </w:r>
      <w:r w:rsidRPr="00EF54F0">
        <w:t xml:space="preserve">Quito: FLACSO, 2013. Disponível em: </w:t>
      </w:r>
      <w:hyperlink r:id="rId9" w:tgtFrame="_new" w:history="1">
        <w:r w:rsidRPr="00EF54F0">
          <w:rPr>
            <w:rStyle w:val="Hyperlink"/>
          </w:rPr>
          <w:t>https://librosoa.unam.mx/handle/123456789/3576</w:t>
        </w:r>
      </w:hyperlink>
      <w:r w:rsidRPr="00EF54F0">
        <w:t>. Acesso em: 2 out. 2025.</w:t>
      </w:r>
    </w:p>
    <w:p w14:paraId="263BB9E6" w14:textId="77777777" w:rsidR="00EF54F0" w:rsidRPr="00EF54F0" w:rsidRDefault="00EF54F0" w:rsidP="00EF54F0"/>
    <w:p w14:paraId="538DB161" w14:textId="77777777" w:rsidR="00EF54F0" w:rsidRDefault="00EF54F0" w:rsidP="00EF54F0">
      <w:r w:rsidRPr="00EF54F0">
        <w:t xml:space="preserve">CIDH. </w:t>
      </w:r>
      <w:r w:rsidRPr="00EF54F0">
        <w:rPr>
          <w:b/>
          <w:bCs/>
        </w:rPr>
        <w:t>Relatórios anuais e especiais</w:t>
      </w:r>
      <w:r w:rsidRPr="00EF54F0">
        <w:t xml:space="preserve">. Organização dos Estados Americanos – OEA. Disponível em: </w:t>
      </w:r>
      <w:hyperlink r:id="rId10" w:tgtFrame="_new" w:history="1">
        <w:r w:rsidRPr="00EF54F0">
          <w:rPr>
            <w:rStyle w:val="Hyperlink"/>
          </w:rPr>
          <w:t>https://www.oas.org/pt/cidh/relatorios/ia.asp</w:t>
        </w:r>
      </w:hyperlink>
      <w:r w:rsidRPr="00EF54F0">
        <w:t>. Acesso em: 2 out. 2025.</w:t>
      </w:r>
    </w:p>
    <w:p w14:paraId="24B4A366" w14:textId="77777777" w:rsidR="00EF54F0" w:rsidRPr="00EF54F0" w:rsidRDefault="00EF54F0" w:rsidP="00EF54F0"/>
    <w:p w14:paraId="7DDAA9A1" w14:textId="77777777" w:rsidR="00EF54F0" w:rsidRDefault="00EF54F0" w:rsidP="00EF54F0">
      <w:pPr>
        <w:rPr>
          <w:lang w:val="en-GB"/>
        </w:rPr>
      </w:pPr>
      <w:r w:rsidRPr="00EF54F0">
        <w:t xml:space="preserve">CLACSO. </w:t>
      </w:r>
      <w:r w:rsidRPr="00EF54F0">
        <w:rPr>
          <w:b/>
          <w:bCs/>
        </w:rPr>
        <w:t>Observatório sobre Integração Regional. Buenos Aires</w:t>
      </w:r>
      <w:r w:rsidRPr="00EF54F0">
        <w:t xml:space="preserve">: </w:t>
      </w:r>
      <w:proofErr w:type="spellStart"/>
      <w:r w:rsidRPr="00EF54F0">
        <w:t>Consejo</w:t>
      </w:r>
      <w:proofErr w:type="spellEnd"/>
      <w:r w:rsidRPr="00EF54F0">
        <w:t xml:space="preserve"> </w:t>
      </w:r>
      <w:proofErr w:type="spellStart"/>
      <w:r w:rsidRPr="00EF54F0">
        <w:t>Latinoamericano</w:t>
      </w:r>
      <w:proofErr w:type="spellEnd"/>
      <w:r w:rsidRPr="00EF54F0">
        <w:t xml:space="preserve"> de </w:t>
      </w:r>
      <w:proofErr w:type="spellStart"/>
      <w:r w:rsidRPr="00EF54F0">
        <w:t>Ciencias</w:t>
      </w:r>
      <w:proofErr w:type="spellEnd"/>
      <w:r w:rsidRPr="00EF54F0">
        <w:t xml:space="preserve"> Sociales, [s.d.]. </w:t>
      </w:r>
      <w:proofErr w:type="spellStart"/>
      <w:r w:rsidRPr="00EF54F0">
        <w:rPr>
          <w:lang w:val="en-GB"/>
        </w:rPr>
        <w:t>Disponível</w:t>
      </w:r>
      <w:proofErr w:type="spellEnd"/>
      <w:r w:rsidRPr="00EF54F0">
        <w:rPr>
          <w:lang w:val="en-GB"/>
        </w:rPr>
        <w:t xml:space="preserve"> </w:t>
      </w:r>
      <w:proofErr w:type="spellStart"/>
      <w:r w:rsidRPr="00EF54F0">
        <w:rPr>
          <w:lang w:val="en-GB"/>
        </w:rPr>
        <w:t>em</w:t>
      </w:r>
      <w:proofErr w:type="spellEnd"/>
      <w:r w:rsidRPr="00EF54F0">
        <w:rPr>
          <w:lang w:val="en-GB"/>
        </w:rPr>
        <w:t xml:space="preserve">: </w:t>
      </w:r>
      <w:hyperlink r:id="rId11" w:tgtFrame="_new" w:history="1">
        <w:r w:rsidRPr="00EF54F0">
          <w:rPr>
            <w:rStyle w:val="Hyperlink"/>
            <w:lang w:val="en-GB"/>
          </w:rPr>
          <w:t>https://www.clacso.org</w:t>
        </w:r>
      </w:hyperlink>
      <w:r w:rsidRPr="00EF54F0">
        <w:rPr>
          <w:lang w:val="en-GB"/>
        </w:rPr>
        <w:t xml:space="preserve">. </w:t>
      </w:r>
      <w:proofErr w:type="spellStart"/>
      <w:r w:rsidRPr="00EF54F0">
        <w:rPr>
          <w:lang w:val="en-GB"/>
        </w:rPr>
        <w:t>Acesso</w:t>
      </w:r>
      <w:proofErr w:type="spellEnd"/>
      <w:r w:rsidRPr="00EF54F0">
        <w:rPr>
          <w:lang w:val="en-GB"/>
        </w:rPr>
        <w:t xml:space="preserve"> </w:t>
      </w:r>
      <w:proofErr w:type="spellStart"/>
      <w:r w:rsidRPr="00EF54F0">
        <w:rPr>
          <w:lang w:val="en-GB"/>
        </w:rPr>
        <w:t>em</w:t>
      </w:r>
      <w:proofErr w:type="spellEnd"/>
      <w:r w:rsidRPr="00EF54F0">
        <w:rPr>
          <w:lang w:val="en-GB"/>
        </w:rPr>
        <w:t>: 2 out. 2025.</w:t>
      </w:r>
    </w:p>
    <w:p w14:paraId="5B897555" w14:textId="77777777" w:rsidR="00EF54F0" w:rsidRPr="00EF54F0" w:rsidRDefault="00EF54F0" w:rsidP="00EF54F0">
      <w:pPr>
        <w:rPr>
          <w:lang w:val="en-GB"/>
        </w:rPr>
      </w:pPr>
    </w:p>
    <w:p w14:paraId="48AA8C0F" w14:textId="77777777" w:rsidR="00EF54F0" w:rsidRDefault="00EF54F0" w:rsidP="00EF54F0">
      <w:pPr>
        <w:rPr>
          <w:lang w:val="en-GB"/>
        </w:rPr>
      </w:pPr>
      <w:r w:rsidRPr="00EF54F0">
        <w:rPr>
          <w:lang w:val="en-GB"/>
        </w:rPr>
        <w:t>COX, Robert W</w:t>
      </w:r>
      <w:r w:rsidRPr="00EF54F0">
        <w:rPr>
          <w:b/>
          <w:bCs/>
          <w:lang w:val="en-GB"/>
        </w:rPr>
        <w:t>. Production, power, and world order:</w:t>
      </w:r>
      <w:r w:rsidRPr="00EF54F0">
        <w:rPr>
          <w:lang w:val="en-GB"/>
        </w:rPr>
        <w:t xml:space="preserve"> social forces in the making of history. New York: Columbia University Press, 1987.</w:t>
      </w:r>
    </w:p>
    <w:p w14:paraId="6BBE41F3" w14:textId="77777777" w:rsidR="00EF54F0" w:rsidRPr="00EF54F0" w:rsidRDefault="00EF54F0" w:rsidP="00EF54F0">
      <w:pPr>
        <w:rPr>
          <w:lang w:val="en-GB"/>
        </w:rPr>
      </w:pPr>
    </w:p>
    <w:p w14:paraId="51CBFDFB" w14:textId="77777777" w:rsidR="00EF54F0" w:rsidRPr="00EF54F0" w:rsidRDefault="00EF54F0" w:rsidP="00EF54F0">
      <w:r w:rsidRPr="00EF54F0">
        <w:rPr>
          <w:lang w:val="en-GB"/>
        </w:rPr>
        <w:t xml:space="preserve">GERRING, John. </w:t>
      </w:r>
      <w:r w:rsidRPr="00EF54F0">
        <w:rPr>
          <w:b/>
          <w:bCs/>
          <w:lang w:val="en-GB"/>
        </w:rPr>
        <w:t>Case study research: principles and practices</w:t>
      </w:r>
      <w:r w:rsidRPr="00EF54F0">
        <w:rPr>
          <w:lang w:val="en-GB"/>
        </w:rPr>
        <w:t xml:space="preserve">. </w:t>
      </w:r>
      <w:r w:rsidRPr="00EF54F0">
        <w:t xml:space="preserve">Cambridge: Cambridge </w:t>
      </w:r>
      <w:proofErr w:type="spellStart"/>
      <w:r w:rsidRPr="00EF54F0">
        <w:t>University</w:t>
      </w:r>
      <w:proofErr w:type="spellEnd"/>
      <w:r w:rsidRPr="00EF54F0">
        <w:t xml:space="preserve"> Press, 2007. Disponível em: </w:t>
      </w:r>
      <w:hyperlink r:id="rId12" w:tgtFrame="_new" w:history="1">
        <w:r w:rsidRPr="00EF54F0">
          <w:rPr>
            <w:rStyle w:val="Hyperlink"/>
          </w:rPr>
          <w:t>http://maratavarespsictics.pbworks.com/w/file/fetch/74304716/3-YIN-planejamento_metodologia.pdf</w:t>
        </w:r>
      </w:hyperlink>
      <w:r w:rsidRPr="00EF54F0">
        <w:t>. Acesso em: 2 out. 2025.</w:t>
      </w:r>
    </w:p>
    <w:p w14:paraId="19DB5A8E" w14:textId="77777777" w:rsidR="00EF54F0" w:rsidRDefault="00EF54F0" w:rsidP="00EF54F0">
      <w:pPr>
        <w:rPr>
          <w:lang w:val="en-GB"/>
        </w:rPr>
      </w:pPr>
      <w:r w:rsidRPr="00EF54F0">
        <w:rPr>
          <w:lang w:val="en-GB"/>
        </w:rPr>
        <w:lastRenderedPageBreak/>
        <w:t xml:space="preserve">HARMER, Tanya. </w:t>
      </w:r>
      <w:r w:rsidRPr="00EF54F0">
        <w:rPr>
          <w:b/>
          <w:bCs/>
          <w:lang w:val="en-GB"/>
        </w:rPr>
        <w:t>Allende’s Chile and the Inter-American Cold</w:t>
      </w:r>
      <w:r w:rsidRPr="00EF54F0">
        <w:rPr>
          <w:lang w:val="en-GB"/>
        </w:rPr>
        <w:t xml:space="preserve"> War. Chapel Hill: The University of North Carolina Press, 2019.</w:t>
      </w:r>
    </w:p>
    <w:p w14:paraId="64E34111" w14:textId="77777777" w:rsidR="00EF54F0" w:rsidRPr="00EF54F0" w:rsidRDefault="00EF54F0" w:rsidP="00EF54F0">
      <w:pPr>
        <w:rPr>
          <w:lang w:val="en-GB"/>
        </w:rPr>
      </w:pPr>
    </w:p>
    <w:p w14:paraId="0F2DC14C" w14:textId="7D440DA7" w:rsidR="00EF54F0" w:rsidRPr="00EF54F0" w:rsidRDefault="00EF54F0" w:rsidP="00EF54F0">
      <w:r w:rsidRPr="00EF54F0">
        <w:rPr>
          <w:lang w:val="en-GB"/>
        </w:rPr>
        <w:t>HURRELL, Andrew</w:t>
      </w:r>
      <w:r w:rsidRPr="00EF54F0">
        <w:rPr>
          <w:b/>
          <w:bCs/>
          <w:lang w:val="en-GB"/>
        </w:rPr>
        <w:t>. Regionalism in the Americas</w:t>
      </w:r>
      <w:r w:rsidRPr="00EF54F0">
        <w:rPr>
          <w:lang w:val="en-GB"/>
        </w:rPr>
        <w:t xml:space="preserve">. </w:t>
      </w:r>
      <w:r w:rsidRPr="00EF54F0">
        <w:t xml:space="preserve">Cambridge: Cambridge </w:t>
      </w:r>
      <w:proofErr w:type="spellStart"/>
      <w:r w:rsidRPr="00EF54F0">
        <w:t>University</w:t>
      </w:r>
      <w:proofErr w:type="spellEnd"/>
      <w:r w:rsidRPr="00EF54F0">
        <w:t xml:space="preserve"> Press, 1995.</w:t>
      </w:r>
      <w:r w:rsidRPr="00EF54F0">
        <w:br/>
      </w:r>
    </w:p>
    <w:p w14:paraId="695D2D90" w14:textId="77777777" w:rsidR="00EF54F0" w:rsidRDefault="00EF54F0" w:rsidP="00EF54F0">
      <w:pPr>
        <w:rPr>
          <w:lang w:val="en-GB"/>
        </w:rPr>
      </w:pPr>
      <w:r w:rsidRPr="00EF54F0">
        <w:rPr>
          <w:lang w:val="en-GB"/>
        </w:rPr>
        <w:t xml:space="preserve">LOWENTHAL, Abraham F. </w:t>
      </w:r>
      <w:r w:rsidRPr="00EF54F0">
        <w:rPr>
          <w:b/>
          <w:bCs/>
          <w:lang w:val="en-GB"/>
        </w:rPr>
        <w:t>The Dominican Intervention</w:t>
      </w:r>
      <w:r w:rsidRPr="00EF54F0">
        <w:rPr>
          <w:lang w:val="en-GB"/>
        </w:rPr>
        <w:t>. Cambridge, MA: Harvard University Press, 1995.</w:t>
      </w:r>
    </w:p>
    <w:p w14:paraId="657F9B7D" w14:textId="77777777" w:rsidR="00EF54F0" w:rsidRPr="00EF54F0" w:rsidRDefault="00EF54F0" w:rsidP="00EF54F0">
      <w:pPr>
        <w:rPr>
          <w:lang w:val="en-GB"/>
        </w:rPr>
      </w:pPr>
    </w:p>
    <w:p w14:paraId="36A9ECEB" w14:textId="77777777" w:rsidR="00EF54F0" w:rsidRDefault="00EF54F0" w:rsidP="00EF54F0">
      <w:r w:rsidRPr="00EF54F0">
        <w:t xml:space="preserve">MALAMUD, Andrés. </w:t>
      </w:r>
      <w:r w:rsidRPr="00EF54F0">
        <w:rPr>
          <w:b/>
          <w:bCs/>
        </w:rPr>
        <w:t>Sobre a crescente irrelevância da América Latina</w:t>
      </w:r>
      <w:r w:rsidRPr="00EF54F0">
        <w:t xml:space="preserve">. Nueva </w:t>
      </w:r>
      <w:proofErr w:type="spellStart"/>
      <w:r w:rsidRPr="00EF54F0">
        <w:t>Sociedad</w:t>
      </w:r>
      <w:proofErr w:type="spellEnd"/>
      <w:r w:rsidRPr="00EF54F0">
        <w:t xml:space="preserve">, Buenos Aires, 2017. Disponível em: </w:t>
      </w:r>
      <w:hyperlink r:id="rId13" w:tgtFrame="_new" w:history="1">
        <w:r w:rsidRPr="00EF54F0">
          <w:rPr>
            <w:rStyle w:val="Hyperlink"/>
          </w:rPr>
          <w:t>https://nuso.org/articulo/sobre-crescente-irrelevancia-da-america-latina</w:t>
        </w:r>
      </w:hyperlink>
      <w:r w:rsidRPr="00EF54F0">
        <w:t>. Acesso em: 2 out. 2025.</w:t>
      </w:r>
    </w:p>
    <w:p w14:paraId="31C8D75D" w14:textId="77777777" w:rsidR="00EF54F0" w:rsidRPr="00EF54F0" w:rsidRDefault="00EF54F0" w:rsidP="00EF54F0"/>
    <w:p w14:paraId="2FF2B3A9" w14:textId="77777777" w:rsidR="00EF54F0" w:rsidRDefault="00EF54F0" w:rsidP="00EF54F0">
      <w:r w:rsidRPr="00EF54F0">
        <w:rPr>
          <w:lang w:val="en-GB"/>
        </w:rPr>
        <w:t xml:space="preserve">MEYER, Peter J. Organization of American States: background and issues for Congress. </w:t>
      </w:r>
      <w:r w:rsidRPr="00EF54F0">
        <w:t xml:space="preserve">Washington, D.C.: Congressional </w:t>
      </w:r>
      <w:proofErr w:type="spellStart"/>
      <w:r w:rsidRPr="00EF54F0">
        <w:t>Research</w:t>
      </w:r>
      <w:proofErr w:type="spellEnd"/>
      <w:r w:rsidRPr="00EF54F0">
        <w:t xml:space="preserve"> Service, 2025.</w:t>
      </w:r>
    </w:p>
    <w:p w14:paraId="30840971" w14:textId="77777777" w:rsidR="00EF54F0" w:rsidRPr="00EF54F0" w:rsidRDefault="00EF54F0" w:rsidP="00EF54F0"/>
    <w:p w14:paraId="2793DCF0" w14:textId="77777777" w:rsidR="00EF54F0" w:rsidRDefault="00EF54F0" w:rsidP="00EF54F0">
      <w:r w:rsidRPr="00EF54F0">
        <w:t xml:space="preserve">OEA. </w:t>
      </w:r>
      <w:r w:rsidRPr="00EF54F0">
        <w:rPr>
          <w:b/>
          <w:bCs/>
        </w:rPr>
        <w:t>Carta Democrática Interamericana</w:t>
      </w:r>
      <w:r w:rsidRPr="00EF54F0">
        <w:t xml:space="preserve">. Washington, D.C.: Organização dos Estados Americanos, 2001. Disponível em: </w:t>
      </w:r>
      <w:hyperlink r:id="rId14" w:tgtFrame="_new" w:history="1">
        <w:r w:rsidRPr="00EF54F0">
          <w:rPr>
            <w:rStyle w:val="Hyperlink"/>
          </w:rPr>
          <w:t>https://www.oas.org/pt/democracia/carta_democratica.asp</w:t>
        </w:r>
      </w:hyperlink>
      <w:r w:rsidRPr="00EF54F0">
        <w:t>. Acesso em: 2 out. 2025.</w:t>
      </w:r>
    </w:p>
    <w:p w14:paraId="18DE038A" w14:textId="77777777" w:rsidR="00EF54F0" w:rsidRDefault="00EF54F0" w:rsidP="00EF54F0"/>
    <w:p w14:paraId="02777D8F" w14:textId="6E8FAC9D" w:rsidR="00EF54F0" w:rsidRDefault="00EF54F0" w:rsidP="00EF54F0">
      <w:pPr>
        <w:rPr>
          <w:lang w:val="en-GB"/>
        </w:rPr>
      </w:pPr>
      <w:r w:rsidRPr="00EF54F0">
        <w:t xml:space="preserve">ONU. </w:t>
      </w:r>
      <w:r w:rsidRPr="00EF54F0">
        <w:rPr>
          <w:b/>
          <w:bCs/>
        </w:rPr>
        <w:t>Relatórios sobre América Latina e Caribe</w:t>
      </w:r>
      <w:r w:rsidRPr="00EF54F0">
        <w:t xml:space="preserve">. Organização das Nações Unidas. Disponível em: </w:t>
      </w:r>
      <w:hyperlink r:id="rId15" w:tgtFrame="_new" w:history="1">
        <w:r w:rsidRPr="00EF54F0">
          <w:rPr>
            <w:rStyle w:val="Hyperlink"/>
          </w:rPr>
          <w:t>https://www.un.org/pt/global-issues/americas</w:t>
        </w:r>
      </w:hyperlink>
      <w:r w:rsidRPr="00EF54F0">
        <w:t xml:space="preserve">. </w:t>
      </w:r>
      <w:proofErr w:type="spellStart"/>
      <w:r w:rsidRPr="00EF54F0">
        <w:rPr>
          <w:lang w:val="en-GB"/>
        </w:rPr>
        <w:t>Acesso</w:t>
      </w:r>
      <w:proofErr w:type="spellEnd"/>
      <w:r w:rsidRPr="00EF54F0">
        <w:rPr>
          <w:lang w:val="en-GB"/>
        </w:rPr>
        <w:t xml:space="preserve"> </w:t>
      </w:r>
      <w:proofErr w:type="spellStart"/>
      <w:r w:rsidRPr="00EF54F0">
        <w:rPr>
          <w:lang w:val="en-GB"/>
        </w:rPr>
        <w:t>em</w:t>
      </w:r>
      <w:proofErr w:type="spellEnd"/>
      <w:r w:rsidRPr="00EF54F0">
        <w:rPr>
          <w:lang w:val="en-GB"/>
        </w:rPr>
        <w:t>: 2 out. 2025.</w:t>
      </w:r>
    </w:p>
    <w:p w14:paraId="1928A834" w14:textId="77777777" w:rsidR="00EF54F0" w:rsidRPr="00EF54F0" w:rsidRDefault="00EF54F0" w:rsidP="00EF54F0">
      <w:pPr>
        <w:rPr>
          <w:lang w:val="en-GB"/>
        </w:rPr>
      </w:pPr>
    </w:p>
    <w:p w14:paraId="3D189883" w14:textId="77777777" w:rsidR="00EF54F0" w:rsidRDefault="00EF54F0" w:rsidP="00EF54F0">
      <w:pPr>
        <w:rPr>
          <w:lang w:val="en-GB"/>
        </w:rPr>
      </w:pPr>
      <w:r w:rsidRPr="00EF54F0">
        <w:rPr>
          <w:lang w:val="en-GB"/>
        </w:rPr>
        <w:t xml:space="preserve">PERINA, Rubén Mario. </w:t>
      </w:r>
      <w:r w:rsidRPr="00EF54F0">
        <w:rPr>
          <w:b/>
          <w:bCs/>
          <w:lang w:val="en-GB"/>
        </w:rPr>
        <w:t>The Organization of American States as the advocate and guardian of democracy. Lanham, MD</w:t>
      </w:r>
      <w:r w:rsidRPr="00EF54F0">
        <w:rPr>
          <w:lang w:val="en-GB"/>
        </w:rPr>
        <w:t>: University Press of America, 2003.</w:t>
      </w:r>
    </w:p>
    <w:p w14:paraId="1CD22C2E" w14:textId="77777777" w:rsidR="00EF54F0" w:rsidRPr="00EF54F0" w:rsidRDefault="00EF54F0" w:rsidP="00EF54F0">
      <w:pPr>
        <w:rPr>
          <w:lang w:val="en-GB"/>
        </w:rPr>
      </w:pPr>
    </w:p>
    <w:p w14:paraId="739FB0F5" w14:textId="77777777" w:rsidR="00EF54F0" w:rsidRDefault="00EF54F0" w:rsidP="00EF54F0">
      <w:r w:rsidRPr="00EF54F0">
        <w:rPr>
          <w:lang w:val="en-GB"/>
        </w:rPr>
        <w:t xml:space="preserve">RIGGIROZZI, </w:t>
      </w:r>
      <w:proofErr w:type="spellStart"/>
      <w:r w:rsidRPr="00EF54F0">
        <w:rPr>
          <w:lang w:val="en-GB"/>
        </w:rPr>
        <w:t>Pía</w:t>
      </w:r>
      <w:proofErr w:type="spellEnd"/>
      <w:r w:rsidRPr="00EF54F0">
        <w:rPr>
          <w:lang w:val="en-GB"/>
        </w:rPr>
        <w:t xml:space="preserve">; TUSSIE, Diana. </w:t>
      </w:r>
      <w:r w:rsidRPr="00EF54F0">
        <w:rPr>
          <w:b/>
          <w:bCs/>
          <w:lang w:val="en-GB"/>
        </w:rPr>
        <w:t xml:space="preserve">The rise of post-hegemonic regionalism in Latin America. </w:t>
      </w:r>
      <w:proofErr w:type="spellStart"/>
      <w:r w:rsidRPr="00EF54F0">
        <w:rPr>
          <w:b/>
          <w:bCs/>
          <w:lang w:val="en-GB"/>
        </w:rPr>
        <w:t>Genebra</w:t>
      </w:r>
      <w:proofErr w:type="spellEnd"/>
      <w:r w:rsidRPr="00EF54F0">
        <w:rPr>
          <w:lang w:val="en-GB"/>
        </w:rPr>
        <w:t xml:space="preserve">: United Nations Research Institute for Social Development – UNRISD, 2012. </w:t>
      </w:r>
      <w:proofErr w:type="spellStart"/>
      <w:r w:rsidRPr="00EF54F0">
        <w:rPr>
          <w:lang w:val="en-GB"/>
        </w:rPr>
        <w:t>Disponível</w:t>
      </w:r>
      <w:proofErr w:type="spellEnd"/>
      <w:r w:rsidRPr="00EF54F0">
        <w:rPr>
          <w:lang w:val="en-GB"/>
        </w:rPr>
        <w:t xml:space="preserve"> </w:t>
      </w:r>
      <w:proofErr w:type="spellStart"/>
      <w:r w:rsidRPr="00EF54F0">
        <w:rPr>
          <w:lang w:val="en-GB"/>
        </w:rPr>
        <w:t>em</w:t>
      </w:r>
      <w:proofErr w:type="spellEnd"/>
      <w:r w:rsidRPr="00EF54F0">
        <w:rPr>
          <w:lang w:val="en-GB"/>
        </w:rPr>
        <w:t xml:space="preserve">: </w:t>
      </w:r>
      <w:hyperlink r:id="rId16" w:tgtFrame="_new" w:history="1">
        <w:r w:rsidRPr="00EF54F0">
          <w:rPr>
            <w:rStyle w:val="Hyperlink"/>
            <w:lang w:val="en-GB"/>
          </w:rPr>
          <w:t>https://www.scielo.org.mx/scielo.php?script=sci_arttext&amp;pid=S0185-013X2015000200631</w:t>
        </w:r>
      </w:hyperlink>
      <w:r w:rsidRPr="00EF54F0">
        <w:rPr>
          <w:lang w:val="en-GB"/>
        </w:rPr>
        <w:t xml:space="preserve">. </w:t>
      </w:r>
      <w:r w:rsidRPr="00EF54F0">
        <w:t>Acesso em: 2 out. 2025.</w:t>
      </w:r>
    </w:p>
    <w:p w14:paraId="7B8D2CB9" w14:textId="77777777" w:rsidR="00EF54F0" w:rsidRPr="00EF54F0" w:rsidRDefault="00EF54F0" w:rsidP="00EF54F0"/>
    <w:p w14:paraId="50548FE7" w14:textId="77777777" w:rsidR="00EF54F0" w:rsidRDefault="00EF54F0" w:rsidP="00EF54F0">
      <w:r w:rsidRPr="00EF54F0">
        <w:t xml:space="preserve">SANAHUJA, José </w:t>
      </w:r>
      <w:proofErr w:type="spellStart"/>
      <w:r w:rsidRPr="00EF54F0">
        <w:t>Antonio</w:t>
      </w:r>
      <w:proofErr w:type="spellEnd"/>
      <w:r w:rsidRPr="00EF54F0">
        <w:t xml:space="preserve">. </w:t>
      </w:r>
      <w:r w:rsidRPr="00EF54F0">
        <w:rPr>
          <w:b/>
          <w:bCs/>
        </w:rPr>
        <w:t>Regionalismo pós-hegemônico e integração na América Latina</w:t>
      </w:r>
      <w:r w:rsidRPr="00EF54F0">
        <w:t xml:space="preserve">. Nueva </w:t>
      </w:r>
      <w:proofErr w:type="spellStart"/>
      <w:r w:rsidRPr="00EF54F0">
        <w:t>Sociedad</w:t>
      </w:r>
      <w:proofErr w:type="spellEnd"/>
      <w:r w:rsidRPr="00EF54F0">
        <w:t xml:space="preserve">, n. 250, Buenos Aires, 2014. Disponível em: </w:t>
      </w:r>
      <w:hyperlink r:id="rId17" w:tgtFrame="_new" w:history="1">
        <w:r w:rsidRPr="00EF54F0">
          <w:rPr>
            <w:rStyle w:val="Hyperlink"/>
          </w:rPr>
          <w:t>https://www.cries.org/wp-content/uploads/2017/02/007-sanahuja.pdf</w:t>
        </w:r>
      </w:hyperlink>
      <w:r w:rsidRPr="00EF54F0">
        <w:t>. Acesso em: 2 out. 2025.</w:t>
      </w:r>
    </w:p>
    <w:p w14:paraId="141E89FB" w14:textId="77777777" w:rsidR="00EF54F0" w:rsidRPr="00EF54F0" w:rsidRDefault="00EF54F0" w:rsidP="00EF54F0"/>
    <w:p w14:paraId="57217625" w14:textId="77777777" w:rsidR="00EF54F0" w:rsidRDefault="00EF54F0" w:rsidP="00EF54F0">
      <w:pPr>
        <w:rPr>
          <w:lang w:val="en-GB"/>
        </w:rPr>
      </w:pPr>
      <w:r w:rsidRPr="00EF54F0">
        <w:rPr>
          <w:lang w:val="es-ES"/>
        </w:rPr>
        <w:t xml:space="preserve">SERBIN, Andrés. </w:t>
      </w:r>
      <w:r w:rsidRPr="00EF54F0">
        <w:rPr>
          <w:b/>
          <w:bCs/>
          <w:lang w:val="es-ES"/>
        </w:rPr>
        <w:t xml:space="preserve">La CELAC y la construcción de un regionalismo </w:t>
      </w:r>
      <w:proofErr w:type="spellStart"/>
      <w:r w:rsidRPr="00EF54F0">
        <w:rPr>
          <w:b/>
          <w:bCs/>
          <w:lang w:val="es-ES"/>
        </w:rPr>
        <w:t>poshegemónico</w:t>
      </w:r>
      <w:proofErr w:type="spellEnd"/>
      <w:r w:rsidRPr="00EF54F0">
        <w:rPr>
          <w:lang w:val="es-ES"/>
        </w:rPr>
        <w:t xml:space="preserve">. Buenos Aires: Coordinadora Regional de Investigaciones Económicas y Sociales – CRIES, 2012. </w:t>
      </w:r>
      <w:r w:rsidRPr="00EF54F0">
        <w:t xml:space="preserve">Disponível em: </w:t>
      </w:r>
      <w:hyperlink r:id="rId18" w:tgtFrame="_new" w:history="1">
        <w:r w:rsidRPr="00EF54F0">
          <w:rPr>
            <w:rStyle w:val="Hyperlink"/>
          </w:rPr>
          <w:t>https://www.researchgate.net/publication/351369298_La_CELAC_mas_alla_del_regionalismo_poshegemonico</w:t>
        </w:r>
      </w:hyperlink>
      <w:r w:rsidRPr="00EF54F0">
        <w:t xml:space="preserve">. </w:t>
      </w:r>
      <w:proofErr w:type="spellStart"/>
      <w:r w:rsidRPr="00EF54F0">
        <w:rPr>
          <w:lang w:val="en-GB"/>
        </w:rPr>
        <w:t>Acesso</w:t>
      </w:r>
      <w:proofErr w:type="spellEnd"/>
      <w:r w:rsidRPr="00EF54F0">
        <w:rPr>
          <w:lang w:val="en-GB"/>
        </w:rPr>
        <w:t xml:space="preserve"> </w:t>
      </w:r>
      <w:proofErr w:type="spellStart"/>
      <w:r w:rsidRPr="00EF54F0">
        <w:rPr>
          <w:lang w:val="en-GB"/>
        </w:rPr>
        <w:t>em</w:t>
      </w:r>
      <w:proofErr w:type="spellEnd"/>
      <w:r w:rsidRPr="00EF54F0">
        <w:rPr>
          <w:lang w:val="en-GB"/>
        </w:rPr>
        <w:t>: 2 out. 2025.</w:t>
      </w:r>
    </w:p>
    <w:p w14:paraId="02F0001F" w14:textId="77777777" w:rsidR="00EF54F0" w:rsidRPr="00EF54F0" w:rsidRDefault="00EF54F0" w:rsidP="00EF54F0">
      <w:pPr>
        <w:rPr>
          <w:lang w:val="en-GB"/>
        </w:rPr>
      </w:pPr>
    </w:p>
    <w:p w14:paraId="39BE527E" w14:textId="77777777" w:rsidR="00EF54F0" w:rsidRDefault="00EF54F0" w:rsidP="00EF54F0">
      <w:pPr>
        <w:rPr>
          <w:lang w:val="es-ES"/>
        </w:rPr>
      </w:pPr>
      <w:r w:rsidRPr="00EF54F0">
        <w:rPr>
          <w:lang w:val="en-GB"/>
        </w:rPr>
        <w:t xml:space="preserve">SIKKINK, Kathryn. </w:t>
      </w:r>
      <w:r w:rsidRPr="00EF54F0">
        <w:rPr>
          <w:b/>
          <w:bCs/>
          <w:lang w:val="en-GB"/>
        </w:rPr>
        <w:t>The justice cascade</w:t>
      </w:r>
      <w:r w:rsidRPr="00EF54F0">
        <w:rPr>
          <w:lang w:val="en-GB"/>
        </w:rPr>
        <w:t xml:space="preserve">: how human rights prosecutions are changing world politics. </w:t>
      </w:r>
      <w:r w:rsidRPr="00EF54F0">
        <w:rPr>
          <w:lang w:val="es-ES"/>
        </w:rPr>
        <w:t>New York: W. W. Norton &amp; Company, 2014.</w:t>
      </w:r>
    </w:p>
    <w:p w14:paraId="023B193C" w14:textId="77777777" w:rsidR="00EF54F0" w:rsidRPr="00EF54F0" w:rsidRDefault="00EF54F0" w:rsidP="00EF54F0">
      <w:pPr>
        <w:rPr>
          <w:lang w:val="es-ES"/>
        </w:rPr>
      </w:pPr>
    </w:p>
    <w:p w14:paraId="556F7893" w14:textId="77777777" w:rsidR="00EF54F0" w:rsidRPr="00EF54F0" w:rsidRDefault="00EF54F0" w:rsidP="00EF54F0">
      <w:pPr>
        <w:rPr>
          <w:lang w:val="en-GB"/>
        </w:rPr>
      </w:pPr>
      <w:r w:rsidRPr="00EF54F0">
        <w:rPr>
          <w:lang w:val="es-ES"/>
        </w:rPr>
        <w:t xml:space="preserve">TOKATLIAN, Juan Gabriel. </w:t>
      </w:r>
      <w:r w:rsidRPr="00EF54F0">
        <w:rPr>
          <w:b/>
          <w:bCs/>
          <w:lang w:val="es-ES"/>
        </w:rPr>
        <w:t>Autonomía y política exterior:</w:t>
      </w:r>
      <w:r w:rsidRPr="00EF54F0">
        <w:rPr>
          <w:lang w:val="es-ES"/>
        </w:rPr>
        <w:t xml:space="preserve"> teoría y práctica en América Latina. Buenos Aires: Universidad Torcuato Di Tella – UTDT, 2011. </w:t>
      </w:r>
      <w:proofErr w:type="spellStart"/>
      <w:r w:rsidRPr="00EF54F0">
        <w:rPr>
          <w:lang w:val="es-ES"/>
        </w:rPr>
        <w:t>Disponível</w:t>
      </w:r>
      <w:proofErr w:type="spellEnd"/>
      <w:r w:rsidRPr="00EF54F0">
        <w:rPr>
          <w:lang w:val="es-ES"/>
        </w:rPr>
        <w:t xml:space="preserve"> em: </w:t>
      </w:r>
      <w:hyperlink r:id="rId19" w:tgtFrame="_new" w:history="1">
        <w:r w:rsidRPr="00EF54F0">
          <w:rPr>
            <w:rStyle w:val="Hyperlink"/>
            <w:lang w:val="es-ES"/>
          </w:rPr>
          <w:t>https://repositorio.utdt.edu/server/api/core/bitstreams/33311df7-2b39-455d-8e29-6e23db99873f/content</w:t>
        </w:r>
      </w:hyperlink>
      <w:r w:rsidRPr="00EF54F0">
        <w:rPr>
          <w:lang w:val="es-ES"/>
        </w:rPr>
        <w:t xml:space="preserve">. </w:t>
      </w:r>
      <w:proofErr w:type="spellStart"/>
      <w:r w:rsidRPr="00EF54F0">
        <w:rPr>
          <w:lang w:val="en-GB"/>
        </w:rPr>
        <w:t>Acesso</w:t>
      </w:r>
      <w:proofErr w:type="spellEnd"/>
      <w:r w:rsidRPr="00EF54F0">
        <w:rPr>
          <w:lang w:val="en-GB"/>
        </w:rPr>
        <w:t xml:space="preserve"> </w:t>
      </w:r>
      <w:proofErr w:type="spellStart"/>
      <w:r w:rsidRPr="00EF54F0">
        <w:rPr>
          <w:lang w:val="en-GB"/>
        </w:rPr>
        <w:t>em</w:t>
      </w:r>
      <w:proofErr w:type="spellEnd"/>
      <w:r w:rsidRPr="00EF54F0">
        <w:rPr>
          <w:lang w:val="en-GB"/>
        </w:rPr>
        <w:t>: 2 out. 2025.</w:t>
      </w:r>
    </w:p>
    <w:p w14:paraId="30718036" w14:textId="77777777" w:rsidR="00EF54F0" w:rsidRPr="00EF54F0" w:rsidRDefault="00EF54F0" w:rsidP="00EF54F0">
      <w:r w:rsidRPr="00EF54F0">
        <w:rPr>
          <w:lang w:val="en-GB"/>
        </w:rPr>
        <w:lastRenderedPageBreak/>
        <w:t xml:space="preserve">YIN, Robert K. </w:t>
      </w:r>
      <w:r w:rsidRPr="00EF54F0">
        <w:rPr>
          <w:b/>
          <w:bCs/>
          <w:lang w:val="en-GB"/>
        </w:rPr>
        <w:t>Case study research</w:t>
      </w:r>
      <w:r w:rsidRPr="00EF54F0">
        <w:rPr>
          <w:lang w:val="en-GB"/>
        </w:rPr>
        <w:t xml:space="preserve">: design and methods. </w:t>
      </w:r>
      <w:r w:rsidRPr="00EF54F0">
        <w:t xml:space="preserve">6. ed. Thousand Oaks: </w:t>
      </w:r>
      <w:proofErr w:type="spellStart"/>
      <w:r w:rsidRPr="00EF54F0">
        <w:t>Sage</w:t>
      </w:r>
      <w:proofErr w:type="spellEnd"/>
      <w:r w:rsidRPr="00EF54F0">
        <w:t xml:space="preserve">, 2018. Disponível em: </w:t>
      </w:r>
      <w:hyperlink r:id="rId20" w:tgtFrame="_new" w:history="1">
        <w:r w:rsidRPr="00EF54F0">
          <w:rPr>
            <w:rStyle w:val="Hyperlink"/>
          </w:rPr>
          <w:t>https://us.sagepub.com/en-us/nam/case-study-research-and-applications/book250150</w:t>
        </w:r>
      </w:hyperlink>
      <w:r w:rsidRPr="00EF54F0">
        <w:t>. Acesso em: 2 out. 2025.</w:t>
      </w:r>
    </w:p>
    <w:p w14:paraId="73F26C55" w14:textId="77777777" w:rsidR="00EF54F0" w:rsidRDefault="00EF54F0" w:rsidP="00CA361F">
      <w:pPr>
        <w:spacing w:line="360" w:lineRule="auto"/>
        <w:rPr>
          <w:b/>
          <w:bCs/>
        </w:rPr>
      </w:pPr>
    </w:p>
    <w:p w14:paraId="58575CBE" w14:textId="77777777" w:rsidR="00EF54F0" w:rsidRDefault="00EF54F0" w:rsidP="00CA361F">
      <w:pPr>
        <w:spacing w:line="360" w:lineRule="auto"/>
        <w:rPr>
          <w:b/>
          <w:bCs/>
        </w:rPr>
      </w:pPr>
    </w:p>
    <w:sectPr w:rsidR="00EF54F0" w:rsidSect="00590A2B">
      <w:headerReference w:type="default" r:id="rId21"/>
      <w:pgSz w:w="11906" w:h="16838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5D4D" w14:textId="77777777" w:rsidR="005F57AA" w:rsidRDefault="005F57AA" w:rsidP="00590A2B">
      <w:r>
        <w:separator/>
      </w:r>
    </w:p>
  </w:endnote>
  <w:endnote w:type="continuationSeparator" w:id="0">
    <w:p w14:paraId="3200E77A" w14:textId="77777777" w:rsidR="005F57AA" w:rsidRDefault="005F57AA" w:rsidP="00590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CCDF" w14:textId="77777777" w:rsidR="005F57AA" w:rsidRDefault="005F57AA" w:rsidP="00590A2B">
      <w:r>
        <w:separator/>
      </w:r>
    </w:p>
  </w:footnote>
  <w:footnote w:type="continuationSeparator" w:id="0">
    <w:p w14:paraId="4F0D55AE" w14:textId="77777777" w:rsidR="005F57AA" w:rsidRDefault="005F57AA" w:rsidP="00590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8BB2" w14:textId="789B4D8A" w:rsidR="00590A2B" w:rsidRDefault="00590A2B" w:rsidP="00590A2B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702908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7E387D7" w14:textId="77777777" w:rsidR="00590A2B" w:rsidRPr="00590A2B" w:rsidRDefault="00590A2B">
        <w:pPr>
          <w:pStyle w:val="Cabealho"/>
          <w:jc w:val="right"/>
          <w:rPr>
            <w:sz w:val="20"/>
            <w:szCs w:val="20"/>
          </w:rPr>
        </w:pPr>
        <w:r w:rsidRPr="00590A2B">
          <w:rPr>
            <w:sz w:val="20"/>
            <w:szCs w:val="20"/>
          </w:rPr>
          <w:fldChar w:fldCharType="begin"/>
        </w:r>
        <w:r w:rsidRPr="00590A2B">
          <w:rPr>
            <w:sz w:val="20"/>
            <w:szCs w:val="20"/>
          </w:rPr>
          <w:instrText>PAGE   \* MERGEFORMAT</w:instrText>
        </w:r>
        <w:r w:rsidRPr="00590A2B">
          <w:rPr>
            <w:sz w:val="20"/>
            <w:szCs w:val="20"/>
          </w:rPr>
          <w:fldChar w:fldCharType="separate"/>
        </w:r>
        <w:r w:rsidRPr="00590A2B">
          <w:rPr>
            <w:sz w:val="20"/>
            <w:szCs w:val="20"/>
          </w:rPr>
          <w:t>2</w:t>
        </w:r>
        <w:r w:rsidRPr="00590A2B">
          <w:rPr>
            <w:sz w:val="20"/>
            <w:szCs w:val="20"/>
          </w:rPr>
          <w:fldChar w:fldCharType="end"/>
        </w:r>
      </w:p>
    </w:sdtContent>
  </w:sdt>
  <w:p w14:paraId="4EDF1A06" w14:textId="77777777" w:rsidR="00590A2B" w:rsidRDefault="00590A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D7D"/>
    <w:multiLevelType w:val="multilevel"/>
    <w:tmpl w:val="07C4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63B"/>
    <w:multiLevelType w:val="multilevel"/>
    <w:tmpl w:val="363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59F3"/>
    <w:multiLevelType w:val="multilevel"/>
    <w:tmpl w:val="27E2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E18B7"/>
    <w:multiLevelType w:val="multilevel"/>
    <w:tmpl w:val="94D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914F6"/>
    <w:multiLevelType w:val="multilevel"/>
    <w:tmpl w:val="B7B8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03B5C"/>
    <w:multiLevelType w:val="multilevel"/>
    <w:tmpl w:val="E7C0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23636"/>
    <w:multiLevelType w:val="multilevel"/>
    <w:tmpl w:val="004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B69ED"/>
    <w:multiLevelType w:val="multilevel"/>
    <w:tmpl w:val="0A70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7E4D31"/>
    <w:multiLevelType w:val="multilevel"/>
    <w:tmpl w:val="247E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4A321D"/>
    <w:multiLevelType w:val="multilevel"/>
    <w:tmpl w:val="78A8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61955"/>
    <w:multiLevelType w:val="multilevel"/>
    <w:tmpl w:val="2412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21E64"/>
    <w:multiLevelType w:val="multilevel"/>
    <w:tmpl w:val="38BA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46912"/>
    <w:multiLevelType w:val="multilevel"/>
    <w:tmpl w:val="2E9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881258">
    <w:abstractNumId w:val="12"/>
  </w:num>
  <w:num w:numId="2" w16cid:durableId="1766345828">
    <w:abstractNumId w:val="7"/>
  </w:num>
  <w:num w:numId="3" w16cid:durableId="1186136303">
    <w:abstractNumId w:val="9"/>
  </w:num>
  <w:num w:numId="4" w16cid:durableId="1104418978">
    <w:abstractNumId w:val="1"/>
  </w:num>
  <w:num w:numId="5" w16cid:durableId="1413814086">
    <w:abstractNumId w:val="6"/>
  </w:num>
  <w:num w:numId="6" w16cid:durableId="786699579">
    <w:abstractNumId w:val="11"/>
  </w:num>
  <w:num w:numId="7" w16cid:durableId="1487286460">
    <w:abstractNumId w:val="8"/>
  </w:num>
  <w:num w:numId="8" w16cid:durableId="2060933972">
    <w:abstractNumId w:val="4"/>
  </w:num>
  <w:num w:numId="9" w16cid:durableId="227107342">
    <w:abstractNumId w:val="2"/>
  </w:num>
  <w:num w:numId="10" w16cid:durableId="329408472">
    <w:abstractNumId w:val="0"/>
  </w:num>
  <w:num w:numId="11" w16cid:durableId="448166991">
    <w:abstractNumId w:val="5"/>
  </w:num>
  <w:num w:numId="12" w16cid:durableId="1619141506">
    <w:abstractNumId w:val="3"/>
  </w:num>
  <w:num w:numId="13" w16cid:durableId="235670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1F"/>
    <w:rsid w:val="00057E2C"/>
    <w:rsid w:val="00107873"/>
    <w:rsid w:val="00112CB5"/>
    <w:rsid w:val="00117789"/>
    <w:rsid w:val="001250E2"/>
    <w:rsid w:val="001B73C9"/>
    <w:rsid w:val="001F3B37"/>
    <w:rsid w:val="00270614"/>
    <w:rsid w:val="00277640"/>
    <w:rsid w:val="0029687B"/>
    <w:rsid w:val="002C643E"/>
    <w:rsid w:val="00364561"/>
    <w:rsid w:val="00365B86"/>
    <w:rsid w:val="003839F6"/>
    <w:rsid w:val="003A1A91"/>
    <w:rsid w:val="00466ADD"/>
    <w:rsid w:val="00590A2B"/>
    <w:rsid w:val="005F57AA"/>
    <w:rsid w:val="0060204A"/>
    <w:rsid w:val="00672A74"/>
    <w:rsid w:val="006E6DBF"/>
    <w:rsid w:val="00752B74"/>
    <w:rsid w:val="007E3A87"/>
    <w:rsid w:val="007E52EB"/>
    <w:rsid w:val="00822F5D"/>
    <w:rsid w:val="008766E1"/>
    <w:rsid w:val="008E521E"/>
    <w:rsid w:val="00912337"/>
    <w:rsid w:val="009175DD"/>
    <w:rsid w:val="00971964"/>
    <w:rsid w:val="00997E71"/>
    <w:rsid w:val="009C70DC"/>
    <w:rsid w:val="00B20358"/>
    <w:rsid w:val="00C72C63"/>
    <w:rsid w:val="00CA361F"/>
    <w:rsid w:val="00CF3867"/>
    <w:rsid w:val="00D10B7F"/>
    <w:rsid w:val="00D916C7"/>
    <w:rsid w:val="00E541CF"/>
    <w:rsid w:val="00E7105C"/>
    <w:rsid w:val="00EB4D08"/>
    <w:rsid w:val="00EF54F0"/>
    <w:rsid w:val="00F347CE"/>
    <w:rsid w:val="00F42C8A"/>
    <w:rsid w:val="00F52F0F"/>
    <w:rsid w:val="00FD74E2"/>
    <w:rsid w:val="00FF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1EAA9"/>
  <w15:chartTrackingRefBased/>
  <w15:docId w15:val="{D4ACC936-6873-294A-8D62-CBF254A0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61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A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A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A3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6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6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6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6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A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A3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6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6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6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6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6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6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6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6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61F"/>
    <w:pPr>
      <w:spacing w:before="100" w:beforeAutospacing="1" w:after="100" w:afterAutospacing="1"/>
    </w:pPr>
  </w:style>
  <w:style w:type="character" w:customStyle="1" w:styleId="citation-1241">
    <w:name w:val="citation-1241"/>
    <w:basedOn w:val="Fontepargpadro"/>
    <w:rsid w:val="00CA361F"/>
  </w:style>
  <w:style w:type="character" w:customStyle="1" w:styleId="apple-converted-space">
    <w:name w:val="apple-converted-space"/>
    <w:basedOn w:val="Fontepargpadro"/>
    <w:rsid w:val="00CA361F"/>
  </w:style>
  <w:style w:type="character" w:customStyle="1" w:styleId="citation-1240">
    <w:name w:val="citation-1240"/>
    <w:basedOn w:val="Fontepargpadro"/>
    <w:rsid w:val="00CA361F"/>
  </w:style>
  <w:style w:type="character" w:customStyle="1" w:styleId="citation-1239">
    <w:name w:val="citation-1239"/>
    <w:basedOn w:val="Fontepargpadro"/>
    <w:rsid w:val="00CA361F"/>
  </w:style>
  <w:style w:type="character" w:customStyle="1" w:styleId="citation-1238">
    <w:name w:val="citation-1238"/>
    <w:basedOn w:val="Fontepargpadro"/>
    <w:rsid w:val="00CA361F"/>
  </w:style>
  <w:style w:type="character" w:customStyle="1" w:styleId="citation-1237">
    <w:name w:val="citation-1237"/>
    <w:basedOn w:val="Fontepargpadro"/>
    <w:rsid w:val="00CA361F"/>
  </w:style>
  <w:style w:type="character" w:customStyle="1" w:styleId="citation-1236">
    <w:name w:val="citation-1236"/>
    <w:basedOn w:val="Fontepargpadro"/>
    <w:rsid w:val="00CA361F"/>
  </w:style>
  <w:style w:type="character" w:customStyle="1" w:styleId="citation-1235">
    <w:name w:val="citation-1235"/>
    <w:basedOn w:val="Fontepargpadro"/>
    <w:rsid w:val="00CA361F"/>
  </w:style>
  <w:style w:type="character" w:customStyle="1" w:styleId="citation-1234">
    <w:name w:val="citation-1234"/>
    <w:basedOn w:val="Fontepargpadro"/>
    <w:rsid w:val="00CA361F"/>
  </w:style>
  <w:style w:type="character" w:customStyle="1" w:styleId="citation-1233">
    <w:name w:val="citation-1233"/>
    <w:basedOn w:val="Fontepargpadro"/>
    <w:rsid w:val="00CA361F"/>
  </w:style>
  <w:style w:type="character" w:customStyle="1" w:styleId="citation-1232">
    <w:name w:val="citation-1232"/>
    <w:basedOn w:val="Fontepargpadro"/>
    <w:rsid w:val="00CA361F"/>
  </w:style>
  <w:style w:type="character" w:customStyle="1" w:styleId="citation-1231">
    <w:name w:val="citation-1231"/>
    <w:basedOn w:val="Fontepargpadro"/>
    <w:rsid w:val="00CA361F"/>
  </w:style>
  <w:style w:type="character" w:customStyle="1" w:styleId="citation-1230">
    <w:name w:val="citation-1230"/>
    <w:basedOn w:val="Fontepargpadro"/>
    <w:rsid w:val="00CA361F"/>
  </w:style>
  <w:style w:type="character" w:customStyle="1" w:styleId="citation-1229">
    <w:name w:val="citation-1229"/>
    <w:basedOn w:val="Fontepargpadro"/>
    <w:rsid w:val="00CA361F"/>
  </w:style>
  <w:style w:type="character" w:customStyle="1" w:styleId="citation-1228">
    <w:name w:val="citation-1228"/>
    <w:basedOn w:val="Fontepargpadro"/>
    <w:rsid w:val="00CA361F"/>
  </w:style>
  <w:style w:type="character" w:customStyle="1" w:styleId="citation-1227">
    <w:name w:val="citation-1227"/>
    <w:basedOn w:val="Fontepargpadro"/>
    <w:rsid w:val="00CA361F"/>
  </w:style>
  <w:style w:type="character" w:customStyle="1" w:styleId="citation-1226">
    <w:name w:val="citation-1226"/>
    <w:basedOn w:val="Fontepargpadro"/>
    <w:rsid w:val="00CA361F"/>
  </w:style>
  <w:style w:type="character" w:customStyle="1" w:styleId="citation-1225">
    <w:name w:val="citation-1225"/>
    <w:basedOn w:val="Fontepargpadro"/>
    <w:rsid w:val="00CA361F"/>
  </w:style>
  <w:style w:type="character" w:customStyle="1" w:styleId="citation-1224">
    <w:name w:val="citation-1224"/>
    <w:basedOn w:val="Fontepargpadro"/>
    <w:rsid w:val="00CA361F"/>
  </w:style>
  <w:style w:type="character" w:customStyle="1" w:styleId="citation-1223">
    <w:name w:val="citation-1223"/>
    <w:basedOn w:val="Fontepargpadro"/>
    <w:rsid w:val="00CA361F"/>
  </w:style>
  <w:style w:type="character" w:customStyle="1" w:styleId="citation-1222">
    <w:name w:val="citation-1222"/>
    <w:basedOn w:val="Fontepargpadro"/>
    <w:rsid w:val="00CA361F"/>
  </w:style>
  <w:style w:type="character" w:customStyle="1" w:styleId="citation-1216">
    <w:name w:val="citation-1216"/>
    <w:basedOn w:val="Fontepargpadro"/>
    <w:rsid w:val="00CA361F"/>
  </w:style>
  <w:style w:type="character" w:customStyle="1" w:styleId="citation-1215">
    <w:name w:val="citation-1215"/>
    <w:basedOn w:val="Fontepargpadro"/>
    <w:rsid w:val="00CA361F"/>
  </w:style>
  <w:style w:type="character" w:customStyle="1" w:styleId="citation-1214">
    <w:name w:val="citation-1214"/>
    <w:basedOn w:val="Fontepargpadro"/>
    <w:rsid w:val="00CA361F"/>
  </w:style>
  <w:style w:type="character" w:customStyle="1" w:styleId="citation-1213">
    <w:name w:val="citation-1213"/>
    <w:basedOn w:val="Fontepargpadro"/>
    <w:rsid w:val="00CA361F"/>
  </w:style>
  <w:style w:type="character" w:customStyle="1" w:styleId="citation-1212">
    <w:name w:val="citation-1212"/>
    <w:basedOn w:val="Fontepargpadro"/>
    <w:rsid w:val="00CA361F"/>
  </w:style>
  <w:style w:type="character" w:styleId="nfase">
    <w:name w:val="Emphasis"/>
    <w:basedOn w:val="Fontepargpadro"/>
    <w:uiPriority w:val="20"/>
    <w:qFormat/>
    <w:rsid w:val="00CA361F"/>
    <w:rPr>
      <w:i/>
      <w:iCs/>
    </w:rPr>
  </w:style>
  <w:style w:type="character" w:styleId="Hyperlink">
    <w:name w:val="Hyperlink"/>
    <w:basedOn w:val="Fontepargpadro"/>
    <w:uiPriority w:val="99"/>
    <w:unhideWhenUsed/>
    <w:rsid w:val="00CA361F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CA361F"/>
    <w:rPr>
      <w:b/>
      <w:bCs/>
    </w:rPr>
  </w:style>
  <w:style w:type="table" w:styleId="Tabelacomgrade">
    <w:name w:val="Table Grid"/>
    <w:basedOn w:val="Tabelanormal"/>
    <w:uiPriority w:val="39"/>
    <w:rsid w:val="00383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90A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90A2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90A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90A2B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117789"/>
    <w:pPr>
      <w:spacing w:before="240" w:after="0" w:line="259" w:lineRule="auto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177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1778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17789"/>
    <w:pPr>
      <w:spacing w:after="100"/>
      <w:ind w:left="480"/>
    </w:pPr>
  </w:style>
  <w:style w:type="character" w:styleId="MenoPendente">
    <w:name w:val="Unresolved Mention"/>
    <w:basedOn w:val="Fontepargpadro"/>
    <w:uiPriority w:val="99"/>
    <w:semiHidden/>
    <w:unhideWhenUsed/>
    <w:rsid w:val="00EF5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nuso.org/articulo/sobre-crescente-irrelevancia-da-america-latina" TargetMode="External"/><Relationship Id="rId18" Type="http://schemas.openxmlformats.org/officeDocument/2006/relationships/hyperlink" Target="https://www.researchgate.net/publication/351369298_La_CELAC_mas_alla_del_regionalismo_poshegemonico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://maratavarespsictics.pbworks.com/w/file/fetch/74304716/3-YIN-planejamento_metodologia.pdf" TargetMode="External"/><Relationship Id="rId17" Type="http://schemas.openxmlformats.org/officeDocument/2006/relationships/hyperlink" Target="https://www.cries.org/wp-content/uploads/2017/02/007-sanahuja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lo.org.mx/scielo.php?script=sci_arttext&amp;pid=S0185-013X2015000200631" TargetMode="External"/><Relationship Id="rId20" Type="http://schemas.openxmlformats.org/officeDocument/2006/relationships/hyperlink" Target="https://us.sagepub.com/en-us/nam/case-study-research-and-applications/book25015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lacso.or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un.org/pt/global-issues/america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oas.org/pt/cidh/relatorios/ia.asp" TargetMode="External"/><Relationship Id="rId19" Type="http://schemas.openxmlformats.org/officeDocument/2006/relationships/hyperlink" Target="https://repositorio.utdt.edu/server/api/core/bitstreams/33311df7-2b39-455d-8e29-6e23db99873f/cont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rosoa.unam.mx/handle/123456789/3576" TargetMode="External"/><Relationship Id="rId14" Type="http://schemas.openxmlformats.org/officeDocument/2006/relationships/hyperlink" Target="https://www.oas.org/pt/democracia/carta_democratica.a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058CF-A86F-4622-8F41-8707E33C1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5250</Words>
  <Characters>28351</Characters>
  <Application>Microsoft Office Word</Application>
  <DocSecurity>0</DocSecurity>
  <Lines>236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65</vt:i4>
      </vt:variant>
    </vt:vector>
  </HeadingPairs>
  <TitlesOfParts>
    <vt:vector size="66" baseType="lpstr">
      <vt:lpstr/>
      <vt:lpstr>INSTITUTO BRASILEIRO DE ENSINO, DESENVOLVIMENTO E PESQUISA</vt:lpstr>
      <vt:lpstr/>
      <vt:lpstr/>
      <vt:lpstr/>
      <vt:lpstr/>
      <vt:lpstr/>
      <vt:lpstr/>
      <vt:lpstr>Entre hegemonia e autonomia: CELAC e OEA na disputa pela governança regional Lat</vt:lpstr>
      <vt:lpstr>Pedro Paulo Henrichs Neto</vt:lpstr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/>
      <vt:lpstr>PEDRO PAULO HENRICHS NETO</vt:lpstr>
      <vt:lpstr/>
      <vt:lpstr/>
      <vt:lpstr/>
      <vt:lpstr/>
      <vt:lpstr/>
      <vt:lpstr/>
      <vt:lpstr>Entre hegemonia e autonomia: CELAC e OEA na disputa pela governança regional Lat</vt:lpstr>
      <vt:lpstr>    DICIONÁRIO DE ABREVIATURAS E SIGLAS</vt:lpstr>
      <vt:lpstr>        </vt:lpstr>
      <vt:lpstr>1 TEMA </vt:lpstr>
      <vt:lpstr>2 PERGUNTA DE PESQUISA </vt:lpstr>
      <vt:lpstr>3 JUSTIFICATIVA </vt:lpstr>
      <vt:lpstr>    3.1 Relevância Acadêmica e Lacuna de Pesquisa</vt:lpstr>
      <vt:lpstr>    3.2 Relevância Política e de Governança</vt:lpstr>
      <vt:lpstr>    </vt:lpstr>
      <vt:lpstr>4 REVISÃO DA LITERATURA E REFERENCIAL TEÓRICO </vt:lpstr>
      <vt:lpstr>    4.1 A OEA e a tradição interamericana</vt:lpstr>
      <vt:lpstr>    4.2 A emergência da CELAC</vt:lpstr>
      <vt:lpstr>    </vt:lpstr>
      <vt:lpstr>    4.3 Regionalismo pós-hegemônico</vt:lpstr>
      <vt:lpstr>    4.4 Hegemonia, autonomia e política externa</vt:lpstr>
      <vt:lpstr>5 ESTUDOS DE CASO </vt:lpstr>
      <vt:lpstr>6 HIPÓTESES</vt:lpstr>
      <vt:lpstr>        6.1 Hipótese Central </vt:lpstr>
      <vt:lpstr>        6.2 Hipótese Secundária </vt:lpstr>
      <vt:lpstr>7 MÉTODO DE ABORDAGEM </vt:lpstr>
      <vt:lpstr>    7.1 Método Comparativo e Variáveis de Estudo</vt:lpstr>
      <vt:lpstr>    </vt:lpstr>
      <vt:lpstr>    7.2 Seleção e Justificativa dos Casos</vt:lpstr>
      <vt:lpstr>    7.3 Pesquisa Documental</vt:lpstr>
      <vt:lpstr>    7.4 Entrevistas Semiestruturadas </vt:lpstr>
      <vt:lpstr>    7.5 Procedimentos de Análise</vt:lpstr>
      <vt:lpstr>    7.6 Limitações Metodológicas</vt:lpstr>
      <vt:lpstr>8 CRONOGRAMA DE PESQUISA (12 Meses)</vt:lpstr>
      <vt:lpstr/>
      <vt:lpstr>9 REFERÊNCIAS</vt:lpstr>
    </vt:vector>
  </TitlesOfParts>
  <Company/>
  <LinksUpToDate>false</LinksUpToDate>
  <CharactersWithSpaces>33534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3</cp:revision>
  <cp:lastPrinted>2025-10-26T16:09:00Z</cp:lastPrinted>
  <dcterms:created xsi:type="dcterms:W3CDTF">2025-10-26T16:09:00Z</dcterms:created>
  <dcterms:modified xsi:type="dcterms:W3CDTF">2025-10-26T16:09:00Z</dcterms:modified>
</cp:coreProperties>
</file>