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027BF">
      <w:pPr>
        <w:jc w:val="center"/>
        <w:outlineLvl w:val="0"/>
        <w:rPr>
          <w:rStyle w:val="13"/>
          <w:rFonts w:hint="default" w:ascii="Times New Roman" w:hAnsi="Times New Roman" w:cs="Times New Roman" w:eastAsiaTheme="majorEastAsia"/>
          <w:color w:val="444444"/>
          <w:shd w:val="clear" w:color="auto" w:fill="FFFFFF"/>
        </w:rPr>
      </w:pPr>
      <w:bookmarkStart w:id="0" w:name="_Toc212364360"/>
      <w:bookmarkStart w:id="1" w:name="_Toc210326507"/>
      <w:bookmarkStart w:id="2" w:name="_Toc210315749"/>
      <w:r>
        <w:rPr>
          <w:rStyle w:val="13"/>
          <w:rFonts w:hint="default" w:ascii="Times New Roman" w:hAnsi="Times New Roman" w:cs="Times New Roman" w:eastAsiaTheme="majorEastAsia"/>
          <w:color w:val="444444"/>
          <w:shd w:val="clear" w:color="auto" w:fill="FFFFFF"/>
        </w:rPr>
        <w:t>INSTITUTO</w:t>
      </w:r>
      <w:r>
        <w:rPr>
          <w:rFonts w:hint="default" w:ascii="Times New Roman" w:hAnsi="Times New Roman" w:cs="Times New Roman"/>
          <w:color w:val="444444"/>
          <w:shd w:val="clear" w:color="auto" w:fill="FFFFFF"/>
        </w:rPr>
        <w:t> </w:t>
      </w:r>
      <w:r>
        <w:rPr>
          <w:rStyle w:val="13"/>
          <w:rFonts w:hint="default" w:ascii="Times New Roman" w:hAnsi="Times New Roman" w:cs="Times New Roman" w:eastAsiaTheme="majorEastAsia"/>
          <w:color w:val="444444"/>
          <w:shd w:val="clear" w:color="auto" w:fill="FFFFFF"/>
        </w:rPr>
        <w:t>BRASILEIRO</w:t>
      </w:r>
      <w:r>
        <w:rPr>
          <w:rFonts w:hint="default" w:ascii="Times New Roman" w:hAnsi="Times New Roman" w:cs="Times New Roman"/>
          <w:color w:val="444444"/>
          <w:shd w:val="clear" w:color="auto" w:fill="FFFFFF"/>
        </w:rPr>
        <w:t> </w:t>
      </w:r>
      <w:r>
        <w:rPr>
          <w:rStyle w:val="13"/>
          <w:rFonts w:hint="default" w:ascii="Times New Roman" w:hAnsi="Times New Roman" w:cs="Times New Roman" w:eastAsiaTheme="majorEastAsia"/>
          <w:color w:val="444444"/>
          <w:shd w:val="clear" w:color="auto" w:fill="FFFFFF"/>
        </w:rPr>
        <w:t>DE</w:t>
      </w:r>
      <w:r>
        <w:rPr>
          <w:rFonts w:hint="default" w:ascii="Times New Roman" w:hAnsi="Times New Roman" w:cs="Times New Roman"/>
          <w:color w:val="444444"/>
          <w:shd w:val="clear" w:color="auto" w:fill="FFFFFF"/>
        </w:rPr>
        <w:t> </w:t>
      </w:r>
      <w:r>
        <w:rPr>
          <w:rStyle w:val="13"/>
          <w:rFonts w:hint="default" w:ascii="Times New Roman" w:hAnsi="Times New Roman" w:cs="Times New Roman" w:eastAsiaTheme="majorEastAsia"/>
          <w:color w:val="444444"/>
          <w:shd w:val="clear" w:color="auto" w:fill="FFFFFF"/>
        </w:rPr>
        <w:t>ENSINO</w:t>
      </w:r>
      <w:r>
        <w:rPr>
          <w:rFonts w:hint="default" w:ascii="Times New Roman" w:hAnsi="Times New Roman" w:cs="Times New Roman"/>
          <w:color w:val="444444"/>
          <w:shd w:val="clear" w:color="auto" w:fill="FFFFFF"/>
        </w:rPr>
        <w:t>, </w:t>
      </w:r>
      <w:r>
        <w:rPr>
          <w:rStyle w:val="13"/>
          <w:rFonts w:hint="default" w:ascii="Times New Roman" w:hAnsi="Times New Roman" w:cs="Times New Roman" w:eastAsiaTheme="majorEastAsia"/>
          <w:color w:val="444444"/>
          <w:shd w:val="clear" w:color="auto" w:fill="FFFFFF"/>
        </w:rPr>
        <w:t>DESENVOLVIMENTO</w:t>
      </w:r>
      <w:r>
        <w:rPr>
          <w:rFonts w:hint="default" w:ascii="Times New Roman" w:hAnsi="Times New Roman" w:cs="Times New Roman"/>
          <w:color w:val="444444"/>
          <w:shd w:val="clear" w:color="auto" w:fill="FFFFFF"/>
        </w:rPr>
        <w:t> </w:t>
      </w:r>
      <w:r>
        <w:rPr>
          <w:rStyle w:val="13"/>
          <w:rFonts w:hint="default" w:ascii="Times New Roman" w:hAnsi="Times New Roman" w:cs="Times New Roman" w:eastAsiaTheme="majorEastAsia"/>
          <w:color w:val="444444"/>
          <w:shd w:val="clear" w:color="auto" w:fill="FFFFFF"/>
        </w:rPr>
        <w:t>E</w:t>
      </w:r>
      <w:r>
        <w:rPr>
          <w:rFonts w:hint="default" w:ascii="Times New Roman" w:hAnsi="Times New Roman" w:cs="Times New Roman"/>
          <w:color w:val="444444"/>
          <w:shd w:val="clear" w:color="auto" w:fill="FFFFFF"/>
        </w:rPr>
        <w:t> </w:t>
      </w:r>
      <w:r>
        <w:rPr>
          <w:rStyle w:val="13"/>
          <w:rFonts w:hint="default" w:ascii="Times New Roman" w:hAnsi="Times New Roman" w:cs="Times New Roman" w:eastAsiaTheme="majorEastAsia"/>
          <w:color w:val="444444"/>
          <w:shd w:val="clear" w:color="auto" w:fill="FFFFFF"/>
        </w:rPr>
        <w:t>PESQUISA</w:t>
      </w:r>
      <w:bookmarkEnd w:id="0"/>
    </w:p>
    <w:p w14:paraId="44CFE99A">
      <w:pPr>
        <w:jc w:val="center"/>
        <w:outlineLvl w:val="0"/>
        <w:rPr>
          <w:rStyle w:val="13"/>
          <w:rFonts w:hint="default" w:ascii="Times New Roman" w:hAnsi="Times New Roman" w:cs="Times New Roman" w:eastAsiaTheme="majorEastAsia"/>
          <w:color w:val="444444"/>
          <w:shd w:val="clear" w:color="auto" w:fill="FFFFFF"/>
          <w:lang w:val="pt-BR"/>
        </w:rPr>
      </w:pPr>
      <w:r>
        <w:rPr>
          <w:rStyle w:val="13"/>
          <w:rFonts w:hint="default" w:ascii="Times New Roman" w:hAnsi="Times New Roman" w:cs="Times New Roman" w:eastAsiaTheme="majorEastAsia"/>
          <w:color w:val="444444"/>
          <w:shd w:val="clear" w:color="auto" w:fill="FFFFFF"/>
          <w:lang w:val="pt-BR"/>
        </w:rPr>
        <w:t>MESTRADO EM CIÊNCIA POLÍTICA</w:t>
      </w:r>
    </w:p>
    <w:p w14:paraId="0A8FDD45">
      <w:pPr>
        <w:pStyle w:val="2"/>
        <w:spacing w:before="0"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p>
    <w:p w14:paraId="530D6A57">
      <w:pPr>
        <w:rPr>
          <w:rFonts w:hint="default" w:ascii="Times New Roman" w:hAnsi="Times New Roman" w:cs="Times New Roman"/>
        </w:rPr>
      </w:pPr>
    </w:p>
    <w:p w14:paraId="004BFDB5">
      <w:pPr>
        <w:rPr>
          <w:rFonts w:hint="default" w:ascii="Times New Roman" w:hAnsi="Times New Roman" w:cs="Times New Roman"/>
        </w:rPr>
      </w:pPr>
    </w:p>
    <w:p w14:paraId="7ABF3030">
      <w:pPr>
        <w:rPr>
          <w:rFonts w:hint="default" w:ascii="Times New Roman" w:hAnsi="Times New Roman" w:cs="Times New Roman"/>
        </w:rPr>
      </w:pPr>
    </w:p>
    <w:p w14:paraId="2A200AE5">
      <w:pPr>
        <w:rPr>
          <w:rFonts w:hint="default" w:ascii="Times New Roman" w:hAnsi="Times New Roman" w:cs="Times New Roman"/>
        </w:rPr>
      </w:pPr>
    </w:p>
    <w:p w14:paraId="050E6420">
      <w:pPr>
        <w:rPr>
          <w:rFonts w:hint="default" w:ascii="Times New Roman" w:hAnsi="Times New Roman" w:cs="Times New Roman"/>
        </w:rPr>
      </w:pPr>
    </w:p>
    <w:p w14:paraId="4C285364">
      <w:pPr>
        <w:rPr>
          <w:rFonts w:hint="default" w:ascii="Times New Roman" w:hAnsi="Times New Roman" w:cs="Times New Roman"/>
        </w:rPr>
      </w:pPr>
    </w:p>
    <w:p w14:paraId="42140D6D">
      <w:pPr>
        <w:rPr>
          <w:rFonts w:hint="default" w:ascii="Times New Roman" w:hAnsi="Times New Roman" w:cs="Times New Roman"/>
        </w:rPr>
      </w:pPr>
    </w:p>
    <w:p w14:paraId="1653F03B">
      <w:pPr>
        <w:pStyle w:val="2"/>
        <w:spacing w:before="0"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bookmarkStart w:id="3" w:name="_Toc212364361"/>
      <w:r>
        <w:rPr>
          <w:rFonts w:hint="default" w:ascii="Times New Roman" w:hAnsi="Times New Roman" w:cs="Times New Roman"/>
          <w:b/>
          <w:bCs/>
          <w:color w:val="000000" w:themeColor="text1"/>
          <w:sz w:val="24"/>
          <w:szCs w:val="24"/>
          <w14:textFill>
            <w14:solidFill>
              <w14:schemeClr w14:val="tx1"/>
            </w14:solidFill>
          </w14:textFill>
        </w:rPr>
        <w:t>ENTRE HEGEMONIA E AUTONOMIA: CELAC E OEA NA DISPUTA PELA GOVERNANÇA REGIONAL LATINO-AMERICANA</w:t>
      </w:r>
      <w:bookmarkEnd w:id="3"/>
    </w:p>
    <w:p w14:paraId="2D33D4E9">
      <w:pPr>
        <w:spacing w:line="360" w:lineRule="auto"/>
        <w:rPr>
          <w:rFonts w:hint="default" w:ascii="Times New Roman" w:hAnsi="Times New Roman" w:cs="Times New Roman"/>
        </w:rPr>
      </w:pPr>
    </w:p>
    <w:p w14:paraId="387BC171">
      <w:pPr>
        <w:spacing w:line="360" w:lineRule="auto"/>
        <w:rPr>
          <w:rFonts w:hint="default" w:ascii="Times New Roman" w:hAnsi="Times New Roman" w:cs="Times New Roman"/>
          <w:bCs/>
        </w:rPr>
      </w:pPr>
    </w:p>
    <w:p w14:paraId="32FF68C8">
      <w:pPr>
        <w:spacing w:line="360" w:lineRule="auto"/>
        <w:rPr>
          <w:rFonts w:hint="default" w:ascii="Times New Roman" w:hAnsi="Times New Roman" w:cs="Times New Roman"/>
          <w:bCs/>
        </w:rPr>
      </w:pPr>
    </w:p>
    <w:p w14:paraId="6229B871">
      <w:pPr>
        <w:pStyle w:val="17"/>
        <w:spacing w:before="0" w:beforeAutospacing="0" w:after="0" w:afterAutospacing="0"/>
        <w:jc w:val="center"/>
        <w:rPr>
          <w:rFonts w:hint="default" w:ascii="Times New Roman" w:hAnsi="Times New Roman"/>
          <w:bCs/>
        </w:rPr>
      </w:pPr>
      <w:r>
        <w:rPr>
          <w:rFonts w:hint="default" w:ascii="Times New Roman" w:hAnsi="Times New Roman"/>
          <w:bCs/>
        </w:rPr>
        <w:t xml:space="preserve"> </w:t>
      </w:r>
      <w:r>
        <w:rPr>
          <w:rFonts w:hint="default"/>
          <w:bCs/>
          <w:lang w:val="pt-BR"/>
        </w:rPr>
        <w:t>C</w:t>
      </w:r>
      <w:r>
        <w:rPr>
          <w:rFonts w:hint="default" w:ascii="Times New Roman" w:hAnsi="Times New Roman"/>
          <w:bCs/>
        </w:rPr>
        <w:t xml:space="preserve">hristine </w:t>
      </w:r>
      <w:r>
        <w:rPr>
          <w:rFonts w:hint="default"/>
          <w:bCs/>
          <w:lang w:val="pt-BR"/>
        </w:rPr>
        <w:t>T</w:t>
      </w:r>
      <w:r>
        <w:rPr>
          <w:rFonts w:hint="default" w:ascii="Times New Roman" w:hAnsi="Times New Roman"/>
          <w:bCs/>
        </w:rPr>
        <w:t xml:space="preserve">avares </w:t>
      </w:r>
      <w:r>
        <w:rPr>
          <w:rFonts w:hint="default"/>
          <w:bCs/>
          <w:lang w:val="pt-BR"/>
        </w:rPr>
        <w:t>M</w:t>
      </w:r>
      <w:r>
        <w:rPr>
          <w:rFonts w:hint="default" w:ascii="Times New Roman" w:hAnsi="Times New Roman"/>
          <w:bCs/>
        </w:rPr>
        <w:t>éro</w:t>
      </w:r>
    </w:p>
    <w:p w14:paraId="5BC236CC">
      <w:pPr>
        <w:pStyle w:val="17"/>
        <w:spacing w:before="0" w:beforeAutospacing="0" w:after="0" w:afterAutospacing="0"/>
        <w:jc w:val="center"/>
        <w:rPr>
          <w:rFonts w:hint="default" w:ascii="Times New Roman" w:hAnsi="Times New Roman"/>
          <w:bCs/>
        </w:rPr>
      </w:pPr>
      <w:r>
        <w:rPr>
          <w:rFonts w:hint="default" w:ascii="Times New Roman" w:hAnsi="Times New Roman"/>
          <w:bCs/>
        </w:rPr>
        <w:t>Diogo José Andrade Romão</w:t>
      </w:r>
    </w:p>
    <w:p w14:paraId="572CE649">
      <w:pPr>
        <w:pStyle w:val="17"/>
        <w:spacing w:before="0" w:beforeAutospacing="0" w:after="0" w:afterAutospacing="0"/>
        <w:jc w:val="center"/>
        <w:rPr>
          <w:rFonts w:hint="default" w:ascii="Times New Roman" w:hAnsi="Times New Roman"/>
          <w:bCs/>
        </w:rPr>
      </w:pPr>
      <w:r>
        <w:rPr>
          <w:rFonts w:hint="default" w:ascii="Times New Roman" w:hAnsi="Times New Roman"/>
          <w:bCs/>
        </w:rPr>
        <w:t>Santusa Pereira Santana</w:t>
      </w:r>
    </w:p>
    <w:p w14:paraId="482F33DC">
      <w:pPr>
        <w:pStyle w:val="17"/>
        <w:spacing w:before="0" w:beforeAutospacing="0" w:after="0" w:afterAutospacing="0"/>
        <w:jc w:val="center"/>
        <w:rPr>
          <w:rFonts w:hint="default" w:ascii="Times New Roman" w:hAnsi="Times New Roman"/>
          <w:bCs/>
        </w:rPr>
      </w:pPr>
      <w:r>
        <w:rPr>
          <w:rFonts w:hint="default" w:ascii="Times New Roman" w:hAnsi="Times New Roman"/>
          <w:bCs/>
        </w:rPr>
        <w:t>Renato Bagre</w:t>
      </w:r>
    </w:p>
    <w:p w14:paraId="1A535D5A">
      <w:pPr>
        <w:pStyle w:val="17"/>
        <w:spacing w:before="0" w:beforeAutospacing="0" w:after="0" w:afterAutospacing="0"/>
        <w:jc w:val="center"/>
        <w:rPr>
          <w:rFonts w:hint="default" w:ascii="Times New Roman" w:hAnsi="Times New Roman"/>
          <w:bCs/>
        </w:rPr>
      </w:pPr>
      <w:r>
        <w:rPr>
          <w:rFonts w:hint="default" w:ascii="Times New Roman" w:hAnsi="Times New Roman"/>
          <w:bCs/>
        </w:rPr>
        <w:t>Pedro Henrichs</w:t>
      </w:r>
    </w:p>
    <w:p w14:paraId="1FD6A232">
      <w:pPr>
        <w:pStyle w:val="17"/>
        <w:spacing w:before="0" w:beforeAutospacing="0" w:after="0" w:afterAutospacing="0"/>
        <w:jc w:val="center"/>
        <w:rPr>
          <w:rFonts w:hint="default" w:ascii="Times New Roman" w:hAnsi="Times New Roman"/>
          <w:bCs/>
        </w:rPr>
      </w:pPr>
    </w:p>
    <w:p w14:paraId="367BA6D3">
      <w:pPr>
        <w:pStyle w:val="17"/>
        <w:spacing w:before="0" w:beforeAutospacing="0" w:after="0" w:afterAutospacing="0"/>
        <w:jc w:val="center"/>
        <w:rPr>
          <w:rFonts w:hint="default" w:ascii="Times New Roman" w:hAnsi="Times New Roman" w:cs="Times New Roman"/>
          <w:sz w:val="24"/>
          <w:szCs w:val="24"/>
        </w:rPr>
      </w:pPr>
      <w:r>
        <w:rPr>
          <w:rFonts w:hint="default" w:ascii="Times New Roman" w:hAnsi="Times New Roman" w:cs="Times New Roman"/>
          <w:sz w:val="24"/>
          <w:szCs w:val="24"/>
        </w:rPr>
        <w:t>Dr. Jean Lima e Dr</w:t>
      </w:r>
      <w:r>
        <w:rPr>
          <w:rFonts w:hint="default" w:ascii="Times New Roman" w:hAnsi="Times New Roman" w:cs="Times New Roman"/>
          <w:sz w:val="24"/>
          <w:szCs w:val="24"/>
          <w:vertAlign w:val="superscript"/>
        </w:rPr>
        <w:t>a</w:t>
      </w:r>
      <w:r>
        <w:rPr>
          <w:rFonts w:hint="default" w:ascii="Times New Roman" w:hAnsi="Times New Roman" w:cs="Times New Roman"/>
          <w:sz w:val="24"/>
          <w:szCs w:val="24"/>
        </w:rPr>
        <w:t>. Marcela Machado</w:t>
      </w:r>
    </w:p>
    <w:p w14:paraId="40BBC3F2">
      <w:pPr>
        <w:ind w:left="4536"/>
        <w:jc w:val="both"/>
        <w:rPr>
          <w:rFonts w:hint="default" w:ascii="Times New Roman" w:hAnsi="Times New Roman" w:cs="Times New Roman"/>
          <w:sz w:val="20"/>
          <w:szCs w:val="20"/>
        </w:rPr>
      </w:pPr>
    </w:p>
    <w:p w14:paraId="12C54F30">
      <w:pPr>
        <w:spacing w:line="360" w:lineRule="auto"/>
        <w:jc w:val="center"/>
        <w:outlineLvl w:val="0"/>
        <w:rPr>
          <w:rFonts w:hint="default" w:ascii="Times New Roman" w:hAnsi="Times New Roman" w:cs="Times New Roman"/>
          <w:b/>
          <w:bCs/>
          <w:color w:val="000000"/>
          <w:kern w:val="36"/>
          <w:sz w:val="28"/>
          <w:szCs w:val="28"/>
        </w:rPr>
      </w:pPr>
    </w:p>
    <w:p w14:paraId="26F5E737">
      <w:pPr>
        <w:jc w:val="center"/>
        <w:outlineLvl w:val="0"/>
        <w:rPr>
          <w:rStyle w:val="13"/>
          <w:rFonts w:hint="default" w:ascii="Times New Roman" w:hAnsi="Times New Roman" w:cs="Times New Roman" w:eastAsiaTheme="majorEastAsia"/>
          <w:color w:val="444444"/>
          <w:shd w:val="clear" w:color="auto" w:fill="FFFFFF"/>
        </w:rPr>
      </w:pPr>
    </w:p>
    <w:p w14:paraId="6B869BC5">
      <w:pPr>
        <w:jc w:val="center"/>
        <w:outlineLvl w:val="0"/>
        <w:rPr>
          <w:rStyle w:val="13"/>
          <w:rFonts w:hint="default" w:ascii="Times New Roman" w:hAnsi="Times New Roman" w:cs="Times New Roman" w:eastAsiaTheme="majorEastAsia"/>
          <w:color w:val="444444"/>
          <w:shd w:val="clear" w:color="auto" w:fill="FFFFFF"/>
        </w:rPr>
      </w:pPr>
    </w:p>
    <w:p w14:paraId="09C9BE6B">
      <w:pPr>
        <w:jc w:val="center"/>
        <w:outlineLvl w:val="0"/>
        <w:rPr>
          <w:rStyle w:val="13"/>
          <w:rFonts w:hint="default" w:ascii="Times New Roman" w:hAnsi="Times New Roman" w:cs="Times New Roman" w:eastAsiaTheme="majorEastAsia"/>
          <w:color w:val="444444"/>
          <w:shd w:val="clear" w:color="auto" w:fill="FFFFFF"/>
        </w:rPr>
      </w:pPr>
    </w:p>
    <w:p w14:paraId="20DEFC24">
      <w:pPr>
        <w:jc w:val="center"/>
        <w:outlineLvl w:val="0"/>
        <w:rPr>
          <w:rStyle w:val="13"/>
          <w:rFonts w:hint="default" w:ascii="Times New Roman" w:hAnsi="Times New Roman" w:cs="Times New Roman" w:eastAsiaTheme="majorEastAsia"/>
          <w:color w:val="444444"/>
          <w:shd w:val="clear" w:color="auto" w:fill="FFFFFF"/>
        </w:rPr>
      </w:pPr>
    </w:p>
    <w:p w14:paraId="1689890D">
      <w:pPr>
        <w:jc w:val="center"/>
        <w:outlineLvl w:val="0"/>
        <w:rPr>
          <w:rStyle w:val="13"/>
          <w:rFonts w:hint="default" w:ascii="Times New Roman" w:hAnsi="Times New Roman" w:cs="Times New Roman" w:eastAsiaTheme="majorEastAsia"/>
          <w:color w:val="444444"/>
          <w:shd w:val="clear" w:color="auto" w:fill="FFFFFF"/>
        </w:rPr>
      </w:pPr>
    </w:p>
    <w:p w14:paraId="0EA81B27">
      <w:pPr>
        <w:jc w:val="center"/>
        <w:outlineLvl w:val="0"/>
        <w:rPr>
          <w:rStyle w:val="13"/>
          <w:rFonts w:hint="default" w:ascii="Times New Roman" w:hAnsi="Times New Roman" w:cs="Times New Roman" w:eastAsiaTheme="majorEastAsia"/>
          <w:color w:val="444444"/>
          <w:shd w:val="clear" w:color="auto" w:fill="FFFFFF"/>
        </w:rPr>
      </w:pPr>
    </w:p>
    <w:p w14:paraId="151DA511">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Brasília/DF </w:t>
      </w:r>
    </w:p>
    <w:p w14:paraId="2D523333">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Outubro/2025</w:t>
      </w:r>
    </w:p>
    <w:bookmarkEnd w:id="1"/>
    <w:bookmarkEnd w:id="2"/>
    <w:p w14:paraId="32FCA21F">
      <w:pPr>
        <w:pStyle w:val="17"/>
        <w:spacing w:before="0" w:beforeAutospacing="0" w:after="0" w:afterAutospacing="0" w:line="360" w:lineRule="auto"/>
        <w:jc w:val="center"/>
        <w:rPr>
          <w:rFonts w:hint="default" w:ascii="Times New Roman" w:hAnsi="Times New Roman"/>
          <w:b/>
          <w:bCs w:val="0"/>
        </w:rPr>
      </w:pPr>
      <w:r>
        <w:rPr>
          <w:rFonts w:hint="default" w:ascii="Times New Roman" w:hAnsi="Times New Roman"/>
          <w:b/>
          <w:bCs w:val="0"/>
        </w:rPr>
        <w:t xml:space="preserve"> </w:t>
      </w:r>
      <w:r>
        <w:rPr>
          <w:rFonts w:hint="default"/>
          <w:b/>
          <w:bCs w:val="0"/>
          <w:lang w:val="pt-BR"/>
        </w:rPr>
        <w:t>C</w:t>
      </w:r>
      <w:r>
        <w:rPr>
          <w:rFonts w:hint="default" w:ascii="Times New Roman" w:hAnsi="Times New Roman"/>
          <w:b/>
          <w:bCs w:val="0"/>
        </w:rPr>
        <w:t xml:space="preserve">HRISTINE </w:t>
      </w:r>
      <w:r>
        <w:rPr>
          <w:rFonts w:hint="default"/>
          <w:b/>
          <w:bCs w:val="0"/>
          <w:lang w:val="pt-BR"/>
        </w:rPr>
        <w:t>T</w:t>
      </w:r>
      <w:r>
        <w:rPr>
          <w:rFonts w:hint="default" w:ascii="Times New Roman" w:hAnsi="Times New Roman"/>
          <w:b/>
          <w:bCs w:val="0"/>
        </w:rPr>
        <w:t xml:space="preserve">AVARES </w:t>
      </w:r>
      <w:r>
        <w:rPr>
          <w:rFonts w:hint="default"/>
          <w:b/>
          <w:bCs w:val="0"/>
          <w:lang w:val="pt-BR"/>
        </w:rPr>
        <w:t>M</w:t>
      </w:r>
      <w:r>
        <w:rPr>
          <w:rFonts w:hint="default" w:ascii="Times New Roman" w:hAnsi="Times New Roman"/>
          <w:b/>
          <w:bCs w:val="0"/>
        </w:rPr>
        <w:t>ÉRO</w:t>
      </w:r>
    </w:p>
    <w:p w14:paraId="61DC86A7">
      <w:pPr>
        <w:pStyle w:val="17"/>
        <w:spacing w:before="0" w:beforeAutospacing="0" w:after="0" w:afterAutospacing="0" w:line="360" w:lineRule="auto"/>
        <w:jc w:val="center"/>
        <w:rPr>
          <w:rFonts w:hint="default" w:ascii="Times New Roman" w:hAnsi="Times New Roman"/>
          <w:b/>
          <w:bCs w:val="0"/>
        </w:rPr>
      </w:pPr>
      <w:r>
        <w:rPr>
          <w:rFonts w:hint="default" w:ascii="Times New Roman" w:hAnsi="Times New Roman"/>
          <w:b/>
          <w:bCs w:val="0"/>
        </w:rPr>
        <w:t>DIOGO JOSÉ ANDRADE ROMÃO</w:t>
      </w:r>
    </w:p>
    <w:p w14:paraId="4532EB7F">
      <w:pPr>
        <w:pStyle w:val="17"/>
        <w:spacing w:before="0" w:beforeAutospacing="0" w:after="0" w:afterAutospacing="0" w:line="360" w:lineRule="auto"/>
        <w:jc w:val="center"/>
        <w:rPr>
          <w:rFonts w:hint="default" w:ascii="Times New Roman" w:hAnsi="Times New Roman"/>
          <w:b/>
          <w:bCs w:val="0"/>
        </w:rPr>
      </w:pPr>
      <w:r>
        <w:rPr>
          <w:rFonts w:hint="default" w:ascii="Times New Roman" w:hAnsi="Times New Roman"/>
          <w:b/>
          <w:bCs w:val="0"/>
        </w:rPr>
        <w:t>SANTUSA PEREIRA SANTANA</w:t>
      </w:r>
    </w:p>
    <w:p w14:paraId="7A6EA679">
      <w:pPr>
        <w:pStyle w:val="17"/>
        <w:spacing w:before="0" w:beforeAutospacing="0" w:after="0" w:afterAutospacing="0" w:line="360" w:lineRule="auto"/>
        <w:jc w:val="center"/>
        <w:rPr>
          <w:rFonts w:hint="default" w:ascii="Times New Roman" w:hAnsi="Times New Roman"/>
          <w:b/>
          <w:bCs w:val="0"/>
        </w:rPr>
      </w:pPr>
      <w:r>
        <w:rPr>
          <w:rFonts w:hint="default" w:ascii="Times New Roman" w:hAnsi="Times New Roman"/>
          <w:b/>
          <w:bCs w:val="0"/>
        </w:rPr>
        <w:t>RENATO BAGRE</w:t>
      </w:r>
    </w:p>
    <w:p w14:paraId="6F6D9059">
      <w:pPr>
        <w:pStyle w:val="17"/>
        <w:spacing w:before="0" w:beforeAutospacing="0" w:after="0" w:afterAutospacing="0" w:line="360" w:lineRule="auto"/>
        <w:jc w:val="center"/>
        <w:rPr>
          <w:rFonts w:hint="default" w:ascii="Times New Roman" w:hAnsi="Times New Roman"/>
          <w:b/>
          <w:bCs w:val="0"/>
        </w:rPr>
      </w:pPr>
      <w:r>
        <w:rPr>
          <w:rFonts w:hint="default" w:ascii="Times New Roman" w:hAnsi="Times New Roman"/>
          <w:b/>
          <w:bCs w:val="0"/>
        </w:rPr>
        <w:t>PEDRO HENRICHS</w:t>
      </w:r>
    </w:p>
    <w:p w14:paraId="61BD33D7">
      <w:pPr>
        <w:jc w:val="center"/>
        <w:outlineLvl w:val="0"/>
        <w:rPr>
          <w:rFonts w:hint="default" w:ascii="Times New Roman" w:hAnsi="Times New Roman" w:cs="Times New Roman"/>
          <w:b/>
          <w:bCs/>
          <w:color w:val="000000"/>
          <w:kern w:val="36"/>
          <w:sz w:val="28"/>
          <w:szCs w:val="28"/>
        </w:rPr>
      </w:pPr>
    </w:p>
    <w:p w14:paraId="72D0C73E">
      <w:pPr>
        <w:jc w:val="center"/>
        <w:outlineLvl w:val="0"/>
        <w:rPr>
          <w:rFonts w:hint="default" w:ascii="Times New Roman" w:hAnsi="Times New Roman" w:cs="Times New Roman"/>
          <w:b/>
          <w:bCs/>
          <w:color w:val="000000"/>
          <w:kern w:val="36"/>
          <w:sz w:val="28"/>
          <w:szCs w:val="28"/>
        </w:rPr>
      </w:pPr>
    </w:p>
    <w:p w14:paraId="4E78828B">
      <w:pPr>
        <w:jc w:val="center"/>
        <w:outlineLvl w:val="0"/>
        <w:rPr>
          <w:rFonts w:hint="default" w:ascii="Times New Roman" w:hAnsi="Times New Roman" w:cs="Times New Roman"/>
          <w:b/>
          <w:bCs/>
          <w:color w:val="000000"/>
          <w:kern w:val="36"/>
          <w:sz w:val="28"/>
          <w:szCs w:val="28"/>
        </w:rPr>
      </w:pPr>
    </w:p>
    <w:p w14:paraId="31E4A4AE">
      <w:pPr>
        <w:rPr>
          <w:rFonts w:hint="default" w:ascii="Times New Roman" w:hAnsi="Times New Roman" w:cs="Times New Roman"/>
        </w:rPr>
      </w:pPr>
    </w:p>
    <w:p w14:paraId="15E3482B">
      <w:pPr>
        <w:rPr>
          <w:rFonts w:hint="default" w:ascii="Times New Roman" w:hAnsi="Times New Roman" w:cs="Times New Roman"/>
        </w:rPr>
      </w:pPr>
    </w:p>
    <w:p w14:paraId="2B8E6C99">
      <w:pPr>
        <w:pStyle w:val="2"/>
        <w:spacing w:before="0"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bookmarkStart w:id="4" w:name="_Toc210326511"/>
      <w:bookmarkStart w:id="5" w:name="_Toc212364364"/>
      <w:bookmarkStart w:id="6" w:name="_Toc210315753"/>
      <w:r>
        <w:rPr>
          <w:rFonts w:hint="default" w:ascii="Times New Roman" w:hAnsi="Times New Roman" w:cs="Times New Roman"/>
          <w:b/>
          <w:bCs/>
          <w:color w:val="000000" w:themeColor="text1"/>
          <w:sz w:val="24"/>
          <w:szCs w:val="24"/>
          <w14:textFill>
            <w14:solidFill>
              <w14:schemeClr w14:val="tx1"/>
            </w14:solidFill>
          </w14:textFill>
        </w:rPr>
        <w:t>ENTRE HEGEMONIA E AUTONOMIA: CELAC E OEA NA DISPUTA PELA GOVERNANÇA REGIONAL LATINO-AMERICANA</w:t>
      </w:r>
      <w:bookmarkEnd w:id="4"/>
      <w:bookmarkEnd w:id="5"/>
      <w:bookmarkEnd w:id="6"/>
    </w:p>
    <w:p w14:paraId="11E8E4B4">
      <w:pPr>
        <w:spacing w:line="360" w:lineRule="auto"/>
        <w:rPr>
          <w:rFonts w:hint="default" w:ascii="Times New Roman" w:hAnsi="Times New Roman" w:cs="Times New Roman"/>
        </w:rPr>
      </w:pPr>
    </w:p>
    <w:p w14:paraId="5C384859">
      <w:pPr>
        <w:pStyle w:val="17"/>
        <w:spacing w:before="0" w:beforeAutospacing="0" w:after="0" w:afterAutospacing="0" w:line="240" w:lineRule="auto"/>
        <w:ind w:left="4536"/>
        <w:jc w:val="both"/>
        <w:rPr>
          <w:rFonts w:hint="default" w:ascii="Times New Roman" w:hAnsi="Times New Roman" w:cs="Times New Roman"/>
          <w:color w:val="000000" w:themeColor="text1"/>
          <w:sz w:val="20"/>
          <w:szCs w:val="20"/>
          <w14:textFill>
            <w14:solidFill>
              <w14:schemeClr w14:val="tx1"/>
            </w14:solidFill>
          </w14:textFill>
        </w:rPr>
      </w:pPr>
      <w:r>
        <w:rPr>
          <w:rStyle w:val="13"/>
          <w:rFonts w:hint="default" w:ascii="Times New Roman" w:hAnsi="Times New Roman" w:cs="Times New Roman" w:eastAsiaTheme="majorEastAsia"/>
          <w:b w:val="0"/>
          <w:bCs w:val="0"/>
          <w:sz w:val="20"/>
          <w:szCs w:val="20"/>
        </w:rPr>
        <w:t>Projeto de pesquisa apresentado ao Programa de Pós-Graduação em do Instituto Brasileiro de Ensino, Desenvolvimento e Pesquisa – IDP, como requisito final para avaliação na disciplina de Projeto de Pesquisa no âmbito ao curso de Mestrado em</w:t>
      </w:r>
      <w:r>
        <w:rPr>
          <w:rStyle w:val="13"/>
          <w:rFonts w:hint="default" w:ascii="Times New Roman" w:hAnsi="Times New Roman" w:cs="Times New Roman" w:eastAsiaTheme="majorEastAsia"/>
          <w:sz w:val="20"/>
          <w:szCs w:val="20"/>
        </w:rPr>
        <w:t xml:space="preserve"> </w:t>
      </w:r>
      <w:r>
        <w:rPr>
          <w:rFonts w:hint="default" w:ascii="Times New Roman" w:hAnsi="Times New Roman" w:cs="Times New Roman"/>
          <w:color w:val="000000" w:themeColor="text1"/>
          <w:sz w:val="20"/>
          <w:szCs w:val="20"/>
          <w14:textFill>
            <w14:solidFill>
              <w14:schemeClr w14:val="tx1"/>
            </w14:solidFill>
          </w14:textFill>
        </w:rPr>
        <w:t xml:space="preserve">Ciência Política e Relações Internacionais </w:t>
      </w:r>
    </w:p>
    <w:p w14:paraId="29BF1B76">
      <w:pPr>
        <w:pStyle w:val="17"/>
        <w:spacing w:before="0" w:beforeAutospacing="0" w:after="0" w:afterAutospacing="0" w:line="240" w:lineRule="auto"/>
        <w:ind w:left="4536"/>
        <w:jc w:val="both"/>
        <w:rPr>
          <w:rFonts w:hint="default" w:ascii="Times New Roman" w:hAnsi="Times New Roman" w:cs="Times New Roman"/>
          <w:sz w:val="20"/>
          <w:szCs w:val="20"/>
        </w:rPr>
      </w:pPr>
    </w:p>
    <w:p w14:paraId="5DBD785D">
      <w:pPr>
        <w:pStyle w:val="17"/>
        <w:spacing w:before="0" w:beforeAutospacing="0" w:after="0" w:afterAutospacing="0" w:line="240" w:lineRule="auto"/>
        <w:ind w:left="4536"/>
        <w:jc w:val="both"/>
        <w:rPr>
          <w:rFonts w:hint="default" w:ascii="Times New Roman" w:hAnsi="Times New Roman" w:cs="Times New Roman"/>
          <w:sz w:val="20"/>
          <w:szCs w:val="20"/>
        </w:rPr>
      </w:pPr>
      <w:r>
        <w:rPr>
          <w:rFonts w:hint="default" w:ascii="Times New Roman" w:hAnsi="Times New Roman" w:cs="Times New Roman"/>
          <w:sz w:val="20"/>
          <w:szCs w:val="20"/>
        </w:rPr>
        <w:t>Docentes: Dr. Jean Lima e Dr</w:t>
      </w:r>
      <w:r>
        <w:rPr>
          <w:rFonts w:hint="default" w:ascii="Times New Roman" w:hAnsi="Times New Roman" w:cs="Times New Roman"/>
          <w:sz w:val="20"/>
          <w:szCs w:val="20"/>
          <w:vertAlign w:val="superscript"/>
        </w:rPr>
        <w:t>a</w:t>
      </w:r>
      <w:r>
        <w:rPr>
          <w:rFonts w:hint="default" w:ascii="Times New Roman" w:hAnsi="Times New Roman" w:cs="Times New Roman"/>
          <w:sz w:val="20"/>
          <w:szCs w:val="20"/>
        </w:rPr>
        <w:t xml:space="preserve">. Marcela Machado </w:t>
      </w:r>
    </w:p>
    <w:p w14:paraId="763C5E76">
      <w:pPr>
        <w:ind w:left="4536"/>
        <w:jc w:val="both"/>
        <w:rPr>
          <w:rFonts w:hint="default" w:ascii="Times New Roman" w:hAnsi="Times New Roman" w:cs="Times New Roman"/>
          <w:sz w:val="20"/>
          <w:szCs w:val="20"/>
        </w:rPr>
      </w:pPr>
    </w:p>
    <w:p w14:paraId="0500D6CC">
      <w:pPr>
        <w:spacing w:line="360" w:lineRule="auto"/>
        <w:rPr>
          <w:rFonts w:hint="default" w:ascii="Times New Roman" w:hAnsi="Times New Roman" w:cs="Times New Roman"/>
        </w:rPr>
      </w:pPr>
    </w:p>
    <w:p w14:paraId="2E2D9EFD">
      <w:pPr>
        <w:rPr>
          <w:rFonts w:hint="default" w:ascii="Times New Roman" w:hAnsi="Times New Roman" w:cs="Times New Roman"/>
          <w:color w:val="000000" w:themeColor="text1"/>
          <w14:textFill>
            <w14:solidFill>
              <w14:schemeClr w14:val="tx1"/>
            </w14:solidFill>
          </w14:textFill>
        </w:rPr>
      </w:pPr>
    </w:p>
    <w:p w14:paraId="27390F87">
      <w:pPr>
        <w:rPr>
          <w:rFonts w:hint="default" w:ascii="Times New Roman" w:hAnsi="Times New Roman" w:cs="Times New Roman"/>
          <w:color w:val="000000" w:themeColor="text1"/>
          <w14:textFill>
            <w14:solidFill>
              <w14:schemeClr w14:val="tx1"/>
            </w14:solidFill>
          </w14:textFill>
        </w:rPr>
      </w:pPr>
    </w:p>
    <w:p w14:paraId="531569AF">
      <w:pPr>
        <w:rPr>
          <w:rFonts w:hint="default" w:ascii="Times New Roman" w:hAnsi="Times New Roman" w:cs="Times New Roman"/>
          <w:color w:val="000000" w:themeColor="text1"/>
          <w14:textFill>
            <w14:solidFill>
              <w14:schemeClr w14:val="tx1"/>
            </w14:solidFill>
          </w14:textFill>
        </w:rPr>
      </w:pPr>
    </w:p>
    <w:p w14:paraId="113471C5">
      <w:pPr>
        <w:rPr>
          <w:rFonts w:hint="default" w:ascii="Times New Roman" w:hAnsi="Times New Roman" w:cs="Times New Roman"/>
          <w:color w:val="000000" w:themeColor="text1"/>
          <w14:textFill>
            <w14:solidFill>
              <w14:schemeClr w14:val="tx1"/>
            </w14:solidFill>
          </w14:textFill>
        </w:rPr>
      </w:pPr>
    </w:p>
    <w:p w14:paraId="64EF95AC">
      <w:pPr>
        <w:rPr>
          <w:rFonts w:hint="default" w:ascii="Times New Roman" w:hAnsi="Times New Roman" w:cs="Times New Roman"/>
          <w:color w:val="000000" w:themeColor="text1"/>
          <w14:textFill>
            <w14:solidFill>
              <w14:schemeClr w14:val="tx1"/>
            </w14:solidFill>
          </w14:textFill>
        </w:rPr>
      </w:pPr>
    </w:p>
    <w:p w14:paraId="02FDDC4C">
      <w:pPr>
        <w:rPr>
          <w:rFonts w:hint="default" w:ascii="Times New Roman" w:hAnsi="Times New Roman" w:cs="Times New Roman"/>
          <w:color w:val="000000" w:themeColor="text1"/>
          <w14:textFill>
            <w14:solidFill>
              <w14:schemeClr w14:val="tx1"/>
            </w14:solidFill>
          </w14:textFill>
        </w:rPr>
      </w:pPr>
    </w:p>
    <w:p w14:paraId="70BB805C">
      <w:pPr>
        <w:rPr>
          <w:rFonts w:hint="default" w:ascii="Times New Roman" w:hAnsi="Times New Roman" w:cs="Times New Roman"/>
          <w:color w:val="000000" w:themeColor="text1"/>
          <w14:textFill>
            <w14:solidFill>
              <w14:schemeClr w14:val="tx1"/>
            </w14:solidFill>
          </w14:textFill>
        </w:rPr>
      </w:pPr>
    </w:p>
    <w:p w14:paraId="77844EE3">
      <w:pPr>
        <w:rPr>
          <w:rFonts w:hint="default" w:ascii="Times New Roman" w:hAnsi="Times New Roman" w:cs="Times New Roman"/>
          <w:color w:val="000000" w:themeColor="text1"/>
          <w14:textFill>
            <w14:solidFill>
              <w14:schemeClr w14:val="tx1"/>
            </w14:solidFill>
          </w14:textFill>
        </w:rPr>
      </w:pPr>
    </w:p>
    <w:p w14:paraId="2782FA70">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Brasília/DF </w:t>
      </w:r>
    </w:p>
    <w:p w14:paraId="66CE6F0E">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Outubro/2025</w:t>
      </w:r>
    </w:p>
    <w:p w14:paraId="027AFC98">
      <w:pPr>
        <w:spacing w:after="100" w:afterAutospacing="1" w:line="360" w:lineRule="auto"/>
        <w:jc w:val="center"/>
        <w:outlineLvl w:val="0"/>
        <w:rPr>
          <w:rFonts w:hint="default" w:ascii="Times New Roman" w:hAnsi="Times New Roman" w:eastAsia="Times New Roman" w:cs="Times New Roman"/>
          <w:b/>
          <w:bCs/>
          <w:color w:val="000000"/>
          <w:kern w:val="36"/>
          <w:lang w:eastAsia="pt-BR"/>
          <w14:ligatures w14:val="none"/>
        </w:rPr>
      </w:pPr>
      <w:r>
        <w:rPr>
          <w:rFonts w:hint="default" w:ascii="Times New Roman" w:hAnsi="Times New Roman" w:eastAsia="Times New Roman" w:cs="Times New Roman"/>
          <w:b/>
          <w:bCs/>
          <w:color w:val="000000"/>
          <w:kern w:val="36"/>
          <w:lang w:eastAsia="pt-BR"/>
          <w14:ligatures w14:val="none"/>
        </w:rPr>
        <w:t>CONTRAFAÇÃO DA AUTONOMIA POLÍTICA: NARRATIVAS, GÊNERO E DESLEGITIMAÇÃO NA PRÉ-CAMPANHA E ELEIÇÃO DE RIXI MONCADA EM HONDURAS (2025)</w:t>
      </w:r>
    </w:p>
    <w:p w14:paraId="4338FBFB">
      <w:pPr>
        <w:spacing w:after="100" w:afterAutospacing="1" w:line="360" w:lineRule="auto"/>
        <w:jc w:val="both"/>
        <w:outlineLvl w:val="1"/>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RESUMO</w:t>
      </w:r>
    </w:p>
    <w:p w14:paraId="7C279ED4">
      <w:pPr>
        <w:spacing w:after="100" w:afterAutospacing="1" w:line="240" w:lineRule="auto"/>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Este artigo examina o enquadramento discursivo em torno da candidatura presidencial de Rixi Moncada (Partido LIBRE) em Honduras, abrangendo o período entre 1º de maio e o desfecho eleitoral em dezembro de 2025. A pesquisa adota uma abordagem qualitativa e interpretativa, com base na análise de enquadramento (</w:t>
      </w:r>
      <w:r>
        <w:rPr>
          <w:rFonts w:hint="default" w:ascii="Times New Roman" w:hAnsi="Times New Roman" w:eastAsia="Times New Roman" w:cs="Times New Roman"/>
          <w:b w:val="0"/>
          <w:bCs w:val="0"/>
          <w:i/>
          <w:iCs/>
          <w:color w:val="000000"/>
          <w:kern w:val="0"/>
          <w:lang w:eastAsia="pt-BR"/>
          <w14:ligatures w14:val="none"/>
        </w:rPr>
        <w:t>framing analysis</w:t>
      </w:r>
      <w:r>
        <w:rPr>
          <w:rFonts w:hint="default" w:ascii="Times New Roman" w:hAnsi="Times New Roman" w:eastAsia="Times New Roman" w:cs="Times New Roman"/>
          <w:b w:val="0"/>
          <w:bCs w:val="0"/>
          <w:color w:val="000000"/>
          <w:kern w:val="0"/>
          <w:lang w:eastAsia="pt-BR"/>
          <w14:ligatures w14:val="none"/>
        </w:rPr>
        <w:t>) e em referências da comunicação política, dos estudos de gênero e da sociologia da desinformação. O objetivo é compreender como a cobertura jornalística, a retórica internacional e a ingerência externa constroem percepções que enfraquecem a autonomia política de mulheres progressistas na América Latina. O trabalho identifica assimetria de enquadramentos, reprodução de estereótipos de gênero e, na reta final, uma narrativa de tutela externa imposta pela Casa Branca e organismos internacionais. O conceito de </w:t>
      </w:r>
      <w:r>
        <w:rPr>
          <w:rFonts w:hint="default" w:ascii="Times New Roman" w:hAnsi="Times New Roman" w:eastAsia="Times New Roman" w:cs="Times New Roman"/>
          <w:b w:val="0"/>
          <w:bCs w:val="0"/>
          <w:color w:val="000000"/>
          <w:kern w:val="0"/>
          <w:lang w:eastAsia="pt-BR"/>
          <w14:ligatures w14:val="none"/>
        </w:rPr>
        <w:t>contrafação da autonomia política</w:t>
      </w:r>
      <w:r>
        <w:rPr>
          <w:rFonts w:hint="default" w:ascii="Times New Roman" w:hAnsi="Times New Roman" w:eastAsia="Times New Roman" w:cs="Times New Roman"/>
          <w:b w:val="0"/>
          <w:bCs w:val="0"/>
          <w:color w:val="000000"/>
          <w:kern w:val="0"/>
          <w:lang w:eastAsia="pt-BR"/>
          <w14:ligatures w14:val="none"/>
        </w:rPr>
        <w:t> é proposto para descrever esse fenômeno que evoluiu de exclusão simbólica para sabotagem eleitoral explícita.</w:t>
      </w:r>
    </w:p>
    <w:p w14:paraId="17052946">
      <w:pPr>
        <w:spacing w:after="100" w:afterAutospacing="1" w:line="240" w:lineRule="auto"/>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Palavras-chave:</w:t>
      </w:r>
      <w:r>
        <w:rPr>
          <w:rFonts w:hint="default" w:ascii="Times New Roman" w:hAnsi="Times New Roman" w:eastAsia="Times New Roman" w:cs="Times New Roman"/>
          <w:b w:val="0"/>
          <w:bCs w:val="0"/>
          <w:color w:val="000000"/>
          <w:kern w:val="0"/>
          <w:lang w:eastAsia="pt-BR"/>
          <w14:ligatures w14:val="none"/>
        </w:rPr>
        <w:t> Gênero; Comunicação Política; Desinformação; Honduras; Rixi Moncada; Ingerência Externa; Polarização.</w:t>
      </w:r>
    </w:p>
    <w:p w14:paraId="3C0D1874">
      <w:pPr>
        <w:spacing w:after="0"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p>
    <w:p w14:paraId="5D6FF28E">
      <w:pPr>
        <w:spacing w:after="100" w:afterAutospacing="1" w:line="360" w:lineRule="auto"/>
        <w:jc w:val="both"/>
        <w:outlineLvl w:val="1"/>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1 INTRODUÇÃO</w:t>
      </w:r>
    </w:p>
    <w:p w14:paraId="2AB91850">
      <w:pPr>
        <w:keepNext w:val="0"/>
        <w:keepLines w:val="0"/>
        <w:pageBreakBefore w:val="0"/>
        <w:widowControl/>
        <w:kinsoku/>
        <w:wordWrap/>
        <w:overflowPunct/>
        <w:topLinePunct w:val="0"/>
        <w:autoSpaceDE/>
        <w:autoSpaceDN/>
        <w:bidi w:val="0"/>
        <w:adjustRightInd/>
        <w:snapToGrid/>
        <w:spacing w:after="0" w:afterAutospacing="0" w:line="360" w:lineRule="auto"/>
        <w:ind w:left="0" w:leftChars="0" w:firstLine="720" w:firstLineChars="300"/>
        <w:jc w:val="both"/>
        <w:textAlignment w:val="auto"/>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política na América Central, marcada por crises democráticas e intervenções externas, tem se reconfigurado em ciclos de intensa polarização. Honduras, em particular, carrega o legado do golpe de Estado de 2009 e, mais recentemente, a ascensão da esquerda ao poder com a eleição da Presidente Xiomara Castro em 2021. Neste cenário complexo, a candidatura de Rixi Moncada pelo Partido LIBRE para as eleições de 2025 não é apenas uma disputa eleitoral, mas um campo de batalha narrativo que sintetiza os desafios contemporâneos da comunicação, da esfera pública e da democracia.</w:t>
      </w:r>
    </w:p>
    <w:p w14:paraId="19E69007">
      <w:pPr>
        <w:keepNext w:val="0"/>
        <w:keepLines w:val="0"/>
        <w:pageBreakBefore w:val="0"/>
        <w:widowControl/>
        <w:kinsoku/>
        <w:wordWrap/>
        <w:overflowPunct/>
        <w:topLinePunct w:val="0"/>
        <w:autoSpaceDE/>
        <w:autoSpaceDN/>
        <w:bidi w:val="0"/>
        <w:adjustRightInd/>
        <w:snapToGrid/>
        <w:spacing w:after="0" w:afterAutospacing="0" w:line="360" w:lineRule="auto"/>
        <w:ind w:left="0" w:leftChars="0" w:firstLine="720" w:firstLineChars="300"/>
        <w:jc w:val="both"/>
        <w:textAlignment w:val="auto"/>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Moncada, advogada e ex-presidente do Conselho Nacional Eleitoral (CNE), é uma figura de continuidade do projeto </w:t>
      </w:r>
      <w:r>
        <w:rPr>
          <w:rFonts w:hint="default" w:ascii="Times New Roman" w:hAnsi="Times New Roman" w:eastAsia="Times New Roman" w:cs="Times New Roman"/>
          <w:b w:val="0"/>
          <w:bCs w:val="0"/>
          <w:i/>
          <w:iCs/>
          <w:color w:val="000000"/>
          <w:kern w:val="0"/>
          <w:lang w:eastAsia="pt-BR"/>
          <w14:ligatures w14:val="none"/>
        </w:rPr>
        <w:t>zelayista</w:t>
      </w:r>
      <w:r>
        <w:rPr>
          <w:rFonts w:hint="default" w:ascii="Times New Roman" w:hAnsi="Times New Roman" w:eastAsia="Times New Roman" w:cs="Times New Roman"/>
          <w:b w:val="0"/>
          <w:bCs w:val="0"/>
          <w:color w:val="000000"/>
          <w:kern w:val="0"/>
          <w:lang w:eastAsia="pt-BR"/>
          <w14:ligatures w14:val="none"/>
        </w:rPr>
        <w:t> e, por extensão, um alvo preferencial da oposição e de parte da mídia tradicional e internacional. Este ambiente é o terreno ideal para a manifestação do que se define neste artigo como a </w:t>
      </w:r>
      <w:r>
        <w:rPr>
          <w:rFonts w:hint="default" w:ascii="Times New Roman" w:hAnsi="Times New Roman" w:eastAsia="Times New Roman" w:cs="Times New Roman"/>
          <w:b w:val="0"/>
          <w:bCs w:val="0"/>
          <w:color w:val="000000"/>
          <w:kern w:val="0"/>
          <w:lang w:eastAsia="pt-BR"/>
          <w14:ligatures w14:val="none"/>
        </w:rPr>
        <w:t>contrafação da autonomia política</w:t>
      </w:r>
      <w:r>
        <w:rPr>
          <w:rFonts w:hint="default" w:ascii="Times New Roman" w:hAnsi="Times New Roman" w:eastAsia="Times New Roman" w:cs="Times New Roman"/>
          <w:b w:val="0"/>
          <w:bCs w:val="0"/>
          <w:color w:val="000000"/>
          <w:kern w:val="0"/>
          <w:lang w:eastAsia="pt-BR"/>
          <w14:ligatures w14:val="none"/>
        </w:rPr>
        <w:t>: a construção deliberada de uma imagem pública que, por meio de enquadramentos discursivos assimétricos, reduz a credibilidade, a competência e a independência das mulheres em posições de poder, especialmente aquelas alinhadas a projetos políticos progressistas ou de esquerda.</w:t>
      </w:r>
    </w:p>
    <w:p w14:paraId="3D3023A7">
      <w:pPr>
        <w:keepNext w:val="0"/>
        <w:keepLines w:val="0"/>
        <w:pageBreakBefore w:val="0"/>
        <w:widowControl/>
        <w:kinsoku/>
        <w:wordWrap/>
        <w:overflowPunct/>
        <w:topLinePunct w:val="0"/>
        <w:autoSpaceDE/>
        <w:autoSpaceDN/>
        <w:bidi w:val="0"/>
        <w:adjustRightInd/>
        <w:snapToGrid/>
        <w:spacing w:after="0" w:afterAutospacing="0" w:line="360" w:lineRule="auto"/>
        <w:ind w:left="0" w:leftChars="0" w:firstLine="720" w:firstLineChars="300"/>
        <w:jc w:val="both"/>
        <w:textAlignment w:val="auto"/>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O corpus temporal inicial, de 1º de maio a 30 de agosto de 2025, serviu para observar a cristalização dessas narrativas na pré-campanha. Contudo, os eventos ocorridos na semana da eleição, em dezembro de 2025, exigiram uma expansão da análise para compreender como a violência simbólica se converteu em ingerência geopolítica e fraude técnica.</w:t>
      </w:r>
    </w:p>
    <w:p w14:paraId="7AD47F9A">
      <w:pPr>
        <w:keepNext w:val="0"/>
        <w:keepLines w:val="0"/>
        <w:pageBreakBefore w:val="0"/>
        <w:widowControl/>
        <w:kinsoku/>
        <w:wordWrap/>
        <w:overflowPunct/>
        <w:topLinePunct w:val="0"/>
        <w:autoSpaceDE/>
        <w:autoSpaceDN/>
        <w:bidi w:val="0"/>
        <w:adjustRightInd/>
        <w:snapToGrid/>
        <w:spacing w:after="0" w:afterAutospacing="0" w:line="360" w:lineRule="auto"/>
        <w:ind w:left="0" w:leftChars="0" w:firstLine="720" w:firstLineChars="300"/>
        <w:jc w:val="both"/>
        <w:textAlignment w:val="auto"/>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O objetivo central deste artigo é analisar o ambiente comunicacional e simbólico em que a candidatura de Moncada é representada, identificando como os enquadramentos midiáticos e a retórica geopolítica reproduzem padrões discursivos que historicamente deslegitimaram lideranças femininas latino-americanas, como os observados em Dilma Rousseff (Brasil) e na própria Xiomara Castro (Honduras). Para tanto, o artigo está estruturado em seções que articulam a propaganda negativa, a metodologia de </w:t>
      </w:r>
      <w:r>
        <w:rPr>
          <w:rFonts w:hint="default" w:ascii="Times New Roman" w:hAnsi="Times New Roman" w:eastAsia="Times New Roman" w:cs="Times New Roman"/>
          <w:b w:val="0"/>
          <w:bCs w:val="0"/>
          <w:i/>
          <w:iCs/>
          <w:color w:val="000000"/>
          <w:kern w:val="0"/>
          <w:lang w:eastAsia="pt-BR"/>
          <w14:ligatures w14:val="none"/>
        </w:rPr>
        <w:t>framing</w:t>
      </w:r>
      <w:r>
        <w:rPr>
          <w:rFonts w:hint="default" w:ascii="Times New Roman" w:hAnsi="Times New Roman" w:eastAsia="Times New Roman" w:cs="Times New Roman"/>
          <w:b w:val="0"/>
          <w:bCs w:val="0"/>
          <w:color w:val="000000"/>
          <w:kern w:val="0"/>
          <w:lang w:eastAsia="pt-BR"/>
          <w14:ligatures w14:val="none"/>
        </w:rPr>
        <w:t>, a análise da pré-campanha e, crucialmente, o desfecho eleitoral marcado pela intervenção externa.</w:t>
      </w:r>
    </w:p>
    <w:p w14:paraId="45303127">
      <w:pPr>
        <w:spacing w:after="0"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p>
    <w:p w14:paraId="64DA88E5">
      <w:pPr>
        <w:spacing w:after="100" w:afterAutospacing="1" w:line="360" w:lineRule="auto"/>
        <w:jc w:val="both"/>
        <w:outlineLvl w:val="1"/>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2 REFERENCIAL TEÓRICO: POLARIZAÇÃO, GÊNERO E A CRISE DA AUTONOMIA</w:t>
      </w:r>
    </w:p>
    <w:p w14:paraId="2EC2B054">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bookmarkStart w:id="7" w:name="_GoBack"/>
      <w:r>
        <w:rPr>
          <w:rFonts w:hint="default" w:ascii="Times New Roman" w:hAnsi="Times New Roman" w:eastAsia="Times New Roman" w:cs="Times New Roman"/>
          <w:b w:val="0"/>
          <w:bCs w:val="0"/>
          <w:color w:val="000000"/>
          <w:kern w:val="0"/>
          <w:lang w:eastAsia="pt-BR"/>
          <w14:ligatures w14:val="none"/>
        </w:rPr>
        <w:t>A deslegitimação de candidaturas femininas em contextos polarizados mobiliza uma intersecção complexa de fenômenos da comunicação política. A retórica utilizada transcende a crítica factual, mergulhando na manipulação simbólica de gênero, ideologia e competência.</w:t>
      </w:r>
    </w:p>
    <w:bookmarkEnd w:id="7"/>
    <w:p w14:paraId="7DF35902">
      <w:pPr>
        <w:spacing w:after="100" w:afterAutospacing="1" w:line="360" w:lineRule="auto"/>
        <w:jc w:val="both"/>
        <w:outlineLvl w:val="2"/>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2.1 Propaganda Negativa e a Escolha do Alvo</w:t>
      </w:r>
    </w:p>
    <w:p w14:paraId="7BAAA167">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propaganda negativa é uma tática eleitoral que visa primariamente à desconstrução da imagem do adversário, buscando, segundo Borba (2015, p. 268), converter indecisos ou dissuadir apoiadores do oponente. Em ambientes multipartidários e polarizados, a escolha do alvo é crucial. No caso de Moncada, a estratégia se manifesta em dois eixos de ataque, conforme a tipologia de Borba:</w:t>
      </w:r>
    </w:p>
    <w:p w14:paraId="5BFEDA09">
      <w:pPr>
        <w:numPr>
          <w:ilvl w:val="0"/>
          <w:numId w:val="1"/>
        </w:num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Ataque Político (</w:t>
      </w:r>
      <w:r>
        <w:rPr>
          <w:rFonts w:hint="default" w:ascii="Times New Roman" w:hAnsi="Times New Roman" w:eastAsia="Times New Roman" w:cs="Times New Roman"/>
          <w:b w:val="0"/>
          <w:bCs w:val="0"/>
          <w:i/>
          <w:iCs/>
          <w:color w:val="000000"/>
          <w:kern w:val="0"/>
          <w:lang w:eastAsia="pt-BR"/>
          <w14:ligatures w14:val="none"/>
        </w:rPr>
        <w:t>Policy</w:t>
      </w:r>
      <w:r>
        <w:rPr>
          <w:rFonts w:hint="default" w:ascii="Times New Roman" w:hAnsi="Times New Roman" w:eastAsia="Times New Roman" w:cs="Times New Roman"/>
          <w:b w:val="0"/>
          <w:bCs w:val="0"/>
          <w:color w:val="000000"/>
          <w:kern w:val="0"/>
          <w:lang w:eastAsia="pt-BR"/>
          <w14:ligatures w14:val="none"/>
        </w:rPr>
        <w:t>):</w:t>
      </w:r>
      <w:r>
        <w:rPr>
          <w:rFonts w:hint="default" w:ascii="Times New Roman" w:hAnsi="Times New Roman" w:eastAsia="Times New Roman" w:cs="Times New Roman"/>
          <w:b w:val="0"/>
          <w:bCs w:val="0"/>
          <w:color w:val="000000"/>
          <w:kern w:val="0"/>
          <w:lang w:eastAsia="pt-BR"/>
          <w14:ligatures w14:val="none"/>
        </w:rPr>
        <w:t> Crítica a propostas de governo, histórico administrativo e alinhamento ideológico (o </w:t>
      </w:r>
      <w:r>
        <w:rPr>
          <w:rFonts w:hint="default" w:ascii="Times New Roman" w:hAnsi="Times New Roman" w:eastAsia="Times New Roman" w:cs="Times New Roman"/>
          <w:b w:val="0"/>
          <w:bCs w:val="0"/>
          <w:i/>
          <w:iCs/>
          <w:color w:val="000000"/>
          <w:kern w:val="0"/>
          <w:lang w:eastAsia="pt-BR"/>
          <w14:ligatures w14:val="none"/>
        </w:rPr>
        <w:t>zelayismo</w:t>
      </w:r>
      <w:r>
        <w:rPr>
          <w:rFonts w:hint="default" w:ascii="Times New Roman" w:hAnsi="Times New Roman" w:eastAsia="Times New Roman" w:cs="Times New Roman"/>
          <w:b w:val="0"/>
          <w:bCs w:val="0"/>
          <w:color w:val="000000"/>
          <w:kern w:val="0"/>
          <w:lang w:eastAsia="pt-BR"/>
          <w14:ligatures w14:val="none"/>
        </w:rPr>
        <w:t> e a continuidade do LIBRE).</w:t>
      </w:r>
    </w:p>
    <w:p w14:paraId="5AFF8194">
      <w:pPr>
        <w:numPr>
          <w:ilvl w:val="0"/>
          <w:numId w:val="1"/>
        </w:num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Ataque Pessoal (</w:t>
      </w:r>
      <w:r>
        <w:rPr>
          <w:rFonts w:hint="default" w:ascii="Times New Roman" w:hAnsi="Times New Roman" w:eastAsia="Times New Roman" w:cs="Times New Roman"/>
          <w:b w:val="0"/>
          <w:bCs w:val="0"/>
          <w:i/>
          <w:iCs/>
          <w:color w:val="000000"/>
          <w:kern w:val="0"/>
          <w:lang w:eastAsia="pt-BR"/>
          <w14:ligatures w14:val="none"/>
        </w:rPr>
        <w:t>Personal</w:t>
      </w:r>
      <w:r>
        <w:rPr>
          <w:rFonts w:hint="default" w:ascii="Times New Roman" w:hAnsi="Times New Roman" w:eastAsia="Times New Roman" w:cs="Times New Roman"/>
          <w:b w:val="0"/>
          <w:bCs w:val="0"/>
          <w:color w:val="000000"/>
          <w:kern w:val="0"/>
          <w:lang w:eastAsia="pt-BR"/>
          <w14:ligatures w14:val="none"/>
        </w:rPr>
        <w:t>):</w:t>
      </w:r>
      <w:r>
        <w:rPr>
          <w:rFonts w:hint="default" w:ascii="Times New Roman" w:hAnsi="Times New Roman" w:eastAsia="Times New Roman" w:cs="Times New Roman"/>
          <w:b w:val="0"/>
          <w:bCs w:val="0"/>
          <w:color w:val="000000"/>
          <w:kern w:val="0"/>
          <w:lang w:eastAsia="pt-BR"/>
          <w14:ligatures w14:val="none"/>
        </w:rPr>
        <w:t> Concentra-se nos atributos pessoais, caráter, ou, no caso de mulheres, na competência e autonomia frente a figuras masculinas.</w:t>
      </w:r>
    </w:p>
    <w:p w14:paraId="171B03B4">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Tais ataques são mais propensos a gerar o "não voto". Na era digital, esta tática é potencializada pela desinformação (</w:t>
      </w:r>
      <w:r>
        <w:rPr>
          <w:rFonts w:hint="default" w:ascii="Times New Roman" w:hAnsi="Times New Roman" w:eastAsia="Times New Roman" w:cs="Times New Roman"/>
          <w:b w:val="0"/>
          <w:bCs w:val="0"/>
          <w:i/>
          <w:iCs/>
          <w:color w:val="000000"/>
          <w:kern w:val="0"/>
          <w:lang w:eastAsia="pt-BR"/>
          <w14:ligatures w14:val="none"/>
        </w:rPr>
        <w:t>disinformation</w:t>
      </w:r>
      <w:r>
        <w:rPr>
          <w:rFonts w:hint="default" w:ascii="Times New Roman" w:hAnsi="Times New Roman" w:eastAsia="Times New Roman" w:cs="Times New Roman"/>
          <w:b w:val="0"/>
          <w:bCs w:val="0"/>
          <w:color w:val="000000"/>
          <w:kern w:val="0"/>
          <w:lang w:eastAsia="pt-BR"/>
          <w14:ligatures w14:val="none"/>
        </w:rPr>
        <w:t>), que, conforme Gomes e Dourado (2019, p. 33), não consiste em erros factuais, mas na fabricação intencional de relatos falsos para fins políticos. A desinformação ataca a confiança nas instituições e é, em sua essência, a política sabotando a democracia.</w:t>
      </w:r>
    </w:p>
    <w:p w14:paraId="0269CA50">
      <w:pPr>
        <w:spacing w:after="100" w:afterAutospacing="1" w:line="360" w:lineRule="auto"/>
        <w:jc w:val="both"/>
        <w:outlineLvl w:val="2"/>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2.2 A Crise Epistêmica e a Polarização Tribal</w:t>
      </w:r>
    </w:p>
    <w:p w14:paraId="2F832233">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O sucesso da desinformação repousa sobre uma profunda crise epistêmica. Fuks e Marques (2022) descrevem a polarização como um aprofundamento das divisões em que a convivência se torna antagônica e as identidades políticas são reforçadas pelo conflito. Esta dinâmica alimenta o que Gomes e Dourado (2019, p. 37) chamam de </w:t>
      </w:r>
      <w:r>
        <w:rPr>
          <w:rFonts w:hint="default" w:ascii="Times New Roman" w:hAnsi="Times New Roman" w:eastAsia="Times New Roman" w:cs="Times New Roman"/>
          <w:b w:val="0"/>
          <w:bCs w:val="0"/>
          <w:i/>
          <w:iCs/>
          <w:color w:val="000000"/>
          <w:kern w:val="0"/>
          <w:lang w:eastAsia="pt-BR"/>
          <w14:ligatures w14:val="none"/>
        </w:rPr>
        <w:t>epistemologia tribal</w:t>
      </w:r>
      <w:r>
        <w:rPr>
          <w:rFonts w:hint="default" w:ascii="Times New Roman" w:hAnsi="Times New Roman" w:eastAsia="Times New Roman" w:cs="Times New Roman"/>
          <w:b w:val="0"/>
          <w:bCs w:val="0"/>
          <w:color w:val="000000"/>
          <w:kern w:val="0"/>
          <w:lang w:eastAsia="pt-BR"/>
          <w14:ligatures w14:val="none"/>
        </w:rPr>
        <w:t>, onde a verdade de um relato é determinada pela sua lealdade ideológica à "tribo", não pela evidência empírica.</w:t>
      </w:r>
    </w:p>
    <w:p w14:paraId="54C3CEC7">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No caso de Moncada, a polarização opera transformando sua associação política (LIBRE, Zelaya/Castro) em um signo de desconfiança absoluta para a oposição. Sua figura, sendo a candidata do </w:t>
      </w:r>
      <w:r>
        <w:rPr>
          <w:rFonts w:hint="default" w:ascii="Times New Roman" w:hAnsi="Times New Roman" w:eastAsia="Times New Roman" w:cs="Times New Roman"/>
          <w:b w:val="0"/>
          <w:bCs w:val="0"/>
          <w:i/>
          <w:iCs/>
          <w:color w:val="000000"/>
          <w:kern w:val="0"/>
          <w:lang w:eastAsia="pt-BR"/>
          <w14:ligatures w14:val="none"/>
        </w:rPr>
        <w:t>establishment</w:t>
      </w:r>
      <w:r>
        <w:rPr>
          <w:rFonts w:hint="default" w:ascii="Times New Roman" w:hAnsi="Times New Roman" w:eastAsia="Times New Roman" w:cs="Times New Roman"/>
          <w:b w:val="0"/>
          <w:bCs w:val="0"/>
          <w:color w:val="000000"/>
          <w:kern w:val="0"/>
          <w:lang w:eastAsia="pt-BR"/>
          <w14:ligatures w14:val="none"/>
        </w:rPr>
        <w:t> de esquerda, deve ser desqualificada a qualquer custo, o que justifica o uso de narrativas extremas e hiperbólicas.</w:t>
      </w:r>
    </w:p>
    <w:p w14:paraId="76E08760">
      <w:pPr>
        <w:spacing w:after="100" w:afterAutospacing="1" w:line="360" w:lineRule="auto"/>
        <w:jc w:val="both"/>
        <w:outlineLvl w:val="2"/>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2.3 Gênero, Competência e Tutela Simbólica</w:t>
      </w:r>
    </w:p>
    <w:p w14:paraId="1EB65AF9">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política latino-americana é rica em exemplos de como o gênero é mobilizado como instrumento de deslegitimação. Harlow e Salaverría (2022, p. 588) destacam que a desinformação de gênero (</w:t>
      </w:r>
      <w:r>
        <w:rPr>
          <w:rFonts w:hint="default" w:ascii="Times New Roman" w:hAnsi="Times New Roman" w:eastAsia="Times New Roman" w:cs="Times New Roman"/>
          <w:b w:val="0"/>
          <w:bCs w:val="0"/>
          <w:i/>
          <w:iCs/>
          <w:color w:val="000000"/>
          <w:kern w:val="0"/>
          <w:lang w:eastAsia="pt-BR"/>
          <w14:ligatures w14:val="none"/>
        </w:rPr>
        <w:t>gendered disinformation</w:t>
      </w:r>
      <w:r>
        <w:rPr>
          <w:rFonts w:hint="default" w:ascii="Times New Roman" w:hAnsi="Times New Roman" w:eastAsia="Times New Roman" w:cs="Times New Roman"/>
          <w:b w:val="0"/>
          <w:bCs w:val="0"/>
          <w:color w:val="000000"/>
          <w:kern w:val="0"/>
          <w:lang w:eastAsia="pt-BR"/>
          <w14:ligatures w14:val="none"/>
        </w:rPr>
        <w:t>) na região frequentemente foca em estereótipos sexistas para minar a autoridade política feminina. Mulheres são atacadas por sua aparência, vida familiar ou, crucialmente, pela associação a tutores masculinos, questionando sua autonomia.</w:t>
      </w:r>
    </w:p>
    <w:p w14:paraId="54CCC7EA">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Essa lógica se aprofunda na desconfiança sobre a competência técnica. O histórico de Moncada no CNE e como Ministra da Defesa oferece pontos de ancoragem para ataques institucionais. Argumentos que a retratam como "incapaz", "desequilibrada" ou "marionete" buscam a </w:t>
      </w:r>
      <w:r>
        <w:rPr>
          <w:rFonts w:hint="default" w:ascii="Times New Roman" w:hAnsi="Times New Roman" w:eastAsia="Times New Roman" w:cs="Times New Roman"/>
          <w:b w:val="0"/>
          <w:bCs w:val="0"/>
          <w:i/>
          <w:iCs/>
          <w:color w:val="000000"/>
          <w:kern w:val="0"/>
          <w:lang w:eastAsia="pt-BR"/>
          <w14:ligatures w14:val="none"/>
        </w:rPr>
        <w:t>domesticação simbólica</w:t>
      </w:r>
      <w:r>
        <w:rPr>
          <w:rFonts w:hint="default" w:ascii="Times New Roman" w:hAnsi="Times New Roman" w:eastAsia="Times New Roman" w:cs="Times New Roman"/>
          <w:b w:val="0"/>
          <w:bCs w:val="0"/>
          <w:color w:val="000000"/>
          <w:kern w:val="0"/>
          <w:lang w:eastAsia="pt-BR"/>
          <w14:ligatures w14:val="none"/>
        </w:rPr>
        <w:t> da liderança feminina, restringindo seu papel a esferas que não desafiem o poder patriarcal.</w:t>
      </w:r>
    </w:p>
    <w:p w14:paraId="4F1E4475">
      <w:pPr>
        <w:spacing w:after="100" w:afterAutospacing="1" w:line="360" w:lineRule="auto"/>
        <w:jc w:val="both"/>
        <w:outlineLvl w:val="2"/>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2.4 Instituições Algorítmicas e a Inteligência Estendida</w:t>
      </w:r>
    </w:p>
    <w:p w14:paraId="57351E49">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O ambiente no qual Moncada se candidata é regido por novas formas de poder. Filgueiras, Mendonça e Almeida (2025) argumentam que a emergência de instituições algorítmicas e a Inteligência Artificial (IA) alteram as relações de poder, definindo regras opacas para a interação social. A IA generativa e as ferramentas de automação (bots, trolls) podem ser utilizadas para amplificar os vieses de gênero e polarização, escalando a desinformação de forma inédita. A IA, ao invés de ser um fator de aprimoramento democrático, torna-se um catalisador de exclusão simbólica, automatizando a criação de câmaras de eco que reforçam a narrativa de deslegitimação.</w:t>
      </w:r>
    </w:p>
    <w:p w14:paraId="2BD7B1EF">
      <w:pPr>
        <w:spacing w:after="0"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p>
    <w:p w14:paraId="0CD1E862">
      <w:pPr>
        <w:spacing w:after="100" w:afterAutospacing="1" w:line="360" w:lineRule="auto"/>
        <w:jc w:val="both"/>
        <w:outlineLvl w:val="1"/>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3 METODOLOGIA</w:t>
      </w:r>
    </w:p>
    <w:p w14:paraId="244221A8">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O presente estudo adota uma abordagem qualitativa e interpretativa (YIN, 2018), baseada na análise de enquadramento (</w:t>
      </w:r>
      <w:r>
        <w:rPr>
          <w:rFonts w:hint="default" w:ascii="Times New Roman" w:hAnsi="Times New Roman" w:eastAsia="Times New Roman" w:cs="Times New Roman"/>
          <w:b w:val="0"/>
          <w:bCs w:val="0"/>
          <w:i/>
          <w:iCs/>
          <w:color w:val="000000"/>
          <w:kern w:val="0"/>
          <w:lang w:eastAsia="pt-BR"/>
          <w14:ligatures w14:val="none"/>
        </w:rPr>
        <w:t>framing analysis</w:t>
      </w:r>
      <w:r>
        <w:rPr>
          <w:rFonts w:hint="default" w:ascii="Times New Roman" w:hAnsi="Times New Roman" w:eastAsia="Times New Roman" w:cs="Times New Roman"/>
          <w:b w:val="0"/>
          <w:bCs w:val="0"/>
          <w:color w:val="000000"/>
          <w:kern w:val="0"/>
          <w:lang w:eastAsia="pt-BR"/>
          <w14:ligatures w14:val="none"/>
        </w:rPr>
        <w:t>), conforme a proposta de Entman (1993, p. 52). O enquadramento é entendido como o processo de selecionar alguns aspectos de uma realidade percebida e torná-los mais salientes em um texto comunicativo</w:t>
      </w:r>
      <w:r>
        <w:rPr>
          <w:rFonts w:hint="default" w:ascii="Times New Roman" w:hAnsi="Times New Roman" w:eastAsia="Times New Roman" w:cs="Times New Roman"/>
          <w:b w:val="0"/>
          <w:bCs w:val="0"/>
          <w:color w:val="000000"/>
          <w:kern w:val="0"/>
          <w:lang w:val="en-US" w:eastAsia="pt-BR"/>
          <w14:ligatures w14:val="none"/>
        </w:rPr>
        <w:t xml:space="preserve">. </w:t>
      </w:r>
      <w:r>
        <w:rPr>
          <w:rFonts w:hint="default" w:ascii="Times New Roman" w:hAnsi="Times New Roman" w:eastAsia="Times New Roman" w:cs="Times New Roman"/>
          <w:b w:val="0"/>
          <w:bCs w:val="0"/>
          <w:color w:val="000000"/>
          <w:kern w:val="0"/>
          <w:lang w:eastAsia="pt-BR"/>
          <w14:ligatures w14:val="none"/>
        </w:rPr>
        <w:t>O </w:t>
      </w:r>
      <w:r>
        <w:rPr>
          <w:rFonts w:hint="default" w:ascii="Times New Roman" w:hAnsi="Times New Roman" w:eastAsia="Times New Roman" w:cs="Times New Roman"/>
          <w:b w:val="0"/>
          <w:bCs w:val="0"/>
          <w:i/>
          <w:iCs/>
          <w:color w:val="000000"/>
          <w:kern w:val="0"/>
          <w:lang w:eastAsia="pt-BR"/>
          <w14:ligatures w14:val="none"/>
        </w:rPr>
        <w:t>corpus</w:t>
      </w:r>
      <w:r>
        <w:rPr>
          <w:rFonts w:hint="default" w:ascii="Times New Roman" w:hAnsi="Times New Roman" w:eastAsia="Times New Roman" w:cs="Times New Roman"/>
          <w:b w:val="0"/>
          <w:bCs w:val="0"/>
          <w:color w:val="000000"/>
          <w:kern w:val="0"/>
          <w:lang w:eastAsia="pt-BR"/>
          <w14:ligatures w14:val="none"/>
        </w:rPr>
        <w:t> empírico foi expandido para cobrir dois momentos cruciais:</w:t>
      </w:r>
    </w:p>
    <w:p w14:paraId="1811F8A2">
      <w:pPr>
        <w:numPr>
          <w:ilvl w:val="0"/>
          <w:numId w:val="2"/>
        </w:num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Pré-Campanha (Maio-Agosto 2025):</w:t>
      </w:r>
      <w:r>
        <w:rPr>
          <w:rFonts w:hint="default" w:ascii="Times New Roman" w:hAnsi="Times New Roman" w:eastAsia="Times New Roman" w:cs="Times New Roman"/>
          <w:b w:val="0"/>
          <w:bCs w:val="0"/>
          <w:color w:val="000000"/>
          <w:kern w:val="0"/>
          <w:lang w:eastAsia="pt-BR"/>
          <w14:ligatures w14:val="none"/>
        </w:rPr>
        <w:t> Cobertura jornalística internacional (</w:t>
      </w:r>
      <w:r>
        <w:rPr>
          <w:rFonts w:hint="default" w:ascii="Times New Roman" w:hAnsi="Times New Roman" w:eastAsia="Times New Roman" w:cs="Times New Roman"/>
          <w:b w:val="0"/>
          <w:bCs w:val="0"/>
          <w:i/>
          <w:iCs/>
          <w:color w:val="000000"/>
          <w:kern w:val="0"/>
          <w:lang w:eastAsia="pt-BR"/>
          <w14:ligatures w14:val="none"/>
        </w:rPr>
        <w:t>LatAm Journalism Review</w:t>
      </w:r>
      <w:r>
        <w:rPr>
          <w:rFonts w:hint="default" w:ascii="Times New Roman" w:hAnsi="Times New Roman" w:eastAsia="Times New Roman" w:cs="Times New Roman"/>
          <w:b w:val="0"/>
          <w:bCs w:val="0"/>
          <w:color w:val="000000"/>
          <w:kern w:val="0"/>
          <w:lang w:eastAsia="pt-BR"/>
          <w14:ligatures w14:val="none"/>
        </w:rPr>
        <w:t>, </w:t>
      </w:r>
      <w:r>
        <w:rPr>
          <w:rFonts w:hint="default" w:ascii="Times New Roman" w:hAnsi="Times New Roman" w:eastAsia="Times New Roman" w:cs="Times New Roman"/>
          <w:b w:val="0"/>
          <w:bCs w:val="0"/>
          <w:i/>
          <w:iCs/>
          <w:color w:val="000000"/>
          <w:kern w:val="0"/>
          <w:lang w:eastAsia="pt-BR"/>
          <w14:ligatures w14:val="none"/>
        </w:rPr>
        <w:t>Al Jazeera</w:t>
      </w:r>
      <w:r>
        <w:rPr>
          <w:rFonts w:hint="default" w:ascii="Times New Roman" w:hAnsi="Times New Roman" w:eastAsia="Times New Roman" w:cs="Times New Roman"/>
          <w:b w:val="0"/>
          <w:bCs w:val="0"/>
          <w:color w:val="000000"/>
          <w:kern w:val="0"/>
          <w:lang w:eastAsia="pt-BR"/>
          <w14:ligatures w14:val="none"/>
        </w:rPr>
        <w:t>, </w:t>
      </w:r>
      <w:r>
        <w:rPr>
          <w:rFonts w:hint="default" w:ascii="Times New Roman" w:hAnsi="Times New Roman" w:eastAsia="Times New Roman" w:cs="Times New Roman"/>
          <w:b w:val="0"/>
          <w:bCs w:val="0"/>
          <w:i/>
          <w:iCs/>
          <w:color w:val="000000"/>
          <w:kern w:val="0"/>
          <w:lang w:eastAsia="pt-BR"/>
          <w14:ligatures w14:val="none"/>
        </w:rPr>
        <w:t>Reuters</w:t>
      </w:r>
      <w:r>
        <w:rPr>
          <w:rFonts w:hint="default" w:ascii="Times New Roman" w:hAnsi="Times New Roman" w:eastAsia="Times New Roman" w:cs="Times New Roman"/>
          <w:b w:val="0"/>
          <w:bCs w:val="0"/>
          <w:color w:val="000000"/>
          <w:kern w:val="0"/>
          <w:lang w:eastAsia="pt-BR"/>
          <w14:ligatures w14:val="none"/>
        </w:rPr>
        <w:t>) e retórica de plataformas digitais focadas na deslegitimação simbólica.</w:t>
      </w:r>
    </w:p>
    <w:p w14:paraId="047C2716">
      <w:pPr>
        <w:numPr>
          <w:ilvl w:val="0"/>
          <w:numId w:val="2"/>
        </w:num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Desfecho Eleitoral (Dezembro 2025):</w:t>
      </w:r>
      <w:r>
        <w:rPr>
          <w:rFonts w:hint="default" w:ascii="Times New Roman" w:hAnsi="Times New Roman" w:eastAsia="Times New Roman" w:cs="Times New Roman"/>
          <w:b w:val="0"/>
          <w:bCs w:val="0"/>
          <w:color w:val="000000"/>
          <w:kern w:val="0"/>
          <w:lang w:eastAsia="pt-BR"/>
          <w14:ligatures w14:val="none"/>
        </w:rPr>
        <w:t> Documentos oficiais do Partido LIBRE, denúncias em redes sociais, e registros factuais sobre a interferência externa e manipulação do sistema TREP.</w:t>
      </w:r>
    </w:p>
    <w:p w14:paraId="29F42E5E">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análise seguiu a identificação de macro-enquadramentos utilizados para deslegitimar Moncada: Gênero e Dependência; Institucional de Incompetência; Geopolítico Tribal; e o Enquadramento da Intervenção Externa (adicionado na fase final da pesquisa).</w:t>
      </w:r>
    </w:p>
    <w:p w14:paraId="17A3888B">
      <w:pPr>
        <w:spacing w:after="0"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p>
    <w:p w14:paraId="77B9FF67">
      <w:pPr>
        <w:spacing w:after="100" w:afterAutospacing="1" w:line="360" w:lineRule="auto"/>
        <w:jc w:val="both"/>
        <w:outlineLvl w:val="1"/>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4 ANÁLISE: OS ENQUADRAMENTOS DE DESLEGITIMAÇÃO NA PRÉ-CAMPANHA</w:t>
      </w:r>
    </w:p>
    <w:p w14:paraId="35881A7D">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pré-campanha de Rixi Moncada em 2025 foi caracterizada por uma complexa teia de enquadramentos que demonstram a arquitetura da contrafação de sua autonomia política.</w:t>
      </w:r>
    </w:p>
    <w:p w14:paraId="416D01DB">
      <w:pPr>
        <w:spacing w:after="100" w:afterAutospacing="1" w:line="360" w:lineRule="auto"/>
        <w:ind w:left="0" w:leftChars="0" w:firstLine="720" w:firstLineChars="300"/>
        <w:jc w:val="both"/>
        <w:outlineLvl w:val="2"/>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4.1 O Enquadramento de Gênero e a Domesticação Simbólica</w:t>
      </w:r>
    </w:p>
    <w:p w14:paraId="0DECFD3D">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Os ataques de gênero contra Moncada se concentraram na narrativa de dependência. O principal vetor de ataque não é sua feminilidade, mas sua autonomia em relação à figura de Manuel Zelaya. As narrativas de oposição a enquadram como uma "prolongação" ou "marionete" do projeto </w:t>
      </w:r>
      <w:r>
        <w:rPr>
          <w:rFonts w:hint="default" w:ascii="Times New Roman" w:hAnsi="Times New Roman" w:eastAsia="Times New Roman" w:cs="Times New Roman"/>
          <w:b w:val="0"/>
          <w:bCs w:val="0"/>
          <w:i/>
          <w:iCs/>
          <w:color w:val="000000"/>
          <w:kern w:val="0"/>
          <w:lang w:eastAsia="pt-BR"/>
          <w14:ligatures w14:val="none"/>
        </w:rPr>
        <w:t>zelayista</w:t>
      </w:r>
      <w:r>
        <w:rPr>
          <w:rFonts w:hint="default" w:ascii="Times New Roman" w:hAnsi="Times New Roman" w:eastAsia="Times New Roman" w:cs="Times New Roman"/>
          <w:b w:val="0"/>
          <w:bCs w:val="0"/>
          <w:color w:val="000000"/>
          <w:kern w:val="0"/>
          <w:lang w:eastAsia="pt-BR"/>
          <w14:ligatures w14:val="none"/>
        </w:rPr>
        <w:t>. Este padrão discursivo busca reduzir a agência individual e reforçar a lógica patriarcal, sugerindo que o poder real reside no homem nos bastidores. A candidata é vista como um instrumento do projeto familiar, um padrão de violência simbólica.</w:t>
      </w:r>
    </w:p>
    <w:p w14:paraId="57BBB5FF">
      <w:pPr>
        <w:spacing w:after="100" w:afterAutospacing="1" w:line="360" w:lineRule="auto"/>
        <w:ind w:left="0" w:leftChars="0" w:firstLine="720" w:firstLineChars="300"/>
        <w:jc w:val="both"/>
        <w:outlineLvl w:val="2"/>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4.2 A Deslegitimação Institucional: Competência e Ataque ao Histórico</w:t>
      </w:r>
    </w:p>
    <w:p w14:paraId="5741D140">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trajetória profissional de Moncada em cargos técnicos (CNE, Ministério da Defesa) é explorada como vetor de deslegitimação. O enquadramento de incompetência é ativado por meio da retórica da propaganda negativa, transformando registros administrativos em "evidências" de despreparo. A epistemologia tribal permite que a oposição ignore qualquer sucesso ou dado contextual; se Moncada é do LIBRE, seus atos são interpretados como prova de ineficiência, visando criar uma narrativa de "não voto" baseada na desconfiança institucional.</w:t>
      </w:r>
    </w:p>
    <w:p w14:paraId="13056762">
      <w:pPr>
        <w:spacing w:after="100" w:afterAutospacing="1" w:line="360" w:lineRule="auto"/>
        <w:ind w:left="0" w:leftChars="0" w:firstLine="720" w:firstLineChars="300"/>
        <w:jc w:val="both"/>
        <w:outlineLvl w:val="2"/>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4.3 Tribalismo Geopolítico e a Narrativa da Tutela Externa</w:t>
      </w:r>
    </w:p>
    <w:p w14:paraId="515BD9FD">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deslegitimação é amplificada pela narrativa geopolítica tribal. O LIBRE é associado a modelos políticos impopulares (Nicarágua e Venezuela) como tática de terror político. A mensagem subjacente é que votar em Moncada é votar na "venezuelização" de Honduras, acionando o medo e a ansiedade no eleitorado</w:t>
      </w:r>
      <w:r>
        <w:rPr>
          <w:rFonts w:hint="default" w:ascii="Times New Roman" w:hAnsi="Times New Roman" w:eastAsia="Times New Roman" w:cs="Times New Roman"/>
          <w:b w:val="0"/>
          <w:bCs w:val="0"/>
          <w:color w:val="000000"/>
          <w:kern w:val="0"/>
          <w:vertAlign w:val="superscript"/>
          <w:lang w:eastAsia="pt-BR"/>
          <w14:ligatures w14:val="none"/>
        </w:rPr>
        <w:t>42</w:t>
      </w:r>
      <w:r>
        <w:rPr>
          <w:rFonts w:hint="default" w:ascii="Times New Roman" w:hAnsi="Times New Roman" w:eastAsia="Times New Roman" w:cs="Times New Roman"/>
          <w:b w:val="0"/>
          <w:bCs w:val="0"/>
          <w:color w:val="000000"/>
          <w:kern w:val="0"/>
          <w:lang w:eastAsia="pt-BR"/>
          <w14:ligatures w14:val="none"/>
        </w:rPr>
        <w:t>. Essa associação ideológica atua na esfera simbólica, sendo difícil de combater pelo </w:t>
      </w:r>
      <w:r>
        <w:rPr>
          <w:rFonts w:hint="default" w:ascii="Times New Roman" w:hAnsi="Times New Roman" w:eastAsia="Times New Roman" w:cs="Times New Roman"/>
          <w:b w:val="0"/>
          <w:bCs w:val="0"/>
          <w:i/>
          <w:iCs/>
          <w:color w:val="000000"/>
          <w:kern w:val="0"/>
          <w:lang w:eastAsia="pt-BR"/>
          <w14:ligatures w14:val="none"/>
        </w:rPr>
        <w:t>fact-checking</w:t>
      </w:r>
      <w:r>
        <w:rPr>
          <w:rFonts w:hint="default" w:ascii="Times New Roman" w:hAnsi="Times New Roman" w:eastAsia="Times New Roman" w:cs="Times New Roman"/>
          <w:b w:val="0"/>
          <w:bCs w:val="0"/>
          <w:color w:val="000000"/>
          <w:kern w:val="0"/>
          <w:lang w:eastAsia="pt-BR"/>
          <w14:ligatures w14:val="none"/>
        </w:rPr>
        <w:t>tradicional</w:t>
      </w:r>
      <w:r>
        <w:rPr>
          <w:rFonts w:hint="default" w:ascii="Times New Roman" w:hAnsi="Times New Roman" w:eastAsia="Times New Roman" w:cs="Times New Roman"/>
          <w:b w:val="0"/>
          <w:bCs w:val="0"/>
          <w:color w:val="000000"/>
          <w:kern w:val="0"/>
          <w:vertAlign w:val="superscript"/>
          <w:lang w:eastAsia="pt-BR"/>
          <w14:ligatures w14:val="none"/>
        </w:rPr>
        <w:t>43</w:t>
      </w:r>
      <w:r>
        <w:rPr>
          <w:rFonts w:hint="default" w:ascii="Times New Roman" w:hAnsi="Times New Roman" w:eastAsia="Times New Roman" w:cs="Times New Roman"/>
          <w:b w:val="0"/>
          <w:bCs w:val="0"/>
          <w:color w:val="000000"/>
          <w:kern w:val="0"/>
          <w:lang w:eastAsia="pt-BR"/>
          <w14:ligatures w14:val="none"/>
        </w:rPr>
        <w:t>.</w:t>
      </w:r>
    </w:p>
    <w:p w14:paraId="4BC6B260">
      <w:pPr>
        <w:spacing w:after="100" w:afterAutospacing="1" w:line="360" w:lineRule="auto"/>
        <w:ind w:left="0" w:leftChars="0" w:firstLine="720" w:firstLineChars="300"/>
        <w:jc w:val="both"/>
        <w:outlineLvl w:val="2"/>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4.4 O Enquadramento da Crise como Pano de Fundo</w:t>
      </w:r>
    </w:p>
    <w:p w14:paraId="20B5E332">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O enquadramento da crise e da instabilidade na cobertura internacional atua como reforço estrutural. Ao focar em violência e tensões institucionais, a mídia cria um pano de fundo de colapso, sugerindo que o governo é incapaz de garantir a ordem. Este enfoque na "crise de governabilidade" insere a candidatura em uma narrativa de tutela externa, onde a política hondurenha é vista como um problema a ser "contido" por forças externas.</w:t>
      </w:r>
    </w:p>
    <w:p w14:paraId="7CD9B23A">
      <w:pPr>
        <w:spacing w:after="0"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p>
    <w:p w14:paraId="46975CB2">
      <w:pPr>
        <w:spacing w:after="100" w:afterAutospacing="1" w:line="360" w:lineRule="auto"/>
        <w:jc w:val="both"/>
        <w:outlineLvl w:val="1"/>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5 A CRISTALIZAÇÃO DA CONTRAFAÇÃO: INGERÊNCIA E GOLPE ELEITORAL (DEZEMBRO 2025)</w:t>
      </w:r>
    </w:p>
    <w:p w14:paraId="37CBFBA5">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Se na pré-campanha a contrafação da autonomia operava no nível simbólico, na semana decisiva das eleições de dezembro, ela transmutou-se em </w:t>
      </w:r>
      <w:r>
        <w:rPr>
          <w:rFonts w:hint="default" w:ascii="Times New Roman" w:hAnsi="Times New Roman" w:eastAsia="Times New Roman" w:cs="Times New Roman"/>
          <w:b w:val="0"/>
          <w:bCs w:val="0"/>
          <w:color w:val="000000"/>
          <w:kern w:val="0"/>
          <w:lang w:eastAsia="pt-BR"/>
          <w14:ligatures w14:val="none"/>
        </w:rPr>
        <w:t>ingerência geopolítica direta</w:t>
      </w:r>
      <w:r>
        <w:rPr>
          <w:rFonts w:hint="default" w:ascii="Times New Roman" w:hAnsi="Times New Roman" w:eastAsia="Times New Roman" w:cs="Times New Roman"/>
          <w:b w:val="0"/>
          <w:bCs w:val="0"/>
          <w:color w:val="000000"/>
          <w:kern w:val="0"/>
          <w:lang w:eastAsia="pt-BR"/>
          <w14:ligatures w14:val="none"/>
        </w:rPr>
        <w:t> e </w:t>
      </w:r>
      <w:r>
        <w:rPr>
          <w:rFonts w:hint="default" w:ascii="Times New Roman" w:hAnsi="Times New Roman" w:eastAsia="Times New Roman" w:cs="Times New Roman"/>
          <w:b w:val="0"/>
          <w:bCs w:val="0"/>
          <w:color w:val="000000"/>
          <w:kern w:val="0"/>
          <w:lang w:eastAsia="pt-BR"/>
          <w14:ligatures w14:val="none"/>
        </w:rPr>
        <w:t>sabotagem técnica</w:t>
      </w:r>
      <w:r>
        <w:rPr>
          <w:rFonts w:hint="default" w:ascii="Times New Roman" w:hAnsi="Times New Roman" w:eastAsia="Times New Roman" w:cs="Times New Roman"/>
          <w:b w:val="0"/>
          <w:bCs w:val="0"/>
          <w:color w:val="000000"/>
          <w:kern w:val="0"/>
          <w:lang w:eastAsia="pt-BR"/>
          <w14:ligatures w14:val="none"/>
        </w:rPr>
        <w:t>, conforme denunciado pelo Partido Libre e corroborado por observações in loco.</w:t>
      </w:r>
    </w:p>
    <w:p w14:paraId="2781C0C2">
      <w:pPr>
        <w:spacing w:after="100" w:afterAutospacing="1" w:line="360" w:lineRule="auto"/>
        <w:jc w:val="both"/>
        <w:outlineLvl w:val="2"/>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5.1 A Casa Branca e o Discurso da "Ameaça Comunista"</w:t>
      </w:r>
    </w:p>
    <w:p w14:paraId="37CCA7D2">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Na reta final, a narrativa de "tribalismo geopolítico" deixou de ser apenas retórica de opositores locais para se tornar política de estado de potências estrangeiras. A administração de Donald Trump nos Estados Unidos interveio diretamente no pleito, rompendo a soberania hondurenha. A Casa Branca e seus aliados rotularam explicitamente a candidata Rixi Moncada de "comunista", utilizando esse estigma para coagir o eleitorado.</w:t>
      </w:r>
    </w:p>
    <w:p w14:paraId="414EF8DB">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estratégia de medo foi operacionalizada digitalmente: milhões de mensagens foram enviadas através de diversas plataformas, ameaçando a população de que, caso votassem em Rixi Moncada, o envio de remessas — pilar fundamental da economia familiar hondurenha — seria cortado no mês de dezembro. Esta ação configura uma chantagem econômica em larga escala, visando dobrar a vontade popular pela asfixia financeira.</w:t>
      </w:r>
    </w:p>
    <w:p w14:paraId="0DADD409">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Simultaneamente, o presidente Donald Trump concedeu um indulto ao ex-presidente e narcotraficante Juan Orlando Hernández (JOH) em pleno marco do processo eleitoral. Este ato simbólico funcionou como um pedido de voto implícito para o candidato apoiado pelo setor ligado ao narcotráfico, sinalizando que a parceria com os EUA (e a manutenção das parcerias econômicas) dependia da derrota de Moncada. O indulto a JOH reforçou a percepção de tutela imperial: a lealdade aos interesses norte-americanos foi colocada acima do combate ao crime organizado e do Estado de Direito.</w:t>
      </w:r>
    </w:p>
    <w:p w14:paraId="60AC1504">
      <w:pPr>
        <w:spacing w:after="100" w:afterAutospacing="1" w:line="360" w:lineRule="auto"/>
        <w:jc w:val="both"/>
        <w:outlineLvl w:val="2"/>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5.2 A OEA e a Institucionalização da Deslegitimação</w:t>
      </w:r>
    </w:p>
    <w:p w14:paraId="44AF19B0">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pressão externa institucionalizou-se através de uma reunião de emergência da Organização dos Estados Americanos (OEA), convocada na semana da eleição de maneira atípica. O encontro serviu como palco para denúncias preventivas por parte dos Estados Unidos e da Argentina, que atuaram como "testemunhas de acusação" contra a lisura do processo hondurenho antes mesmo da contagem de votos.</w:t>
      </w:r>
    </w:p>
    <w:p w14:paraId="0C79499C">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participação de secretários de formação dos partidos Democrata e Republicano dos EUA na acusação de possível manipulação (pelo lado do governo) inverteu a realidade dos fatos, criando uma cortina de fumaça diplomática. Essa manobra visava deslegitimar </w:t>
      </w:r>
      <w:r>
        <w:rPr>
          <w:rFonts w:hint="default" w:ascii="Times New Roman" w:hAnsi="Times New Roman" w:eastAsia="Times New Roman" w:cs="Times New Roman"/>
          <w:b w:val="0"/>
          <w:bCs w:val="0"/>
          <w:i/>
          <w:iCs/>
          <w:color w:val="000000"/>
          <w:kern w:val="0"/>
          <w:lang w:eastAsia="pt-BR"/>
          <w14:ligatures w14:val="none"/>
        </w:rPr>
        <w:t>a priori</w:t>
      </w:r>
      <w:r>
        <w:rPr>
          <w:rFonts w:hint="default" w:ascii="Times New Roman" w:hAnsi="Times New Roman" w:eastAsia="Times New Roman" w:cs="Times New Roman"/>
          <w:b w:val="0"/>
          <w:bCs w:val="0"/>
          <w:color w:val="000000"/>
          <w:kern w:val="0"/>
          <w:lang w:eastAsia="pt-BR"/>
          <w14:ligatures w14:val="none"/>
        </w:rPr>
        <w:t> uma eventual vitória de Moncada, enquadrando o processo eleitoral sob suspeita internacional caso o resultado não agradasse aos interesses hegemônicos.</w:t>
      </w:r>
    </w:p>
    <w:p w14:paraId="2409A2E4">
      <w:pPr>
        <w:spacing w:after="100" w:afterAutospacing="1" w:line="360" w:lineRule="auto"/>
        <w:jc w:val="both"/>
        <w:outlineLvl w:val="2"/>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5.3 Sabotagem Técnica: O TREP e as Fraudes Físicas</w:t>
      </w:r>
    </w:p>
    <w:p w14:paraId="388A9F7F">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No plano interno, a deslegitimação da competência técnica de Moncada deu lugar à sabotagem material do sufrágio. O Partido LIBRE e técnicos independentes denunciaram que o sistema de Transmissão de Resultados Eleitorais Preliminares (TREP) teve seu código-fonte manipulado. A adulteração ocorreu sem a utilização das três chaves de segurança obrigatórias e à revelia dos técnicos responsáveis, violando a Lei Electoral.</w:t>
      </w:r>
      <w:r>
        <w:rPr>
          <w:rFonts w:hint="default" w:ascii="Times New Roman" w:hAnsi="Times New Roman" w:eastAsia="Times New Roman" w:cs="Times New Roman"/>
          <w:b w:val="0"/>
          <w:bCs w:val="0"/>
          <w:color w:val="000000"/>
          <w:kern w:val="0"/>
          <w:lang w:val="en-US" w:eastAsia="pt-BR"/>
          <w14:ligatures w14:val="none"/>
        </w:rPr>
        <w:t xml:space="preserve"> </w:t>
      </w:r>
      <w:r>
        <w:rPr>
          <w:rFonts w:hint="default" w:ascii="Times New Roman" w:hAnsi="Times New Roman" w:eastAsia="Times New Roman" w:cs="Times New Roman"/>
          <w:b w:val="0"/>
          <w:bCs w:val="0"/>
          <w:color w:val="000000"/>
          <w:kern w:val="0"/>
          <w:lang w:eastAsia="pt-BR"/>
          <w14:ligatures w14:val="none"/>
        </w:rPr>
        <w:t>As consequências dessa intervenção digital foram evidenciadas nos módulos de escrutínio:</w:t>
      </w:r>
    </w:p>
    <w:p w14:paraId="3915A3B4">
      <w:pPr>
        <w:numPr>
          <w:ilvl w:val="0"/>
          <w:numId w:val="3"/>
        </w:num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Mais de 5.000 atas apareceram "em zero";</w:t>
      </w:r>
    </w:p>
    <w:p w14:paraId="0E35FEB2">
      <w:pPr>
        <w:numPr>
          <w:ilvl w:val="0"/>
          <w:numId w:val="3"/>
        </w:num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Inconsistências foram detectadas em 95,17% das atas transmitidas em relação ao sistema biométrico;</w:t>
      </w:r>
    </w:p>
    <w:p w14:paraId="48789F05">
      <w:pPr>
        <w:numPr>
          <w:ilvl w:val="0"/>
          <w:numId w:val="3"/>
        </w:num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4.659 atas não possuíam qualquer respaldo biométrico;</w:t>
      </w:r>
    </w:p>
    <w:p w14:paraId="56797109">
      <w:pPr>
        <w:numPr>
          <w:ilvl w:val="0"/>
          <w:numId w:val="3"/>
        </w:num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Houve quedas constantes e intencionais da página de divulgação.</w:t>
      </w:r>
    </w:p>
    <w:p w14:paraId="0BF24788">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fraude digital foi acompanhada por irregularidades físicas grosseiras. Em San Pedro Sula, autoridades detiveram uma mulher na posse de várias atas eleitorais que estavam sendo preenchidas ilicitamente dentro de uma residência privada. Paralelamente, o Chanceler de Honduras e a própria candidata Rixi Moncada apresentaram ao público e à imprensa uma série de atas sem assinaturas dos membros das mesas e documentos com graves inconsistências numéricas, comprovando a materialidade do "golpe eleitoral" em curso.</w:t>
      </w:r>
    </w:p>
    <w:p w14:paraId="68AED70A">
      <w:pPr>
        <w:spacing w:after="0"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p>
    <w:p w14:paraId="167C8209">
      <w:pPr>
        <w:spacing w:after="100" w:afterAutospacing="1" w:line="360" w:lineRule="auto"/>
        <w:jc w:val="both"/>
        <w:outlineLvl w:val="1"/>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6 DISCUSSÃO</w:t>
      </w:r>
    </w:p>
    <w:p w14:paraId="41956039">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análise integrada dos enquadramentos da pré-campanha com os eventos factuais de dezembro revela que a </w:t>
      </w:r>
      <w:r>
        <w:rPr>
          <w:rFonts w:hint="default" w:ascii="Times New Roman" w:hAnsi="Times New Roman" w:eastAsia="Times New Roman" w:cs="Times New Roman"/>
          <w:b w:val="0"/>
          <w:bCs w:val="0"/>
          <w:color w:val="000000"/>
          <w:kern w:val="0"/>
          <w:lang w:eastAsia="pt-BR"/>
          <w14:ligatures w14:val="none"/>
        </w:rPr>
        <w:t>contrafação da autonomia política</w:t>
      </w:r>
      <w:r>
        <w:rPr>
          <w:rFonts w:hint="default" w:ascii="Times New Roman" w:hAnsi="Times New Roman" w:eastAsia="Times New Roman" w:cs="Times New Roman"/>
          <w:b w:val="0"/>
          <w:bCs w:val="0"/>
          <w:color w:val="000000"/>
          <w:kern w:val="0"/>
          <w:lang w:eastAsia="pt-BR"/>
          <w14:ligatures w14:val="none"/>
        </w:rPr>
        <w:t> é um processo dinâmico e escalável. O fenômeno sugere que a deslegitimação de mulheres em posições de poder começa com a arquitetura discursiva (estereótipos, dúvida sobre competência) e culmina na violência política institucional (ingerência externa, fraude).</w:t>
      </w:r>
    </w:p>
    <w:p w14:paraId="1A993317">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O caso Moncada demonstra que a guerra de narrativas é, essencialmente, uma guerra de visibilidade e enquadramento. A cobertura internacional, ao priorizar temas de crise durante o ano, preparou o terreno para que a intervenção da OEA e dos EUA em dezembro fosse recebida como uma "necessidade" de tutela, e não como uma violação da soberania.</w:t>
      </w:r>
    </w:p>
    <w:p w14:paraId="0249BEAB">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IA e as plataformas digitais aceleraram esse processo não apenas via </w:t>
      </w:r>
      <w:r>
        <w:rPr>
          <w:rFonts w:hint="default" w:ascii="Times New Roman" w:hAnsi="Times New Roman" w:eastAsia="Times New Roman" w:cs="Times New Roman"/>
          <w:b w:val="0"/>
          <w:bCs w:val="0"/>
          <w:i/>
          <w:iCs/>
          <w:color w:val="000000"/>
          <w:kern w:val="0"/>
          <w:lang w:eastAsia="pt-BR"/>
          <w14:ligatures w14:val="none"/>
        </w:rPr>
        <w:t>bots</w:t>
      </w:r>
      <w:r>
        <w:rPr>
          <w:rFonts w:hint="default" w:ascii="Times New Roman" w:hAnsi="Times New Roman" w:eastAsia="Times New Roman" w:cs="Times New Roman"/>
          <w:b w:val="0"/>
          <w:bCs w:val="0"/>
          <w:color w:val="000000"/>
          <w:kern w:val="0"/>
          <w:lang w:eastAsia="pt-BR"/>
          <w14:ligatures w14:val="none"/>
        </w:rPr>
        <w:t>, mas como vetores de coação direta (a mensagem sobre as remessas). A "inteligência estendida" serviu para automatizar o medo e dar escala à chantagem geopolítica. A comparação com outras líderes mostra que, embora Dilma e Sheinbaum tenham sofrido ataques, o caso hondurenho se destaca pelo grau de intervenção externa direta (Trump/OEA) e pela manipulação técnica descarada do sistema eleitoral (TREP) para impedir a ascensão de uma mulher progressista.</w:t>
      </w:r>
    </w:p>
    <w:p w14:paraId="62245A45">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resistência do Partido LIBRE, ao não reconhecer as eleições celebradas sob coação e convocar a "Asamblea Extraordinaria de la Dignidad Nacional", indica que o combate à contrafação da autonomia exige não apenas letramento midiático, mas mobilização popular e defesa intransigente da soberania nacional contra o neocolonialismo digital e político.</w:t>
      </w:r>
    </w:p>
    <w:p w14:paraId="27A7F318">
      <w:pPr>
        <w:spacing w:after="0"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p>
    <w:p w14:paraId="7125AB05">
      <w:pPr>
        <w:spacing w:after="100" w:afterAutospacing="1" w:line="360" w:lineRule="auto"/>
        <w:jc w:val="both"/>
        <w:outlineLvl w:val="1"/>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CONCLUSÃO</w:t>
      </w:r>
    </w:p>
    <w:p w14:paraId="31C6925D">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A análise do ciclo eleitoral de 2025 em torno de Rixi Moncada evidencia a complexidade da deslegitimação de lideranças femininas na América Central. O fenômeno da </w:t>
      </w:r>
      <w:r>
        <w:rPr>
          <w:rFonts w:hint="default" w:ascii="Times New Roman" w:hAnsi="Times New Roman" w:eastAsia="Times New Roman" w:cs="Times New Roman"/>
          <w:b w:val="0"/>
          <w:bCs w:val="0"/>
          <w:color w:val="000000"/>
          <w:kern w:val="0"/>
          <w:lang w:eastAsia="pt-BR"/>
          <w14:ligatures w14:val="none"/>
        </w:rPr>
        <w:t>contrafação da autonomia política</w:t>
      </w:r>
      <w:r>
        <w:rPr>
          <w:rFonts w:hint="default" w:ascii="Times New Roman" w:hAnsi="Times New Roman" w:eastAsia="Times New Roman" w:cs="Times New Roman"/>
          <w:b w:val="0"/>
          <w:bCs w:val="0"/>
          <w:color w:val="000000"/>
          <w:kern w:val="0"/>
          <w:lang w:eastAsia="pt-BR"/>
          <w14:ligatures w14:val="none"/>
        </w:rPr>
        <w:t> demonstra que a sabotagem democrática não exige apenas </w:t>
      </w:r>
      <w:r>
        <w:rPr>
          <w:rFonts w:hint="default" w:ascii="Times New Roman" w:hAnsi="Times New Roman" w:eastAsia="Times New Roman" w:cs="Times New Roman"/>
          <w:b w:val="0"/>
          <w:bCs w:val="0"/>
          <w:i/>
          <w:iCs/>
          <w:color w:val="000000"/>
          <w:kern w:val="0"/>
          <w:lang w:eastAsia="pt-BR"/>
          <w14:ligatures w14:val="none"/>
        </w:rPr>
        <w:t>fake news</w:t>
      </w:r>
      <w:r>
        <w:rPr>
          <w:rFonts w:hint="default" w:ascii="Times New Roman" w:hAnsi="Times New Roman" w:eastAsia="Times New Roman" w:cs="Times New Roman"/>
          <w:b w:val="0"/>
          <w:bCs w:val="0"/>
          <w:color w:val="000000"/>
          <w:kern w:val="0"/>
          <w:lang w:eastAsia="pt-BR"/>
          <w14:ligatures w14:val="none"/>
        </w:rPr>
        <w:t>, mas a construção de uma narrativa estrutural que nega a competência da candidata, seguida de ações concretas de força.</w:t>
      </w:r>
      <w:r>
        <w:rPr>
          <w:rFonts w:hint="default" w:ascii="Times New Roman" w:hAnsi="Times New Roman" w:eastAsia="Times New Roman" w:cs="Times New Roman"/>
          <w:b w:val="0"/>
          <w:bCs w:val="0"/>
          <w:color w:val="000000"/>
          <w:kern w:val="0"/>
          <w:lang w:val="en-US" w:eastAsia="pt-BR"/>
          <w14:ligatures w14:val="none"/>
        </w:rPr>
        <w:t xml:space="preserve"> </w:t>
      </w:r>
      <w:r>
        <w:rPr>
          <w:rFonts w:hint="default" w:ascii="Times New Roman" w:hAnsi="Times New Roman" w:eastAsia="Times New Roman" w:cs="Times New Roman"/>
          <w:b w:val="0"/>
          <w:bCs w:val="0"/>
          <w:color w:val="000000"/>
          <w:kern w:val="0"/>
          <w:lang w:eastAsia="pt-BR"/>
          <w14:ligatures w14:val="none"/>
        </w:rPr>
        <w:t>Conclui-se que a autonomia de Moncada foi atacada em três frentes simultâneas:</w:t>
      </w:r>
    </w:p>
    <w:p w14:paraId="29E9CC0F">
      <w:pPr>
        <w:numPr>
          <w:ilvl w:val="0"/>
          <w:numId w:val="4"/>
        </w:num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Simbólica:</w:t>
      </w:r>
      <w:r>
        <w:rPr>
          <w:rFonts w:hint="default" w:ascii="Times New Roman" w:hAnsi="Times New Roman" w:eastAsia="Times New Roman" w:cs="Times New Roman"/>
          <w:b w:val="0"/>
          <w:bCs w:val="0"/>
          <w:color w:val="000000"/>
          <w:kern w:val="0"/>
          <w:lang w:eastAsia="pt-BR"/>
          <w14:ligatures w14:val="none"/>
        </w:rPr>
        <w:t> A redução de sua figura a uma "marionete" de Zelaya.</w:t>
      </w:r>
    </w:p>
    <w:p w14:paraId="09461FDD">
      <w:pPr>
        <w:numPr>
          <w:ilvl w:val="0"/>
          <w:numId w:val="4"/>
        </w:num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Geopolítica:</w:t>
      </w:r>
      <w:r>
        <w:rPr>
          <w:rFonts w:hint="default" w:ascii="Times New Roman" w:hAnsi="Times New Roman" w:eastAsia="Times New Roman" w:cs="Times New Roman"/>
          <w:b w:val="0"/>
          <w:bCs w:val="0"/>
          <w:color w:val="000000"/>
          <w:kern w:val="0"/>
          <w:lang w:eastAsia="pt-BR"/>
          <w14:ligatures w14:val="none"/>
        </w:rPr>
        <w:t> A intervenção de Donald Trump e da OEA, associando-a ao comunismo e usando o indulto a narcotraficantes e o bloqueio de remessas como armas de chantagem.</w:t>
      </w:r>
    </w:p>
    <w:p w14:paraId="62410E8A">
      <w:pPr>
        <w:numPr>
          <w:ilvl w:val="0"/>
          <w:numId w:val="4"/>
        </w:num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Técnica:</w:t>
      </w:r>
      <w:r>
        <w:rPr>
          <w:rFonts w:hint="default" w:ascii="Times New Roman" w:hAnsi="Times New Roman" w:eastAsia="Times New Roman" w:cs="Times New Roman"/>
          <w:b w:val="0"/>
          <w:bCs w:val="0"/>
          <w:color w:val="000000"/>
          <w:kern w:val="0"/>
          <w:lang w:eastAsia="pt-BR"/>
          <w14:ligatures w14:val="none"/>
        </w:rPr>
        <w:t> A manipulação do código-fonte do TREP e a falsificação física de atas para alterar a vontade popular.</w:t>
      </w:r>
    </w:p>
    <w:p w14:paraId="74D7B93E">
      <w:pPr>
        <w:spacing w:after="100" w:afterAutospacing="1"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O contexto hondurenho de dezembro de 2025 torna-se, assim, um caso paradigmático de como as democracias periféricas estão vulneráveis a uma nova forma de golpe, onde a tecnologia e a diplomacia coerciva se unem para impedir a continuidade de projetos progressistas liderados por mulheres.</w:t>
      </w:r>
    </w:p>
    <w:p w14:paraId="12EA7C0F">
      <w:pPr>
        <w:spacing w:after="0" w:line="360" w:lineRule="auto"/>
        <w:ind w:left="0" w:leftChars="0" w:firstLine="720" w:firstLineChars="300"/>
        <w:jc w:val="both"/>
        <w:rPr>
          <w:rFonts w:hint="default" w:ascii="Times New Roman" w:hAnsi="Times New Roman" w:eastAsia="Times New Roman" w:cs="Times New Roman"/>
          <w:b w:val="0"/>
          <w:bCs w:val="0"/>
          <w:color w:val="000000"/>
          <w:kern w:val="0"/>
          <w:lang w:eastAsia="pt-BR"/>
          <w14:ligatures w14:val="none"/>
        </w:rPr>
      </w:pPr>
    </w:p>
    <w:p w14:paraId="48A5FA94">
      <w:pPr>
        <w:spacing w:after="100" w:afterAutospacing="1" w:line="360" w:lineRule="auto"/>
        <w:jc w:val="both"/>
        <w:outlineLvl w:val="1"/>
        <w:rPr>
          <w:rFonts w:hint="default" w:ascii="Times New Roman" w:hAnsi="Times New Roman" w:eastAsia="Times New Roman" w:cs="Times New Roman"/>
          <w:b/>
          <w:bCs/>
          <w:color w:val="000000"/>
          <w:kern w:val="0"/>
          <w:lang w:eastAsia="pt-BR"/>
          <w14:ligatures w14:val="none"/>
        </w:rPr>
      </w:pPr>
      <w:r>
        <w:rPr>
          <w:rFonts w:hint="default" w:ascii="Times New Roman" w:hAnsi="Times New Roman" w:eastAsia="Times New Roman" w:cs="Times New Roman"/>
          <w:b/>
          <w:bCs/>
          <w:color w:val="000000"/>
          <w:kern w:val="0"/>
          <w:lang w:eastAsia="pt-BR"/>
          <w14:ligatures w14:val="none"/>
        </w:rPr>
        <w:t>REFERÊNCIAS</w:t>
      </w:r>
    </w:p>
    <w:p w14:paraId="228AE346">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 xml:space="preserve">AL JAZEERA. </w:t>
      </w:r>
      <w:r>
        <w:rPr>
          <w:rFonts w:hint="default" w:ascii="Times New Roman" w:hAnsi="Times New Roman" w:eastAsia="Times New Roman" w:cs="Times New Roman"/>
          <w:b/>
          <w:bCs/>
          <w:color w:val="000000"/>
          <w:kern w:val="0"/>
          <w:lang w:eastAsia="pt-BR"/>
          <w14:ligatures w14:val="none"/>
        </w:rPr>
        <w:t>Honduran government faces protests over new security law</w:t>
      </w:r>
      <w:r>
        <w:rPr>
          <w:rFonts w:hint="default" w:ascii="Times New Roman" w:hAnsi="Times New Roman" w:eastAsia="Times New Roman" w:cs="Times New Roman"/>
          <w:b w:val="0"/>
          <w:bCs w:val="0"/>
          <w:color w:val="000000"/>
          <w:kern w:val="0"/>
          <w:lang w:eastAsia="pt-BR"/>
          <w14:ligatures w14:val="none"/>
        </w:rPr>
        <w:t>. </w:t>
      </w:r>
      <w:r>
        <w:rPr>
          <w:rFonts w:hint="default" w:ascii="Times New Roman" w:hAnsi="Times New Roman" w:eastAsia="Times New Roman" w:cs="Times New Roman"/>
          <w:b w:val="0"/>
          <w:bCs w:val="0"/>
          <w:color w:val="000000"/>
          <w:kern w:val="0"/>
          <w:lang w:eastAsia="pt-BR"/>
          <w14:ligatures w14:val="none"/>
        </w:rPr>
        <w:t>Al Jazeera</w:t>
      </w:r>
      <w:r>
        <w:rPr>
          <w:rFonts w:hint="default" w:ascii="Times New Roman" w:hAnsi="Times New Roman" w:eastAsia="Times New Roman" w:cs="Times New Roman"/>
          <w:b w:val="0"/>
          <w:bCs w:val="0"/>
          <w:color w:val="000000"/>
          <w:kern w:val="0"/>
          <w:lang w:eastAsia="pt-BR"/>
          <w14:ligatures w14:val="none"/>
        </w:rPr>
        <w:t>, 15 ago. 2025.</w:t>
      </w:r>
    </w:p>
    <w:p w14:paraId="453DB04C">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 xml:space="preserve">BARROS, Carlos Eduardo et al. </w:t>
      </w:r>
      <w:r>
        <w:rPr>
          <w:rFonts w:hint="default" w:ascii="Times New Roman" w:hAnsi="Times New Roman" w:eastAsia="Times New Roman" w:cs="Times New Roman"/>
          <w:b/>
          <w:bCs/>
          <w:color w:val="000000"/>
          <w:kern w:val="0"/>
          <w:lang w:eastAsia="pt-BR"/>
          <w14:ligatures w14:val="none"/>
        </w:rPr>
        <w:t xml:space="preserve">Negacionismo climático no YouTube: </w:t>
      </w:r>
      <w:r>
        <w:rPr>
          <w:rFonts w:hint="default" w:ascii="Times New Roman" w:hAnsi="Times New Roman" w:eastAsia="Times New Roman" w:cs="Times New Roman"/>
          <w:b w:val="0"/>
          <w:bCs w:val="0"/>
          <w:color w:val="000000"/>
          <w:kern w:val="0"/>
          <w:lang w:eastAsia="pt-BR"/>
          <w14:ligatures w14:val="none"/>
        </w:rPr>
        <w:t>como argumentos de falsos especialistas repercutem nos comentários da audiência. In: </w:t>
      </w:r>
      <w:r>
        <w:rPr>
          <w:rFonts w:hint="default" w:ascii="Times New Roman" w:hAnsi="Times New Roman" w:eastAsia="Times New Roman" w:cs="Times New Roman"/>
          <w:b w:val="0"/>
          <w:bCs w:val="0"/>
          <w:color w:val="000000"/>
          <w:kern w:val="0"/>
          <w:lang w:eastAsia="pt-BR"/>
          <w14:ligatures w14:val="none"/>
        </w:rPr>
        <w:t>ENCONTRO ANUAL DA COMPÓS</w:t>
      </w:r>
      <w:r>
        <w:rPr>
          <w:rFonts w:hint="default" w:ascii="Times New Roman" w:hAnsi="Times New Roman" w:eastAsia="Times New Roman" w:cs="Times New Roman"/>
          <w:b w:val="0"/>
          <w:bCs w:val="0"/>
          <w:color w:val="000000"/>
          <w:kern w:val="0"/>
          <w:lang w:eastAsia="pt-BR"/>
          <w14:ligatures w14:val="none"/>
        </w:rPr>
        <w:t>, 33., 2024, Niterói.</w:t>
      </w:r>
    </w:p>
    <w:p w14:paraId="6AA13277">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 xml:space="preserve">BORBA, Felipe. </w:t>
      </w:r>
      <w:r>
        <w:rPr>
          <w:rFonts w:hint="default" w:ascii="Times New Roman" w:hAnsi="Times New Roman" w:eastAsia="Times New Roman" w:cs="Times New Roman"/>
          <w:b/>
          <w:bCs/>
          <w:color w:val="000000"/>
          <w:kern w:val="0"/>
          <w:lang w:eastAsia="pt-BR"/>
          <w14:ligatures w14:val="none"/>
        </w:rPr>
        <w:t>Propaganda negativa nas eleições presidenciais brasileiras. </w:t>
      </w:r>
      <w:r>
        <w:rPr>
          <w:rFonts w:hint="default" w:ascii="Times New Roman" w:hAnsi="Times New Roman" w:eastAsia="Times New Roman" w:cs="Times New Roman"/>
          <w:b w:val="0"/>
          <w:bCs w:val="0"/>
          <w:color w:val="000000"/>
          <w:kern w:val="0"/>
          <w:lang w:eastAsia="pt-BR"/>
          <w14:ligatures w14:val="none"/>
        </w:rPr>
        <w:t>Opinião Pública</w:t>
      </w:r>
      <w:r>
        <w:rPr>
          <w:rFonts w:hint="default" w:ascii="Times New Roman" w:hAnsi="Times New Roman" w:eastAsia="Times New Roman" w:cs="Times New Roman"/>
          <w:b w:val="0"/>
          <w:bCs w:val="0"/>
          <w:color w:val="000000"/>
          <w:kern w:val="0"/>
          <w:lang w:eastAsia="pt-BR"/>
          <w14:ligatures w14:val="none"/>
        </w:rPr>
        <w:t>, Campinas, v. 21, n. 2, p. 268-295, ago. 2015.</w:t>
      </w:r>
    </w:p>
    <w:p w14:paraId="4519FDC9">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CHESNEY, Robert; CITRON, Danielle. Deep Fakes: A Looming Challenge for Privacy, Democracy, and National Security. </w:t>
      </w:r>
      <w:r>
        <w:rPr>
          <w:rFonts w:hint="default" w:ascii="Times New Roman" w:hAnsi="Times New Roman" w:eastAsia="Times New Roman" w:cs="Times New Roman"/>
          <w:b/>
          <w:bCs/>
          <w:color w:val="000000"/>
          <w:kern w:val="0"/>
          <w:lang w:eastAsia="pt-BR"/>
          <w14:ligatures w14:val="none"/>
        </w:rPr>
        <w:t>California Law Review</w:t>
      </w:r>
      <w:r>
        <w:rPr>
          <w:rFonts w:hint="default" w:ascii="Times New Roman" w:hAnsi="Times New Roman" w:eastAsia="Times New Roman" w:cs="Times New Roman"/>
          <w:b w:val="0"/>
          <w:bCs w:val="0"/>
          <w:color w:val="000000"/>
          <w:kern w:val="0"/>
          <w:lang w:eastAsia="pt-BR"/>
          <w14:ligatures w14:val="none"/>
        </w:rPr>
        <w:t>, v. 107, n. 6, p. 1753-1823, 2019.</w:t>
      </w:r>
    </w:p>
    <w:p w14:paraId="1129D9D8">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 xml:space="preserve">ELORDUY, Gabriela. </w:t>
      </w:r>
      <w:r>
        <w:rPr>
          <w:rFonts w:hint="default" w:ascii="Times New Roman" w:hAnsi="Times New Roman" w:eastAsia="Times New Roman" w:cs="Times New Roman"/>
          <w:b/>
          <w:bCs/>
          <w:color w:val="000000"/>
          <w:kern w:val="0"/>
          <w:lang w:eastAsia="pt-BR"/>
          <w14:ligatures w14:val="none"/>
        </w:rPr>
        <w:t>Desinformación y género en la campaña de Claudia Sheinbaum.</w:t>
      </w:r>
      <w:r>
        <w:rPr>
          <w:rFonts w:hint="default" w:ascii="Times New Roman" w:hAnsi="Times New Roman" w:eastAsia="Times New Roman" w:cs="Times New Roman"/>
          <w:b w:val="0"/>
          <w:bCs w:val="0"/>
          <w:color w:val="000000"/>
          <w:kern w:val="0"/>
          <w:lang w:eastAsia="pt-BR"/>
          <w14:ligatures w14:val="none"/>
        </w:rPr>
        <w:t> </w:t>
      </w:r>
      <w:r>
        <w:rPr>
          <w:rFonts w:hint="default" w:ascii="Times New Roman" w:hAnsi="Times New Roman" w:eastAsia="Times New Roman" w:cs="Times New Roman"/>
          <w:b w:val="0"/>
          <w:bCs w:val="0"/>
          <w:color w:val="000000"/>
          <w:kern w:val="0"/>
          <w:lang w:eastAsia="pt-BR"/>
          <w14:ligatures w14:val="none"/>
        </w:rPr>
        <w:t>El País América</w:t>
      </w:r>
      <w:r>
        <w:rPr>
          <w:rFonts w:hint="default" w:ascii="Times New Roman" w:hAnsi="Times New Roman" w:eastAsia="Times New Roman" w:cs="Times New Roman"/>
          <w:b w:val="0"/>
          <w:bCs w:val="0"/>
          <w:color w:val="000000"/>
          <w:kern w:val="0"/>
          <w:lang w:eastAsia="pt-BR"/>
          <w14:ligatures w14:val="none"/>
        </w:rPr>
        <w:t>, 2024.</w:t>
      </w:r>
    </w:p>
    <w:p w14:paraId="0D96F46F">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ENTMAN, Robert. Framing: Toward Clarification of a Fractured Paradigm. </w:t>
      </w:r>
      <w:r>
        <w:rPr>
          <w:rFonts w:hint="default" w:ascii="Times New Roman" w:hAnsi="Times New Roman" w:eastAsia="Times New Roman" w:cs="Times New Roman"/>
          <w:b/>
          <w:bCs/>
          <w:color w:val="000000"/>
          <w:kern w:val="0"/>
          <w:lang w:eastAsia="pt-BR"/>
          <w14:ligatures w14:val="none"/>
        </w:rPr>
        <w:t>Journal of Communication</w:t>
      </w:r>
      <w:r>
        <w:rPr>
          <w:rFonts w:hint="default" w:ascii="Times New Roman" w:hAnsi="Times New Roman" w:eastAsia="Times New Roman" w:cs="Times New Roman"/>
          <w:b w:val="0"/>
          <w:bCs w:val="0"/>
          <w:color w:val="000000"/>
          <w:kern w:val="0"/>
          <w:lang w:eastAsia="pt-BR"/>
          <w14:ligatures w14:val="none"/>
        </w:rPr>
        <w:t>, v. 43, n. 4, p. 51-58, out. 1993.</w:t>
      </w:r>
    </w:p>
    <w:p w14:paraId="732C0C4E">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FILGUEIRAS, Fernando; MENDONÇA, Ricardo Fabrino; ALMEIDA, Virgílio. Inteligência Artificial e democracia: humanos, máquinas e instituições algorítmicas. </w:t>
      </w:r>
      <w:r>
        <w:rPr>
          <w:rFonts w:hint="default" w:ascii="Times New Roman" w:hAnsi="Times New Roman" w:eastAsia="Times New Roman" w:cs="Times New Roman"/>
          <w:b/>
          <w:bCs/>
          <w:color w:val="000000"/>
          <w:kern w:val="0"/>
          <w:lang w:eastAsia="pt-BR"/>
          <w14:ligatures w14:val="none"/>
        </w:rPr>
        <w:t>Estudos Avançados,</w:t>
      </w:r>
      <w:r>
        <w:rPr>
          <w:rFonts w:hint="default" w:ascii="Times New Roman" w:hAnsi="Times New Roman" w:eastAsia="Times New Roman" w:cs="Times New Roman"/>
          <w:b w:val="0"/>
          <w:bCs w:val="0"/>
          <w:color w:val="000000"/>
          <w:kern w:val="0"/>
          <w:lang w:eastAsia="pt-BR"/>
          <w14:ligatures w14:val="none"/>
        </w:rPr>
        <w:t xml:space="preserve"> v. 39, n. 113, 2025.</w:t>
      </w:r>
    </w:p>
    <w:p w14:paraId="7BE0FF33">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FUKS, Mario; MARQUES, Paulo Henrique. </w:t>
      </w:r>
      <w:r>
        <w:rPr>
          <w:rFonts w:hint="default" w:ascii="Times New Roman" w:hAnsi="Times New Roman" w:eastAsia="Times New Roman" w:cs="Times New Roman"/>
          <w:b/>
          <w:bCs/>
          <w:color w:val="000000"/>
          <w:kern w:val="0"/>
          <w:lang w:eastAsia="pt-BR"/>
          <w14:ligatures w14:val="none"/>
        </w:rPr>
        <w:t>Polarização política no Brasil.</w:t>
      </w:r>
      <w:r>
        <w:rPr>
          <w:rFonts w:hint="default" w:ascii="Times New Roman" w:hAnsi="Times New Roman" w:eastAsia="Times New Roman" w:cs="Times New Roman"/>
          <w:b w:val="0"/>
          <w:bCs w:val="0"/>
          <w:color w:val="000000"/>
          <w:kern w:val="0"/>
          <w:lang w:eastAsia="pt-BR"/>
          <w14:ligatures w14:val="none"/>
        </w:rPr>
        <w:t xml:space="preserve"> Belo Horizonte: UFMG, 2022.</w:t>
      </w:r>
    </w:p>
    <w:p w14:paraId="01AB32E7">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GOMES, Wilson da Silva; DOURADO, Tatiana. Fake news, um fenômeno de comunicação política entre jornalismo, política e democracia.</w:t>
      </w:r>
      <w:r>
        <w:rPr>
          <w:rFonts w:hint="default" w:ascii="Times New Roman" w:hAnsi="Times New Roman" w:eastAsia="Times New Roman" w:cs="Times New Roman"/>
          <w:b/>
          <w:bCs/>
          <w:color w:val="000000"/>
          <w:kern w:val="0"/>
          <w:lang w:eastAsia="pt-BR"/>
          <w14:ligatures w14:val="none"/>
        </w:rPr>
        <w:t> Estudos em Jornalismo e Mídia</w:t>
      </w:r>
      <w:r>
        <w:rPr>
          <w:rFonts w:hint="default" w:ascii="Times New Roman" w:hAnsi="Times New Roman" w:eastAsia="Times New Roman" w:cs="Times New Roman"/>
          <w:b w:val="0"/>
          <w:bCs w:val="0"/>
          <w:color w:val="000000"/>
          <w:kern w:val="0"/>
          <w:lang w:eastAsia="pt-BR"/>
          <w14:ligatures w14:val="none"/>
        </w:rPr>
        <w:t>, v. 16, n. 2, p. 33-45, jul./dez. 2019.</w:t>
      </w:r>
    </w:p>
    <w:p w14:paraId="1FCC86A3">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GRANDIN, Greg. </w:t>
      </w:r>
      <w:r>
        <w:rPr>
          <w:rFonts w:hint="default" w:ascii="Times New Roman" w:hAnsi="Times New Roman" w:eastAsia="Times New Roman" w:cs="Times New Roman"/>
          <w:b/>
          <w:bCs/>
          <w:color w:val="000000"/>
          <w:kern w:val="0"/>
          <w:lang w:eastAsia="pt-BR"/>
          <w14:ligatures w14:val="none"/>
        </w:rPr>
        <w:t>The End of the Myth: From the Frontier to the Border Wall in the Mind of America.</w:t>
      </w:r>
      <w:r>
        <w:rPr>
          <w:rFonts w:hint="default" w:ascii="Times New Roman" w:hAnsi="Times New Roman" w:eastAsia="Times New Roman" w:cs="Times New Roman"/>
          <w:b w:val="0"/>
          <w:bCs w:val="0"/>
          <w:color w:val="000000"/>
          <w:kern w:val="0"/>
          <w:lang w:eastAsia="pt-BR"/>
          <w14:ligatures w14:val="none"/>
        </w:rPr>
        <w:t xml:space="preserve"> New York: Metropolitan Books, 2019.</w:t>
      </w:r>
    </w:p>
    <w:p w14:paraId="0455CFF8">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HARLOW, Summer; SALAVERRÍA, Ramón. Gendered Disinformation in Latin America. </w:t>
      </w:r>
      <w:r>
        <w:rPr>
          <w:rFonts w:hint="default" w:ascii="Times New Roman" w:hAnsi="Times New Roman" w:eastAsia="Times New Roman" w:cs="Times New Roman"/>
          <w:b/>
          <w:bCs/>
          <w:color w:val="000000"/>
          <w:kern w:val="0"/>
          <w:lang w:eastAsia="pt-BR"/>
          <w14:ligatures w14:val="none"/>
        </w:rPr>
        <w:t>Digital Journalism</w:t>
      </w:r>
      <w:r>
        <w:rPr>
          <w:rFonts w:hint="default" w:ascii="Times New Roman" w:hAnsi="Times New Roman" w:eastAsia="Times New Roman" w:cs="Times New Roman"/>
          <w:b w:val="0"/>
          <w:bCs w:val="0"/>
          <w:color w:val="000000"/>
          <w:kern w:val="0"/>
          <w:lang w:eastAsia="pt-BR"/>
          <w14:ligatures w14:val="none"/>
        </w:rPr>
        <w:t>, v. 10, n. 4, p. 586-608, 2022.</w:t>
      </w:r>
    </w:p>
    <w:p w14:paraId="6B1822C6">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INSTAGRAM. [Vídeo: Chanceler de Honduras apresenta inconsistências e atas sem assinatura. Publicado em dez. 2025. Disponível em: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"https://www.instagram.com/reel/DR5cMBjiRND/" \t "_blank" </w:instrText>
      </w:r>
      <w:r>
        <w:rPr>
          <w:rFonts w:hint="default" w:ascii="Times New Roman" w:hAnsi="Times New Roman" w:cs="Times New Roman"/>
          <w:b w:val="0"/>
          <w:bCs w:val="0"/>
        </w:rPr>
        <w:fldChar w:fldCharType="separate"/>
      </w:r>
      <w:r>
        <w:rPr>
          <w:rFonts w:hint="default" w:ascii="Times New Roman" w:hAnsi="Times New Roman" w:eastAsia="Times New Roman" w:cs="Times New Roman"/>
          <w:b w:val="0"/>
          <w:bCs w:val="0"/>
          <w:color w:val="0000FF"/>
          <w:kern w:val="0"/>
          <w:u w:val="single"/>
          <w:lang w:eastAsia="pt-BR"/>
          <w14:ligatures w14:val="none"/>
        </w:rPr>
        <w:t>https://www.instagram.com/reel/DR5cMBjiRND/</w:t>
      </w:r>
      <w:r>
        <w:rPr>
          <w:rFonts w:hint="default" w:ascii="Times New Roman" w:hAnsi="Times New Roman" w:eastAsia="Times New Roman" w:cs="Times New Roman"/>
          <w:b w:val="0"/>
          <w:bCs w:val="0"/>
          <w:color w:val="0000FF"/>
          <w:kern w:val="0"/>
          <w:u w:val="single"/>
          <w:lang w:eastAsia="pt-BR"/>
          <w14:ligatures w14:val="none"/>
        </w:rPr>
        <w:fldChar w:fldCharType="end"/>
      </w:r>
      <w:r>
        <w:rPr>
          <w:rFonts w:hint="default" w:ascii="Times New Roman" w:hAnsi="Times New Roman" w:eastAsia="Times New Roman" w:cs="Times New Roman"/>
          <w:b w:val="0"/>
          <w:bCs w:val="0"/>
          <w:color w:val="000000"/>
          <w:kern w:val="0"/>
          <w:lang w:eastAsia="pt-BR"/>
          <w14:ligatures w14:val="none"/>
        </w:rPr>
        <w:t>. Acesso em: 09 dez. 2025.</w:t>
      </w:r>
    </w:p>
    <w:p w14:paraId="17FB034A">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KARL, Terry Lynn. The Paradox of Plenty Revisited. </w:t>
      </w:r>
      <w:r>
        <w:rPr>
          <w:rFonts w:hint="default" w:ascii="Times New Roman" w:hAnsi="Times New Roman" w:eastAsia="Times New Roman" w:cs="Times New Roman"/>
          <w:b/>
          <w:bCs/>
          <w:color w:val="000000"/>
          <w:kern w:val="0"/>
          <w:lang w:eastAsia="pt-BR"/>
          <w14:ligatures w14:val="none"/>
        </w:rPr>
        <w:t>Latin American Research Review</w:t>
      </w:r>
      <w:r>
        <w:rPr>
          <w:rFonts w:hint="default" w:ascii="Times New Roman" w:hAnsi="Times New Roman" w:eastAsia="Times New Roman" w:cs="Times New Roman"/>
          <w:b w:val="0"/>
          <w:bCs w:val="0"/>
          <w:color w:val="000000"/>
          <w:kern w:val="0"/>
          <w:lang w:eastAsia="pt-BR"/>
          <w14:ligatures w14:val="none"/>
        </w:rPr>
        <w:t>, v. 56, n. 2, p. 227-248, 2021.</w:t>
      </w:r>
    </w:p>
    <w:p w14:paraId="13B9DD04">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LATAM JOURNALISM REVIEW. Attacks on journalists in Honduras continue amid political tensions. </w:t>
      </w:r>
      <w:r>
        <w:rPr>
          <w:rFonts w:hint="default" w:ascii="Times New Roman" w:hAnsi="Times New Roman" w:eastAsia="Times New Roman" w:cs="Times New Roman"/>
          <w:b/>
          <w:bCs/>
          <w:color w:val="000000"/>
          <w:kern w:val="0"/>
          <w:lang w:eastAsia="pt-BR"/>
          <w14:ligatures w14:val="none"/>
        </w:rPr>
        <w:t>LatAm Journalism Review</w:t>
      </w:r>
      <w:r>
        <w:rPr>
          <w:rFonts w:hint="default" w:ascii="Times New Roman" w:hAnsi="Times New Roman" w:eastAsia="Times New Roman" w:cs="Times New Roman"/>
          <w:b w:val="0"/>
          <w:bCs w:val="0"/>
          <w:color w:val="000000"/>
          <w:kern w:val="0"/>
          <w:lang w:eastAsia="pt-BR"/>
          <w14:ligatures w14:val="none"/>
        </w:rPr>
        <w:t>, maio 2025.</w:t>
      </w:r>
    </w:p>
    <w:p w14:paraId="5C609F98">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NOTICIAS LATAM. Rixi Moncada: "El proceso electoral en Honduras aún no ha concluido". </w:t>
      </w:r>
      <w:r>
        <w:rPr>
          <w:rFonts w:hint="default" w:ascii="Times New Roman" w:hAnsi="Times New Roman" w:eastAsia="Times New Roman" w:cs="Times New Roman"/>
          <w:b/>
          <w:bCs/>
          <w:color w:val="000000"/>
          <w:kern w:val="0"/>
          <w:lang w:eastAsia="pt-BR"/>
          <w14:ligatures w14:val="none"/>
        </w:rPr>
        <w:t>Sputnik Mundo</w:t>
      </w:r>
      <w:r>
        <w:rPr>
          <w:rFonts w:hint="default" w:ascii="Times New Roman" w:hAnsi="Times New Roman" w:eastAsia="Times New Roman" w:cs="Times New Roman"/>
          <w:b w:val="0"/>
          <w:bCs w:val="0"/>
          <w:color w:val="000000"/>
          <w:kern w:val="0"/>
          <w:lang w:eastAsia="pt-BR"/>
          <w14:ligatures w14:val="none"/>
        </w:rPr>
        <w:t>, 04 dez. 2025. Disponível em: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"https://noticiaslatam.lat/20251204/rixi-moncada-el-proceso-electoral-en-honduras-aun-no-ha-concluido-1169104886.html" \t "_blank" </w:instrText>
      </w:r>
      <w:r>
        <w:rPr>
          <w:rFonts w:hint="default" w:ascii="Times New Roman" w:hAnsi="Times New Roman" w:cs="Times New Roman"/>
          <w:b w:val="0"/>
          <w:bCs w:val="0"/>
        </w:rPr>
        <w:fldChar w:fldCharType="separate"/>
      </w:r>
      <w:r>
        <w:rPr>
          <w:rFonts w:hint="default" w:ascii="Times New Roman" w:hAnsi="Times New Roman" w:eastAsia="Times New Roman" w:cs="Times New Roman"/>
          <w:b w:val="0"/>
          <w:bCs w:val="0"/>
          <w:color w:val="0000FF"/>
          <w:kern w:val="0"/>
          <w:u w:val="single"/>
          <w:lang w:eastAsia="pt-BR"/>
          <w14:ligatures w14:val="none"/>
        </w:rPr>
        <w:t>https://noticiaslatam.lat/20251204/rixi-moncada-el-proceso-electoral-en-honduras-aun-no-ha-concluido-1169104886.html</w:t>
      </w:r>
      <w:r>
        <w:rPr>
          <w:rFonts w:hint="default" w:ascii="Times New Roman" w:hAnsi="Times New Roman" w:eastAsia="Times New Roman" w:cs="Times New Roman"/>
          <w:b w:val="0"/>
          <w:bCs w:val="0"/>
          <w:color w:val="0000FF"/>
          <w:kern w:val="0"/>
          <w:u w:val="single"/>
          <w:lang w:eastAsia="pt-BR"/>
          <w14:ligatures w14:val="none"/>
        </w:rPr>
        <w:fldChar w:fldCharType="end"/>
      </w:r>
      <w:r>
        <w:rPr>
          <w:rFonts w:hint="default" w:ascii="Times New Roman" w:hAnsi="Times New Roman" w:eastAsia="Times New Roman" w:cs="Times New Roman"/>
          <w:b w:val="0"/>
          <w:bCs w:val="0"/>
          <w:color w:val="000000"/>
          <w:kern w:val="0"/>
          <w:lang w:eastAsia="pt-BR"/>
          <w14:ligatures w14:val="none"/>
        </w:rPr>
        <w:t>. Acesso em: 09 dez. 2025.</w:t>
      </w:r>
    </w:p>
    <w:p w14:paraId="01D76C74">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PARTIDO LIBERTAD Y REFUNDACIÓN (LIBRE). </w:t>
      </w:r>
      <w:r>
        <w:rPr>
          <w:rFonts w:hint="default" w:ascii="Times New Roman" w:hAnsi="Times New Roman" w:eastAsia="Times New Roman" w:cs="Times New Roman"/>
          <w:b w:val="0"/>
          <w:bCs w:val="0"/>
          <w:color w:val="000000"/>
          <w:kern w:val="0"/>
          <w:lang w:eastAsia="pt-BR"/>
          <w14:ligatures w14:val="none"/>
        </w:rPr>
        <w:t xml:space="preserve">Comunicado: </w:t>
      </w:r>
      <w:r>
        <w:rPr>
          <w:rFonts w:hint="default" w:ascii="Times New Roman" w:hAnsi="Times New Roman" w:eastAsia="Times New Roman" w:cs="Times New Roman"/>
          <w:b/>
          <w:bCs/>
          <w:color w:val="000000"/>
          <w:kern w:val="0"/>
          <w:lang w:eastAsia="pt-BR"/>
          <w14:ligatures w14:val="none"/>
        </w:rPr>
        <w:t>Condenamos la injerencia y coacción del Presidente de los Estados Unidos Donald Trump en las elecciones de Honduras</w:t>
      </w:r>
      <w:r>
        <w:rPr>
          <w:rFonts w:hint="default" w:ascii="Times New Roman" w:hAnsi="Times New Roman" w:eastAsia="Times New Roman" w:cs="Times New Roman"/>
          <w:b w:val="0"/>
          <w:bCs w:val="0"/>
          <w:color w:val="000000"/>
          <w:kern w:val="0"/>
          <w:lang w:eastAsia="pt-BR"/>
          <w14:ligatures w14:val="none"/>
        </w:rPr>
        <w:t>. Tegucigalpa: Coordinación Nacional, 07 dez. 2025 </w:t>
      </w:r>
      <w:r>
        <w:rPr>
          <w:rFonts w:hint="default" w:ascii="Times New Roman" w:hAnsi="Times New Roman" w:eastAsia="Times New Roman" w:cs="Times New Roman"/>
          <w:b w:val="0"/>
          <w:bCs w:val="0"/>
          <w:color w:val="000000"/>
          <w:kern w:val="0"/>
          <w:vertAlign w:val="superscript"/>
          <w:lang w:eastAsia="pt-BR"/>
          <w14:ligatures w14:val="none"/>
        </w:rPr>
        <w:t>61</w:t>
      </w:r>
      <w:r>
        <w:rPr>
          <w:rFonts w:hint="default" w:ascii="Times New Roman" w:hAnsi="Times New Roman" w:eastAsia="Times New Roman" w:cs="Times New Roman"/>
          <w:b w:val="0"/>
          <w:bCs w:val="0"/>
          <w:color w:val="000000"/>
          <w:kern w:val="0"/>
          <w:lang w:eastAsia="pt-BR"/>
          <w14:ligatures w14:val="none"/>
        </w:rPr>
        <w:t>.</w:t>
      </w:r>
    </w:p>
    <w:p w14:paraId="406856A3">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 xml:space="preserve">REUTERS. </w:t>
      </w:r>
      <w:r>
        <w:rPr>
          <w:rFonts w:hint="default" w:ascii="Times New Roman" w:hAnsi="Times New Roman" w:eastAsia="Times New Roman" w:cs="Times New Roman"/>
          <w:b/>
          <w:bCs/>
          <w:color w:val="000000"/>
          <w:kern w:val="0"/>
          <w:lang w:eastAsia="pt-BR"/>
          <w14:ligatures w14:val="none"/>
        </w:rPr>
        <w:t>Opposition candidate Rixi Moncada holds rally in Tegucigalpa</w:t>
      </w:r>
      <w:r>
        <w:rPr>
          <w:rFonts w:hint="default" w:ascii="Times New Roman" w:hAnsi="Times New Roman" w:eastAsia="Times New Roman" w:cs="Times New Roman"/>
          <w:b w:val="0"/>
          <w:bCs w:val="0"/>
          <w:color w:val="000000"/>
          <w:kern w:val="0"/>
          <w:lang w:eastAsia="pt-BR"/>
          <w14:ligatures w14:val="none"/>
        </w:rPr>
        <w:t>. </w:t>
      </w:r>
      <w:r>
        <w:rPr>
          <w:rFonts w:hint="default" w:ascii="Times New Roman" w:hAnsi="Times New Roman" w:eastAsia="Times New Roman" w:cs="Times New Roman"/>
          <w:b w:val="0"/>
          <w:bCs w:val="0"/>
          <w:color w:val="000000"/>
          <w:kern w:val="0"/>
          <w:lang w:eastAsia="pt-BR"/>
          <w14:ligatures w14:val="none"/>
        </w:rPr>
        <w:t>Reuters</w:t>
      </w:r>
      <w:r>
        <w:rPr>
          <w:rFonts w:hint="default" w:ascii="Times New Roman" w:hAnsi="Times New Roman" w:eastAsia="Times New Roman" w:cs="Times New Roman"/>
          <w:b w:val="0"/>
          <w:bCs w:val="0"/>
          <w:color w:val="000000"/>
          <w:kern w:val="0"/>
          <w:lang w:eastAsia="pt-BR"/>
          <w14:ligatures w14:val="none"/>
        </w:rPr>
        <w:t>, 31 ago. 2025.</w:t>
      </w:r>
    </w:p>
    <w:p w14:paraId="7DD08368">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SAMPAIO, Rafael Cardoso et al. ChatGPT e outras IAs transformarão a pesquisa científica: reflexões sobre seus usos. </w:t>
      </w:r>
      <w:r>
        <w:rPr>
          <w:rFonts w:hint="default" w:ascii="Times New Roman" w:hAnsi="Times New Roman" w:eastAsia="Times New Roman" w:cs="Times New Roman"/>
          <w:b/>
          <w:bCs/>
          <w:color w:val="000000"/>
          <w:kern w:val="0"/>
          <w:lang w:eastAsia="pt-BR"/>
          <w14:ligatures w14:val="none"/>
        </w:rPr>
        <w:t>Revista de Sociologia e Política</w:t>
      </w:r>
      <w:r>
        <w:rPr>
          <w:rFonts w:hint="default" w:ascii="Times New Roman" w:hAnsi="Times New Roman" w:eastAsia="Times New Roman" w:cs="Times New Roman"/>
          <w:b w:val="0"/>
          <w:bCs w:val="0"/>
          <w:color w:val="000000"/>
          <w:kern w:val="0"/>
          <w:lang w:eastAsia="pt-BR"/>
          <w14:ligatures w14:val="none"/>
        </w:rPr>
        <w:t>, v. 32, 2024.</w:t>
      </w:r>
    </w:p>
    <w:p w14:paraId="434E159B">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 xml:space="preserve">TORRES ZELAYA, Gerardo. </w:t>
      </w:r>
      <w:r>
        <w:rPr>
          <w:rFonts w:hint="default" w:ascii="Times New Roman" w:hAnsi="Times New Roman" w:eastAsia="Times New Roman" w:cs="Times New Roman"/>
          <w:b/>
          <w:bCs/>
          <w:color w:val="000000"/>
          <w:kern w:val="0"/>
          <w:lang w:eastAsia="pt-BR"/>
          <w14:ligatures w14:val="none"/>
        </w:rPr>
        <w:t>Denúncia sobre manipulação eleitoral e ata</w:t>
      </w:r>
      <w:r>
        <w:rPr>
          <w:rFonts w:hint="default" w:ascii="Times New Roman" w:hAnsi="Times New Roman" w:eastAsia="Times New Roman" w:cs="Times New Roman"/>
          <w:b w:val="0"/>
          <w:bCs w:val="0"/>
          <w:color w:val="000000"/>
          <w:kern w:val="0"/>
          <w:lang w:eastAsia="pt-BR"/>
          <w14:ligatures w14:val="none"/>
        </w:rPr>
        <w:t>s. </w:t>
      </w:r>
      <w:r>
        <w:rPr>
          <w:rFonts w:hint="default" w:ascii="Times New Roman" w:hAnsi="Times New Roman" w:eastAsia="Times New Roman" w:cs="Times New Roman"/>
          <w:b w:val="0"/>
          <w:bCs w:val="0"/>
          <w:color w:val="000000"/>
          <w:kern w:val="0"/>
          <w:lang w:eastAsia="pt-BR"/>
          <w14:ligatures w14:val="none"/>
        </w:rPr>
        <w:t>X (Twitter)</w:t>
      </w:r>
      <w:r>
        <w:rPr>
          <w:rFonts w:hint="default" w:ascii="Times New Roman" w:hAnsi="Times New Roman" w:eastAsia="Times New Roman" w:cs="Times New Roman"/>
          <w:b w:val="0"/>
          <w:bCs w:val="0"/>
          <w:color w:val="000000"/>
          <w:kern w:val="0"/>
          <w:lang w:eastAsia="pt-BR"/>
          <w14:ligatures w14:val="none"/>
        </w:rPr>
        <w:t>, @gtorreszelaya1, 04 dez. 2025. Disponível</w:t>
      </w:r>
      <w:r>
        <w:rPr>
          <w:rFonts w:hint="default" w:ascii="Times New Roman" w:hAnsi="Times New Roman" w:eastAsia="Times New Roman" w:cs="Times New Roman"/>
          <w:b w:val="0"/>
          <w:bCs w:val="0"/>
          <w:color w:val="000000"/>
          <w:kern w:val="0"/>
          <w:lang w:val="en-US" w:eastAsia="pt-BR"/>
          <w14:ligatures w14:val="none"/>
        </w:rPr>
        <w:t xml:space="preserve"> </w:t>
      </w:r>
      <w:r>
        <w:rPr>
          <w:rFonts w:hint="default" w:ascii="Times New Roman" w:hAnsi="Times New Roman" w:eastAsia="Times New Roman" w:cs="Times New Roman"/>
          <w:b w:val="0"/>
          <w:bCs w:val="0"/>
          <w:color w:val="000000"/>
          <w:kern w:val="0"/>
          <w:lang w:eastAsia="pt-BR"/>
          <w14:ligatures w14:val="none"/>
        </w:rPr>
        <w:t>em: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"https://x.com/gtorreszelaya1/status/1995297742441124131" \t "_blank" </w:instrText>
      </w:r>
      <w:r>
        <w:rPr>
          <w:rFonts w:hint="default" w:ascii="Times New Roman" w:hAnsi="Times New Roman" w:cs="Times New Roman"/>
          <w:b w:val="0"/>
          <w:bCs w:val="0"/>
        </w:rPr>
        <w:fldChar w:fldCharType="separate"/>
      </w:r>
      <w:r>
        <w:rPr>
          <w:rFonts w:hint="default" w:ascii="Times New Roman" w:hAnsi="Times New Roman" w:eastAsia="Times New Roman" w:cs="Times New Roman"/>
          <w:b w:val="0"/>
          <w:bCs w:val="0"/>
          <w:color w:val="0000FF"/>
          <w:kern w:val="0"/>
          <w:u w:val="single"/>
          <w:lang w:eastAsia="pt-BR"/>
          <w14:ligatures w14:val="none"/>
        </w:rPr>
        <w:t>https://x.com/gtorreszelaya1/status/1995297742441124131</w:t>
      </w:r>
      <w:r>
        <w:rPr>
          <w:rFonts w:hint="default" w:ascii="Times New Roman" w:hAnsi="Times New Roman" w:eastAsia="Times New Roman" w:cs="Times New Roman"/>
          <w:b w:val="0"/>
          <w:bCs w:val="0"/>
          <w:color w:val="0000FF"/>
          <w:kern w:val="0"/>
          <w:u w:val="single"/>
          <w:lang w:eastAsia="pt-BR"/>
          <w14:ligatures w14:val="none"/>
        </w:rPr>
        <w:fldChar w:fldCharType="end"/>
      </w:r>
      <w:r>
        <w:rPr>
          <w:rFonts w:hint="default" w:ascii="Times New Roman" w:hAnsi="Times New Roman" w:eastAsia="Times New Roman" w:cs="Times New Roman"/>
          <w:b w:val="0"/>
          <w:bCs w:val="0"/>
          <w:color w:val="000000"/>
          <w:kern w:val="0"/>
          <w:lang w:eastAsia="pt-BR"/>
          <w14:ligatures w14:val="none"/>
        </w:rPr>
        <w:t>. Acesso em: 09 dez. 2025.</w:t>
      </w:r>
    </w:p>
    <w:p w14:paraId="259FB9A5">
      <w:pPr>
        <w:spacing w:after="100" w:afterAutospacing="1" w:line="360" w:lineRule="auto"/>
        <w:ind w:left="0" w:leftChars="0" w:firstLine="0" w:firstLineChars="0"/>
        <w:jc w:val="left"/>
        <w:rPr>
          <w:rFonts w:hint="default" w:ascii="Times New Roman" w:hAnsi="Times New Roman" w:eastAsia="Times New Roman" w:cs="Times New Roman"/>
          <w:b w:val="0"/>
          <w:bCs w:val="0"/>
          <w:color w:val="000000"/>
          <w:kern w:val="0"/>
          <w:lang w:eastAsia="pt-BR"/>
          <w14:ligatures w14:val="none"/>
        </w:rPr>
      </w:pPr>
      <w:r>
        <w:rPr>
          <w:rFonts w:hint="default" w:ascii="Times New Roman" w:hAnsi="Times New Roman" w:eastAsia="Times New Roman" w:cs="Times New Roman"/>
          <w:b w:val="0"/>
          <w:bCs w:val="0"/>
          <w:color w:val="000000"/>
          <w:kern w:val="0"/>
          <w:lang w:eastAsia="pt-BR"/>
          <w14:ligatures w14:val="none"/>
        </w:rPr>
        <w:t>YIN, Robert K. </w:t>
      </w:r>
      <w:r>
        <w:rPr>
          <w:rFonts w:hint="default" w:ascii="Times New Roman" w:hAnsi="Times New Roman" w:eastAsia="Times New Roman" w:cs="Times New Roman"/>
          <w:b/>
          <w:bCs/>
          <w:color w:val="000000"/>
          <w:kern w:val="0"/>
          <w:lang w:eastAsia="pt-BR"/>
          <w14:ligatures w14:val="none"/>
        </w:rPr>
        <w:t>Case Study Research:</w:t>
      </w:r>
      <w:r>
        <w:rPr>
          <w:rFonts w:hint="default" w:ascii="Times New Roman" w:hAnsi="Times New Roman" w:eastAsia="Times New Roman" w:cs="Times New Roman"/>
          <w:b w:val="0"/>
          <w:bCs w:val="0"/>
          <w:color w:val="000000"/>
          <w:kern w:val="0"/>
          <w:lang w:eastAsia="pt-BR"/>
          <w14:ligatures w14:val="none"/>
        </w:rPr>
        <w:t xml:space="preserve"> Design and Methods</w:t>
      </w:r>
      <w:r>
        <w:rPr>
          <w:rFonts w:hint="default" w:ascii="Times New Roman" w:hAnsi="Times New Roman" w:eastAsia="Times New Roman" w:cs="Times New Roman"/>
          <w:b w:val="0"/>
          <w:bCs w:val="0"/>
          <w:color w:val="000000"/>
          <w:kern w:val="0"/>
          <w:lang w:eastAsia="pt-BR"/>
          <w14:ligatures w14:val="none"/>
        </w:rPr>
        <w:t>. 6. ed. Los Angeles: Sage, 2018.</w:t>
      </w:r>
    </w:p>
    <w:p w14:paraId="30B14973">
      <w:pPr>
        <w:spacing w:line="360" w:lineRule="auto"/>
        <w:ind w:left="0" w:leftChars="0" w:firstLine="720" w:firstLineChars="300"/>
        <w:jc w:val="both"/>
        <w:rPr>
          <w:rFonts w:hint="default" w:ascii="Times New Roman" w:hAnsi="Times New Roman" w:cs="Times New Roman"/>
          <w:b w:val="0"/>
          <w:bCs w:val="0"/>
        </w:rPr>
      </w:pP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wis721 WGL4 B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Wingdings">
    <w:panose1 w:val="05000000000000000000"/>
    <w:charset w:val="4D"/>
    <w:family w:val="decorative"/>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wis721 WGL4 BT">
    <w:panose1 w:val="020B0504020202020204"/>
    <w:charset w:val="00"/>
    <w:family w:val="auto"/>
    <w:pitch w:val="default"/>
    <w:sig w:usb0="00000287" w:usb1="00000000" w:usb2="00000000" w:usb3="00000000" w:csb0="4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4E6040"/>
    <w:multiLevelType w:val="multilevel"/>
    <w:tmpl w:val="074E604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88E52AC"/>
    <w:multiLevelType w:val="multilevel"/>
    <w:tmpl w:val="388E52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B817028"/>
    <w:multiLevelType w:val="multilevel"/>
    <w:tmpl w:val="6B81702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714C5238"/>
    <w:multiLevelType w:val="multilevel"/>
    <w:tmpl w:val="714C52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6E7"/>
    <w:rsid w:val="00277640"/>
    <w:rsid w:val="004A76E7"/>
    <w:rsid w:val="00912337"/>
    <w:rsid w:val="00C72C63"/>
    <w:rsid w:val="00E50344"/>
    <w:rsid w:val="139703DE"/>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pt-BR"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HTML Code"/>
    <w:basedOn w:val="11"/>
    <w:semiHidden/>
    <w:unhideWhenUsed/>
    <w:qFormat/>
    <w:uiPriority w:val="99"/>
    <w:rPr>
      <w:rFonts w:ascii="Courier New" w:hAnsi="Courier New" w:eastAsia="Times New Roman" w:cs="Courier New"/>
      <w:sz w:val="20"/>
      <w:szCs w:val="20"/>
    </w:rPr>
  </w:style>
  <w:style w:type="character" w:styleId="15">
    <w:name w:val="Hyperlink"/>
    <w:basedOn w:val="11"/>
    <w:semiHidden/>
    <w:unhideWhenUsed/>
    <w:qFormat/>
    <w:uiPriority w:val="99"/>
    <w:rPr>
      <w:color w:val="0000FF"/>
      <w:u w:val="single"/>
    </w:rPr>
  </w:style>
  <w:style w:type="paragraph" w:styleId="16">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eastAsia="pt-BR"/>
      <w14:ligatures w14:val="none"/>
    </w:rPr>
  </w:style>
  <w:style w:type="paragraph" w:styleId="18">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9">
    <w:name w:val="Título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Título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1">
    <w:name w:val="Título 3 Char"/>
    <w:basedOn w:val="11"/>
    <w:link w:val="4"/>
    <w:qFormat/>
    <w:uiPriority w:val="9"/>
    <w:rPr>
      <w:rFonts w:eastAsiaTheme="majorEastAsia" w:cstheme="majorBidi"/>
      <w:color w:val="104862" w:themeColor="accent1" w:themeShade="BF"/>
      <w:sz w:val="28"/>
      <w:szCs w:val="28"/>
    </w:rPr>
  </w:style>
  <w:style w:type="character" w:customStyle="1" w:styleId="22">
    <w:name w:val="Título 4 Char"/>
    <w:basedOn w:val="11"/>
    <w:link w:val="5"/>
    <w:semiHidden/>
    <w:qFormat/>
    <w:uiPriority w:val="9"/>
    <w:rPr>
      <w:rFonts w:eastAsiaTheme="majorEastAsia" w:cstheme="majorBidi"/>
      <w:i/>
      <w:iCs/>
      <w:color w:val="104862" w:themeColor="accent1" w:themeShade="BF"/>
    </w:rPr>
  </w:style>
  <w:style w:type="character" w:customStyle="1" w:styleId="23">
    <w:name w:val="Título 5 Char"/>
    <w:basedOn w:val="11"/>
    <w:link w:val="6"/>
    <w:semiHidden/>
    <w:qFormat/>
    <w:uiPriority w:val="9"/>
    <w:rPr>
      <w:rFonts w:eastAsiaTheme="majorEastAsia" w:cstheme="majorBidi"/>
      <w:color w:val="104862" w:themeColor="accent1" w:themeShade="BF"/>
    </w:rPr>
  </w:style>
  <w:style w:type="character" w:customStyle="1" w:styleId="24">
    <w:name w:val="Título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Título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Título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Título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ítulo Char"/>
    <w:basedOn w:val="11"/>
    <w:link w:val="16"/>
    <w:uiPriority w:val="10"/>
    <w:rPr>
      <w:rFonts w:asciiTheme="majorHAnsi" w:hAnsiTheme="majorHAnsi" w:eastAsiaTheme="majorEastAsia" w:cstheme="majorBidi"/>
      <w:spacing w:val="-10"/>
      <w:kern w:val="28"/>
      <w:sz w:val="56"/>
      <w:szCs w:val="56"/>
    </w:rPr>
  </w:style>
  <w:style w:type="character" w:customStyle="1" w:styleId="29">
    <w:name w:val="Subtítulo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Citação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Citação Intensa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apple-converted-space"/>
    <w:basedOn w:val="11"/>
    <w:uiPriority w:val="0"/>
  </w:style>
  <w:style w:type="character" w:customStyle="1" w:styleId="38">
    <w:name w:val="citation-191"/>
    <w:basedOn w:val="11"/>
    <w:uiPriority w:val="0"/>
  </w:style>
  <w:style w:type="character" w:customStyle="1" w:styleId="39">
    <w:name w:val="citation-190"/>
    <w:basedOn w:val="11"/>
    <w:uiPriority w:val="0"/>
  </w:style>
  <w:style w:type="character" w:customStyle="1" w:styleId="40">
    <w:name w:val="citation-189"/>
    <w:basedOn w:val="11"/>
    <w:uiPriority w:val="0"/>
  </w:style>
  <w:style w:type="character" w:customStyle="1" w:styleId="41">
    <w:name w:val="citation-188"/>
    <w:basedOn w:val="11"/>
    <w:qFormat/>
    <w:uiPriority w:val="0"/>
  </w:style>
  <w:style w:type="character" w:customStyle="1" w:styleId="42">
    <w:name w:val="citation-187"/>
    <w:basedOn w:val="11"/>
    <w:uiPriority w:val="0"/>
  </w:style>
  <w:style w:type="character" w:customStyle="1" w:styleId="43">
    <w:name w:val="citation-186"/>
    <w:basedOn w:val="11"/>
    <w:qFormat/>
    <w:uiPriority w:val="0"/>
  </w:style>
  <w:style w:type="character" w:customStyle="1" w:styleId="44">
    <w:name w:val="citation-174"/>
    <w:basedOn w:val="11"/>
    <w:qFormat/>
    <w:uiPriority w:val="0"/>
  </w:style>
  <w:style w:type="character" w:customStyle="1" w:styleId="45">
    <w:name w:val="citation-173"/>
    <w:basedOn w:val="11"/>
    <w:uiPriority w:val="0"/>
  </w:style>
  <w:style w:type="character" w:customStyle="1" w:styleId="46">
    <w:name w:val="citation-163"/>
    <w:basedOn w:val="11"/>
    <w:qFormat/>
    <w:uiPriority w:val="0"/>
  </w:style>
  <w:style w:type="character" w:customStyle="1" w:styleId="47">
    <w:name w:val="citation-162"/>
    <w:basedOn w:val="11"/>
    <w:uiPriority w:val="0"/>
  </w:style>
  <w:style w:type="character" w:customStyle="1" w:styleId="48">
    <w:name w:val="citation-160"/>
    <w:basedOn w:val="11"/>
    <w:qFormat/>
    <w:uiPriority w:val="0"/>
  </w:style>
  <w:style w:type="character" w:customStyle="1" w:styleId="49">
    <w:name w:val="citation-159"/>
    <w:basedOn w:val="11"/>
    <w:uiPriority w:val="0"/>
  </w:style>
  <w:style w:type="character" w:customStyle="1" w:styleId="50">
    <w:name w:val="citation-158"/>
    <w:basedOn w:val="11"/>
    <w:qFormat/>
    <w:uiPriority w:val="0"/>
  </w:style>
  <w:style w:type="character" w:customStyle="1" w:styleId="51">
    <w:name w:val="citation-157"/>
    <w:basedOn w:val="11"/>
    <w:uiPriority w:val="0"/>
  </w:style>
  <w:style w:type="character" w:customStyle="1" w:styleId="52">
    <w:name w:val="citation-156"/>
    <w:basedOn w:val="11"/>
    <w:qFormat/>
    <w:uiPriority w:val="0"/>
  </w:style>
  <w:style w:type="character" w:customStyle="1" w:styleId="53">
    <w:name w:val="citation-155"/>
    <w:basedOn w:val="11"/>
    <w:uiPriority w:val="0"/>
  </w:style>
  <w:style w:type="character" w:customStyle="1" w:styleId="54">
    <w:name w:val="citation-154"/>
    <w:basedOn w:val="11"/>
    <w:uiPriority w:val="0"/>
  </w:style>
  <w:style w:type="character" w:customStyle="1" w:styleId="55">
    <w:name w:val="citation-153"/>
    <w:basedOn w:val="11"/>
    <w:qFormat/>
    <w:uiPriority w:val="0"/>
  </w:style>
  <w:style w:type="character" w:customStyle="1" w:styleId="56">
    <w:name w:val="citation-152"/>
    <w:basedOn w:val="11"/>
    <w:qFormat/>
    <w:uiPriority w:val="0"/>
  </w:style>
  <w:style w:type="character" w:customStyle="1" w:styleId="57">
    <w:name w:val="citation-151"/>
    <w:basedOn w:val="11"/>
    <w:qFormat/>
    <w:uiPriority w:val="0"/>
  </w:style>
  <w:style w:type="character" w:customStyle="1" w:styleId="58">
    <w:name w:val="citation-150"/>
    <w:basedOn w:val="11"/>
    <w:qFormat/>
    <w:uiPriority w:val="0"/>
  </w:style>
  <w:style w:type="character" w:customStyle="1" w:styleId="59">
    <w:name w:val="citation-149"/>
    <w:basedOn w:val="11"/>
    <w:qFormat/>
    <w:uiPriority w:val="0"/>
  </w:style>
  <w:style w:type="character" w:customStyle="1" w:styleId="60">
    <w:name w:val="citation-148"/>
    <w:basedOn w:val="11"/>
    <w:qFormat/>
    <w:uiPriority w:val="0"/>
  </w:style>
  <w:style w:type="character" w:customStyle="1" w:styleId="61">
    <w:name w:val="citation-147"/>
    <w:basedOn w:val="11"/>
    <w:qFormat/>
    <w:uiPriority w:val="0"/>
  </w:style>
  <w:style w:type="character" w:customStyle="1" w:styleId="62">
    <w:name w:val="citation-146"/>
    <w:basedOn w:val="11"/>
    <w:qFormat/>
    <w:uiPriority w:val="0"/>
  </w:style>
  <w:style w:type="character" w:customStyle="1" w:styleId="63">
    <w:name w:val="citation-145"/>
    <w:basedOn w:val="11"/>
    <w:qFormat/>
    <w:uiPriority w:val="0"/>
  </w:style>
  <w:style w:type="character" w:customStyle="1" w:styleId="64">
    <w:name w:val="citation-144"/>
    <w:basedOn w:val="11"/>
    <w:qFormat/>
    <w:uiPriority w:val="0"/>
  </w:style>
  <w:style w:type="character" w:customStyle="1" w:styleId="65">
    <w:name w:val="citation-143"/>
    <w:basedOn w:val="11"/>
    <w:qFormat/>
    <w:uiPriority w:val="0"/>
  </w:style>
  <w:style w:type="character" w:customStyle="1" w:styleId="66">
    <w:name w:val="citation-142"/>
    <w:basedOn w:val="11"/>
    <w:qFormat/>
    <w:uiPriority w:val="0"/>
  </w:style>
  <w:style w:type="character" w:customStyle="1" w:styleId="67">
    <w:name w:val="citation-141"/>
    <w:basedOn w:val="11"/>
    <w:qFormat/>
    <w:uiPriority w:val="0"/>
  </w:style>
  <w:style w:type="character" w:customStyle="1" w:styleId="68">
    <w:name w:val="citation-140"/>
    <w:basedOn w:val="11"/>
    <w:qFormat/>
    <w:uiPriority w:val="0"/>
  </w:style>
  <w:style w:type="character" w:customStyle="1" w:styleId="69">
    <w:name w:val="citation-139"/>
    <w:basedOn w:val="11"/>
    <w:qFormat/>
    <w:uiPriority w:val="0"/>
  </w:style>
  <w:style w:type="character" w:customStyle="1" w:styleId="70">
    <w:name w:val="citation-138"/>
    <w:basedOn w:val="11"/>
    <w:qFormat/>
    <w:uiPriority w:val="0"/>
  </w:style>
  <w:style w:type="character" w:customStyle="1" w:styleId="71">
    <w:name w:val="citation-374"/>
    <w:basedOn w:val="11"/>
    <w:qFormat/>
    <w:uiPriority w:val="0"/>
  </w:style>
  <w:style w:type="character" w:customStyle="1" w:styleId="72">
    <w:name w:val="citation-373"/>
    <w:basedOn w:val="11"/>
    <w:qFormat/>
    <w:uiPriority w:val="0"/>
  </w:style>
  <w:style w:type="character" w:customStyle="1" w:styleId="73">
    <w:name w:val="citation-372"/>
    <w:basedOn w:val="11"/>
    <w:qFormat/>
    <w:uiPriority w:val="0"/>
  </w:style>
  <w:style w:type="character" w:customStyle="1" w:styleId="74">
    <w:name w:val="citation-371"/>
    <w:basedOn w:val="11"/>
    <w:qFormat/>
    <w:uiPriority w:val="0"/>
  </w:style>
  <w:style w:type="character" w:customStyle="1" w:styleId="75">
    <w:name w:val="citation-370"/>
    <w:basedOn w:val="11"/>
    <w:qFormat/>
    <w:uiPriority w:val="0"/>
  </w:style>
  <w:style w:type="character" w:customStyle="1" w:styleId="76">
    <w:name w:val="citation-369"/>
    <w:basedOn w:val="11"/>
    <w:qFormat/>
    <w:uiPriority w:val="0"/>
  </w:style>
  <w:style w:type="character" w:customStyle="1" w:styleId="77">
    <w:name w:val="citation-368"/>
    <w:basedOn w:val="11"/>
    <w:qFormat/>
    <w:uiPriority w:val="0"/>
  </w:style>
  <w:style w:type="character" w:customStyle="1" w:styleId="78">
    <w:name w:val="citation-367"/>
    <w:basedOn w:val="11"/>
    <w:qFormat/>
    <w:uiPriority w:val="0"/>
  </w:style>
  <w:style w:type="character" w:customStyle="1" w:styleId="79">
    <w:name w:val="citation-366"/>
    <w:basedOn w:val="11"/>
    <w:qFormat/>
    <w:uiPriority w:val="0"/>
  </w:style>
  <w:style w:type="character" w:customStyle="1" w:styleId="80">
    <w:name w:val="citation-365"/>
    <w:basedOn w:val="11"/>
    <w:qFormat/>
    <w:uiPriority w:val="0"/>
  </w:style>
  <w:style w:type="character" w:customStyle="1" w:styleId="81">
    <w:name w:val="citation-364"/>
    <w:basedOn w:val="11"/>
    <w:qFormat/>
    <w:uiPriority w:val="0"/>
  </w:style>
  <w:style w:type="character" w:customStyle="1" w:styleId="82">
    <w:name w:val="citation-363"/>
    <w:basedOn w:val="11"/>
    <w:qFormat/>
    <w:uiPriority w:val="0"/>
  </w:style>
  <w:style w:type="character" w:customStyle="1" w:styleId="83">
    <w:name w:val="citation-362"/>
    <w:basedOn w:val="11"/>
    <w:qFormat/>
    <w:uiPriority w:val="0"/>
  </w:style>
  <w:style w:type="character" w:customStyle="1" w:styleId="84">
    <w:name w:val="citation-361"/>
    <w:basedOn w:val="11"/>
    <w:qFormat/>
    <w:uiPriority w:val="0"/>
  </w:style>
  <w:style w:type="character" w:customStyle="1" w:styleId="85">
    <w:name w:val="citation-360"/>
    <w:basedOn w:val="11"/>
    <w:qFormat/>
    <w:uiPriority w:val="0"/>
  </w:style>
  <w:style w:type="character" w:customStyle="1" w:styleId="86">
    <w:name w:val="citation-359"/>
    <w:basedOn w:val="11"/>
    <w:qFormat/>
    <w:uiPriority w:val="0"/>
  </w:style>
  <w:style w:type="character" w:customStyle="1" w:styleId="87">
    <w:name w:val="citation-358"/>
    <w:basedOn w:val="11"/>
    <w:qFormat/>
    <w:uiPriority w:val="0"/>
  </w:style>
  <w:style w:type="character" w:customStyle="1" w:styleId="88">
    <w:name w:val="citation-357"/>
    <w:basedOn w:val="11"/>
    <w:qFormat/>
    <w:uiPriority w:val="0"/>
  </w:style>
  <w:style w:type="character" w:customStyle="1" w:styleId="89">
    <w:name w:val="citation-356"/>
    <w:basedOn w:val="11"/>
    <w:qFormat/>
    <w:uiPriority w:val="0"/>
  </w:style>
  <w:style w:type="character" w:customStyle="1" w:styleId="90">
    <w:name w:val="citation-355"/>
    <w:basedOn w:val="11"/>
    <w:qFormat/>
    <w:uiPriority w:val="0"/>
  </w:style>
  <w:style w:type="character" w:customStyle="1" w:styleId="91">
    <w:name w:val="citation-354"/>
    <w:basedOn w:val="11"/>
    <w:qFormat/>
    <w:uiPriority w:val="0"/>
  </w:style>
  <w:style w:type="character" w:customStyle="1" w:styleId="92">
    <w:name w:val="citation-353"/>
    <w:basedOn w:val="11"/>
    <w:qFormat/>
    <w:uiPriority w:val="0"/>
  </w:style>
  <w:style w:type="character" w:customStyle="1" w:styleId="93">
    <w:name w:val="citation-352"/>
    <w:basedOn w:val="11"/>
    <w:qFormat/>
    <w:uiPriority w:val="0"/>
  </w:style>
  <w:style w:type="character" w:customStyle="1" w:styleId="94">
    <w:name w:val="citation-351"/>
    <w:basedOn w:val="11"/>
    <w:qFormat/>
    <w:uiPriority w:val="0"/>
  </w:style>
  <w:style w:type="character" w:customStyle="1" w:styleId="95">
    <w:name w:val="citation-350"/>
    <w:basedOn w:val="11"/>
    <w:qFormat/>
    <w:uiPriority w:val="0"/>
  </w:style>
  <w:style w:type="character" w:customStyle="1" w:styleId="96">
    <w:name w:val="citation-349"/>
    <w:basedOn w:val="11"/>
    <w:qFormat/>
    <w:uiPriority w:val="0"/>
  </w:style>
  <w:style w:type="character" w:customStyle="1" w:styleId="97">
    <w:name w:val="citation-348"/>
    <w:basedOn w:val="11"/>
    <w:qFormat/>
    <w:uiPriority w:val="0"/>
  </w:style>
  <w:style w:type="character" w:customStyle="1" w:styleId="98">
    <w:name w:val="citation-347"/>
    <w:basedOn w:val="11"/>
    <w:qFormat/>
    <w:uiPriority w:val="0"/>
  </w:style>
  <w:style w:type="character" w:customStyle="1" w:styleId="99">
    <w:name w:val="citation-346"/>
    <w:basedOn w:val="11"/>
    <w:qFormat/>
    <w:uiPriority w:val="0"/>
  </w:style>
  <w:style w:type="character" w:customStyle="1" w:styleId="100">
    <w:name w:val="citation-345"/>
    <w:basedOn w:val="11"/>
    <w:qFormat/>
    <w:uiPriority w:val="0"/>
  </w:style>
  <w:style w:type="character" w:customStyle="1" w:styleId="101">
    <w:name w:val="citation-344"/>
    <w:basedOn w:val="11"/>
    <w:qFormat/>
    <w:uiPriority w:val="0"/>
  </w:style>
  <w:style w:type="character" w:customStyle="1" w:styleId="102">
    <w:name w:val="citation-343"/>
    <w:basedOn w:val="11"/>
    <w:qFormat/>
    <w:uiPriority w:val="0"/>
  </w:style>
  <w:style w:type="character" w:customStyle="1" w:styleId="103">
    <w:name w:val="citation-342"/>
    <w:basedOn w:val="11"/>
    <w:qFormat/>
    <w:uiPriority w:val="0"/>
  </w:style>
  <w:style w:type="character" w:customStyle="1" w:styleId="104">
    <w:name w:val="citation-341"/>
    <w:basedOn w:val="11"/>
    <w:qFormat/>
    <w:uiPriority w:val="0"/>
  </w:style>
  <w:style w:type="character" w:customStyle="1" w:styleId="105">
    <w:name w:val="citation-340"/>
    <w:basedOn w:val="11"/>
    <w:qFormat/>
    <w:uiPriority w:val="0"/>
  </w:style>
  <w:style w:type="character" w:customStyle="1" w:styleId="106">
    <w:name w:val="citation-339"/>
    <w:basedOn w:val="11"/>
    <w:qFormat/>
    <w:uiPriority w:val="0"/>
  </w:style>
  <w:style w:type="character" w:customStyle="1" w:styleId="107">
    <w:name w:val="citation-338"/>
    <w:basedOn w:val="11"/>
    <w:qFormat/>
    <w:uiPriority w:val="0"/>
  </w:style>
  <w:style w:type="character" w:customStyle="1" w:styleId="108">
    <w:name w:val="citation-337"/>
    <w:basedOn w:val="11"/>
    <w:qFormat/>
    <w:uiPriority w:val="0"/>
  </w:style>
  <w:style w:type="character" w:customStyle="1" w:styleId="109">
    <w:name w:val="citation-336"/>
    <w:basedOn w:val="11"/>
    <w:qFormat/>
    <w:uiPriority w:val="0"/>
  </w:style>
  <w:style w:type="character" w:customStyle="1" w:styleId="110">
    <w:name w:val="citation-335"/>
    <w:basedOn w:val="11"/>
    <w:qFormat/>
    <w:uiPriority w:val="0"/>
  </w:style>
  <w:style w:type="character" w:customStyle="1" w:styleId="111">
    <w:name w:val="citation-334"/>
    <w:basedOn w:val="11"/>
    <w:qFormat/>
    <w:uiPriority w:val="0"/>
  </w:style>
  <w:style w:type="character" w:customStyle="1" w:styleId="112">
    <w:name w:val="citation-333"/>
    <w:basedOn w:val="11"/>
    <w:qFormat/>
    <w:uiPriority w:val="0"/>
  </w:style>
  <w:style w:type="character" w:customStyle="1" w:styleId="113">
    <w:name w:val="citation-332"/>
    <w:basedOn w:val="11"/>
    <w:qFormat/>
    <w:uiPriority w:val="0"/>
  </w:style>
  <w:style w:type="character" w:customStyle="1" w:styleId="114">
    <w:name w:val="citation-331"/>
    <w:basedOn w:val="11"/>
    <w:qFormat/>
    <w:uiPriority w:val="0"/>
  </w:style>
  <w:style w:type="character" w:customStyle="1" w:styleId="115">
    <w:name w:val="citation-330"/>
    <w:basedOn w:val="11"/>
    <w:qFormat/>
    <w:uiPriority w:val="0"/>
  </w:style>
  <w:style w:type="character" w:customStyle="1" w:styleId="116">
    <w:name w:val="citation-329"/>
    <w:basedOn w:val="11"/>
    <w:qFormat/>
    <w:uiPriority w:val="0"/>
  </w:style>
  <w:style w:type="character" w:customStyle="1" w:styleId="117">
    <w:name w:val="citation-328"/>
    <w:basedOn w:val="11"/>
    <w:qFormat/>
    <w:uiPriority w:val="0"/>
  </w:style>
  <w:style w:type="character" w:customStyle="1" w:styleId="118">
    <w:name w:val="citation-327"/>
    <w:basedOn w:val="11"/>
    <w:qFormat/>
    <w:uiPriority w:val="0"/>
  </w:style>
  <w:style w:type="character" w:customStyle="1" w:styleId="119">
    <w:name w:val="citation-326"/>
    <w:basedOn w:val="11"/>
    <w:qFormat/>
    <w:uiPriority w:val="0"/>
  </w:style>
  <w:style w:type="character" w:customStyle="1" w:styleId="120">
    <w:name w:val="citation-325"/>
    <w:basedOn w:val="11"/>
    <w:qFormat/>
    <w:uiPriority w:val="0"/>
  </w:style>
  <w:style w:type="character" w:customStyle="1" w:styleId="121">
    <w:name w:val="citation-324"/>
    <w:basedOn w:val="11"/>
    <w:qFormat/>
    <w:uiPriority w:val="0"/>
  </w:style>
  <w:style w:type="character" w:customStyle="1" w:styleId="122">
    <w:name w:val="citation-323"/>
    <w:basedOn w:val="11"/>
    <w:qFormat/>
    <w:uiPriority w:val="0"/>
  </w:style>
  <w:style w:type="character" w:customStyle="1" w:styleId="123">
    <w:name w:val="citation-322"/>
    <w:basedOn w:val="11"/>
    <w:qFormat/>
    <w:uiPriority w:val="0"/>
  </w:style>
  <w:style w:type="character" w:customStyle="1" w:styleId="124">
    <w:name w:val="citation-321"/>
    <w:basedOn w:val="11"/>
    <w:qFormat/>
    <w:uiPriority w:val="0"/>
  </w:style>
  <w:style w:type="character" w:customStyle="1" w:styleId="125">
    <w:name w:val="citation-320"/>
    <w:basedOn w:val="11"/>
    <w:qFormat/>
    <w:uiPriority w:val="0"/>
  </w:style>
  <w:style w:type="character" w:customStyle="1" w:styleId="126">
    <w:name w:val="citation-319"/>
    <w:basedOn w:val="11"/>
    <w:qFormat/>
    <w:uiPriority w:val="0"/>
  </w:style>
  <w:style w:type="character" w:customStyle="1" w:styleId="127">
    <w:name w:val="citation-318"/>
    <w:basedOn w:val="11"/>
    <w:qFormat/>
    <w:uiPriority w:val="0"/>
  </w:style>
  <w:style w:type="character" w:customStyle="1" w:styleId="128">
    <w:name w:val="citation-317"/>
    <w:basedOn w:val="11"/>
    <w:qFormat/>
    <w:uiPriority w:val="0"/>
  </w:style>
  <w:style w:type="character" w:customStyle="1" w:styleId="129">
    <w:name w:val="citation-316"/>
    <w:basedOn w:val="11"/>
    <w:qFormat/>
    <w:uiPriority w:val="0"/>
  </w:style>
  <w:style w:type="character" w:customStyle="1" w:styleId="130">
    <w:name w:val="citation-315"/>
    <w:basedOn w:val="11"/>
    <w:qFormat/>
    <w:uiPriority w:val="0"/>
  </w:style>
  <w:style w:type="character" w:customStyle="1" w:styleId="131">
    <w:name w:val="citation-314"/>
    <w:basedOn w:val="1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3253</Words>
  <Characters>17569</Characters>
  <Lines>146</Lines>
  <Paragraphs>41</Paragraphs>
  <TotalTime>8</TotalTime>
  <ScaleCrop>false</ScaleCrop>
  <LinksUpToDate>false</LinksUpToDate>
  <CharactersWithSpaces>20781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2025-12-09T21:22:00Z</dcterms:created>
  <dc:creator>Pedro henrichs</dc:creator>
  <cp:lastModifiedBy>ellen</cp:lastModifiedBy>
  <cp:lastPrinted>2025-12-13T23:28:15Z</cp:lastPrinted>
  <dcterms:modified xsi:type="dcterms:W3CDTF">2025-12-13T23:28:45Z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1046-12.2.0.23155</vt:lpwstr>
  </property>
  <property fmtid="{D5CDD505-2E9C-101B-9397-08002B2CF9AE}" pid="3" name="ICV">
    <vt:lpwstr>0C7CD1D309C44C389101140B462E102C_12</vt:lpwstr>
  </property>
</Properties>
</file>