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FF22" w14:textId="77777777" w:rsidR="00336BA2" w:rsidRDefault="00336BA2" w:rsidP="00025401">
      <w:pPr>
        <w:spacing w:after="0" w:line="360" w:lineRule="auto"/>
        <w:jc w:val="center"/>
        <w:rPr>
          <w:rFonts w:ascii="Times New Roman" w:hAnsi="Times New Roman" w:cs="Times New Roman"/>
          <w:b/>
          <w:bCs/>
          <w:sz w:val="24"/>
          <w:szCs w:val="24"/>
        </w:rPr>
      </w:pPr>
      <w:r w:rsidRPr="00025401">
        <w:rPr>
          <w:rFonts w:ascii="Times New Roman" w:hAnsi="Times New Roman" w:cs="Times New Roman"/>
          <w:b/>
          <w:bCs/>
          <w:sz w:val="24"/>
          <w:szCs w:val="24"/>
        </w:rPr>
        <w:t>A CELAC frente à OEA: Uma Revisão Integrativa sobre Efetividade em Integração Regional, Mediação de Conflitos e Soberania</w:t>
      </w:r>
    </w:p>
    <w:p w14:paraId="32B18D53" w14:textId="34048CE8" w:rsidR="00025401" w:rsidRPr="00FC061D" w:rsidRDefault="00025401" w:rsidP="00025401">
      <w:pPr>
        <w:spacing w:after="0" w:line="360" w:lineRule="auto"/>
        <w:jc w:val="right"/>
        <w:rPr>
          <w:rFonts w:ascii="Times New Roman" w:hAnsi="Times New Roman" w:cs="Times New Roman"/>
          <w:i/>
          <w:iCs/>
          <w:sz w:val="24"/>
          <w:szCs w:val="24"/>
        </w:rPr>
      </w:pPr>
      <w:r w:rsidRPr="00FC061D">
        <w:rPr>
          <w:rFonts w:ascii="Times New Roman" w:hAnsi="Times New Roman" w:cs="Times New Roman"/>
          <w:i/>
          <w:iCs/>
          <w:sz w:val="24"/>
          <w:szCs w:val="24"/>
        </w:rPr>
        <w:t xml:space="preserve">Pedro </w:t>
      </w:r>
      <w:r w:rsidR="00FC061D" w:rsidRPr="00FC061D">
        <w:rPr>
          <w:rFonts w:ascii="Times New Roman" w:hAnsi="Times New Roman" w:cs="Times New Roman"/>
          <w:i/>
          <w:iCs/>
          <w:sz w:val="24"/>
          <w:szCs w:val="24"/>
        </w:rPr>
        <w:t>Paulo Henrichs Neto</w:t>
      </w:r>
    </w:p>
    <w:p w14:paraId="49CA5B2B" w14:textId="58CDEC25" w:rsidR="00025401" w:rsidRPr="00AF255F" w:rsidRDefault="00AF255F" w:rsidP="00AF255F">
      <w:pPr>
        <w:spacing w:after="0" w:line="240" w:lineRule="auto"/>
        <w:jc w:val="both"/>
        <w:rPr>
          <w:rFonts w:ascii="Times New Roman" w:hAnsi="Times New Roman" w:cs="Times New Roman"/>
          <w:b/>
          <w:bCs/>
          <w:sz w:val="20"/>
          <w:szCs w:val="20"/>
        </w:rPr>
      </w:pPr>
      <w:r w:rsidRPr="00AF255F">
        <w:rPr>
          <w:rFonts w:ascii="Times New Roman" w:hAnsi="Times New Roman" w:cs="Times New Roman"/>
          <w:b/>
          <w:bCs/>
          <w:sz w:val="20"/>
          <w:szCs w:val="20"/>
        </w:rPr>
        <w:t>Resumo</w:t>
      </w:r>
    </w:p>
    <w:p w14:paraId="02BBAF55" w14:textId="77777777" w:rsidR="00AF255F" w:rsidRDefault="00AF255F" w:rsidP="00AF255F">
      <w:pPr>
        <w:spacing w:after="0" w:line="240" w:lineRule="auto"/>
        <w:jc w:val="both"/>
        <w:rPr>
          <w:rFonts w:ascii="Times New Roman" w:hAnsi="Times New Roman" w:cs="Times New Roman"/>
          <w:sz w:val="20"/>
          <w:szCs w:val="20"/>
        </w:rPr>
      </w:pPr>
      <w:r w:rsidRPr="00AF255F">
        <w:rPr>
          <w:rFonts w:ascii="Times New Roman" w:hAnsi="Times New Roman" w:cs="Times New Roman"/>
          <w:sz w:val="20"/>
          <w:szCs w:val="20"/>
        </w:rPr>
        <w:t>Este trabalho apresenta uma revisão bibliográfica integrativa que analisa a atuação da Comunidade de Estados Latino-Americanos e Caribenhos (CELAC) em comparação à Organização dos Estados Americanos (OEA), com foco em três eixos centrais: integração regional, mediação de conflitos e garantia da soberania. A pesquisa buscou compreender em que medida a CELAC se mostra mais eficaz e alinhada aos interesses latino-americanos, considerando seu caráter plural, sua autonomia política e sua atuação em contextos de crise. Para isso, foram analisados nove artigos acadêmicos selecionados a partir de critérios rigorosos, com base no protocolo PRISMA, que permitiram uma síntese crítica e comparativa entre os dois organismos. Os resultados evidenciam que a CELAC tem desempenhado um papel mais legítimo e representativo na promoção da cooperação regional e da autodeterminação dos povos, ainda que enfrente desafios institucionais. Em contraste, a OEA aparece fragilizada por sua histórica vinculação à política externa dos Estados Unidos, o que compromete sua neutralidade em momentos decisivos. A análise conclui que a CELAC representa uma inovação institucional importante para a governança regional, especialmente por sua capacidade de articulação diplomática e respeito à diversidade política da região. Contudo, seu fortalecimento dependerá do engajamento contínuo dos Estados membros e do avanço de mecanismos permanentes de atuação. A pesquisa reforça a importância de repensar o papel das instituições multilaterais tradicionais diante das novas dinâmicas geopolíticas do continente.</w:t>
      </w:r>
    </w:p>
    <w:p w14:paraId="13080C9E" w14:textId="361FF489" w:rsidR="00AF255F" w:rsidRPr="00AF255F" w:rsidRDefault="00AF255F" w:rsidP="00AF255F">
      <w:pPr>
        <w:spacing w:before="240" w:after="0" w:line="240" w:lineRule="auto"/>
        <w:jc w:val="both"/>
        <w:rPr>
          <w:rFonts w:ascii="Times New Roman" w:hAnsi="Times New Roman" w:cs="Times New Roman"/>
          <w:sz w:val="20"/>
          <w:szCs w:val="20"/>
        </w:rPr>
      </w:pPr>
      <w:r w:rsidRPr="00AF255F">
        <w:rPr>
          <w:rFonts w:ascii="Times New Roman" w:hAnsi="Times New Roman" w:cs="Times New Roman"/>
          <w:b/>
          <w:bCs/>
          <w:sz w:val="20"/>
          <w:szCs w:val="20"/>
        </w:rPr>
        <w:t>Palavras-chave:</w:t>
      </w:r>
      <w:r>
        <w:rPr>
          <w:rFonts w:ascii="Times New Roman" w:hAnsi="Times New Roman" w:cs="Times New Roman"/>
          <w:b/>
          <w:bCs/>
          <w:sz w:val="20"/>
          <w:szCs w:val="20"/>
        </w:rPr>
        <w:t xml:space="preserve"> </w:t>
      </w:r>
      <w:r w:rsidRPr="00AF255F">
        <w:rPr>
          <w:rFonts w:ascii="Times New Roman" w:hAnsi="Times New Roman" w:cs="Times New Roman"/>
          <w:sz w:val="20"/>
          <w:szCs w:val="20"/>
        </w:rPr>
        <w:t>CELAC; OEA; Integração Regional; Soberania; Governança Multilateral.</w:t>
      </w:r>
    </w:p>
    <w:p w14:paraId="5F55DEFC" w14:textId="77777777" w:rsidR="00AF255F" w:rsidRPr="00AF255F" w:rsidRDefault="00AF255F" w:rsidP="00AF255F">
      <w:pPr>
        <w:spacing w:after="0" w:line="240" w:lineRule="auto"/>
        <w:jc w:val="both"/>
        <w:rPr>
          <w:rFonts w:ascii="Times New Roman" w:hAnsi="Times New Roman" w:cs="Times New Roman"/>
          <w:sz w:val="20"/>
          <w:szCs w:val="20"/>
        </w:rPr>
      </w:pPr>
    </w:p>
    <w:p w14:paraId="2101E7C1" w14:textId="77777777" w:rsidR="00AF255F" w:rsidRPr="00AF255F" w:rsidRDefault="00AF255F" w:rsidP="00AF255F">
      <w:pPr>
        <w:spacing w:after="0" w:line="360" w:lineRule="auto"/>
        <w:jc w:val="both"/>
        <w:rPr>
          <w:rFonts w:ascii="Times New Roman" w:hAnsi="Times New Roman" w:cs="Times New Roman"/>
          <w:b/>
          <w:bCs/>
          <w:sz w:val="20"/>
          <w:szCs w:val="20"/>
        </w:rPr>
      </w:pPr>
      <w:r w:rsidRPr="00AF255F">
        <w:rPr>
          <w:rFonts w:ascii="Times New Roman" w:hAnsi="Times New Roman" w:cs="Times New Roman"/>
          <w:b/>
          <w:bCs/>
          <w:sz w:val="20"/>
          <w:szCs w:val="20"/>
        </w:rPr>
        <w:t>Abstract</w:t>
      </w:r>
    </w:p>
    <w:p w14:paraId="52726E31" w14:textId="77777777" w:rsidR="00AF255F" w:rsidRPr="00AF255F" w:rsidRDefault="00AF255F" w:rsidP="00AF255F">
      <w:pPr>
        <w:spacing w:after="0" w:line="360" w:lineRule="auto"/>
        <w:jc w:val="both"/>
        <w:rPr>
          <w:rFonts w:ascii="Times New Roman" w:hAnsi="Times New Roman" w:cs="Times New Roman"/>
          <w:i/>
          <w:iCs/>
          <w:sz w:val="20"/>
          <w:szCs w:val="20"/>
        </w:rPr>
      </w:pPr>
      <w:r w:rsidRPr="00AF255F">
        <w:rPr>
          <w:rFonts w:ascii="Times New Roman" w:hAnsi="Times New Roman" w:cs="Times New Roman"/>
          <w:i/>
          <w:iCs/>
          <w:sz w:val="20"/>
          <w:szCs w:val="20"/>
        </w:rPr>
        <w:t>This study presents an integrative literature review comparing the performance of the Community of Latin American and Caribbean States (CELAC) with the Organization of American States (OAS), focusing on three core dimensions: regional integration, conflict mediation, and the defense of sovereignty. The research aims to assess the extent to which CELAC is more effective and aligned with Latin American interests, given its pluralistic nature, political autonomy, and actions in regional crises. A total of nine academic articles were selected and analyzed based on the PRISMA protocol, allowing for a critical and comparative synthesis of both organizations. The findings indicate that CELAC has played a more legitimate and representative role in promoting regional cooperation and the self-determination of peoples, despite facing structural limitations. In contrast, the OAS is perceived as weakened due to its historical alignment with U.S. foreign policy, which undermines its credibility as a neutral mediator. The analysis concludes that CELAC represents a relevant institutional innovation for regional governance, particularly for its capacity to foster diplomatic consensus and respect political diversity. However, its consolidation will depend on the sustained engagement of member states and the development of more stable mechanisms for implementation. This review contributes to the debate on Latin American regional governance by highlighting the need to reassess traditional multilateral institutions in light of current geopolitical challenges.</w:t>
      </w:r>
    </w:p>
    <w:p w14:paraId="0AFA1D14" w14:textId="77777777" w:rsidR="00AF255F" w:rsidRPr="00AF255F" w:rsidRDefault="00AF255F" w:rsidP="00AF255F">
      <w:pPr>
        <w:spacing w:after="0" w:line="360" w:lineRule="auto"/>
        <w:jc w:val="both"/>
        <w:rPr>
          <w:rFonts w:ascii="Times New Roman" w:hAnsi="Times New Roman" w:cs="Times New Roman"/>
          <w:i/>
          <w:iCs/>
          <w:sz w:val="20"/>
          <w:szCs w:val="20"/>
        </w:rPr>
      </w:pPr>
    </w:p>
    <w:p w14:paraId="0107B4D3" w14:textId="3C6B0890" w:rsidR="00AF255F" w:rsidRDefault="00AF255F" w:rsidP="00AF255F">
      <w:pPr>
        <w:spacing w:after="0" w:line="360" w:lineRule="auto"/>
        <w:jc w:val="both"/>
        <w:rPr>
          <w:rFonts w:ascii="Times New Roman" w:hAnsi="Times New Roman" w:cs="Times New Roman"/>
          <w:i/>
          <w:iCs/>
          <w:sz w:val="20"/>
          <w:szCs w:val="20"/>
        </w:rPr>
      </w:pPr>
      <w:r w:rsidRPr="00AF255F">
        <w:rPr>
          <w:rFonts w:ascii="Times New Roman" w:hAnsi="Times New Roman" w:cs="Times New Roman"/>
          <w:b/>
          <w:bCs/>
          <w:i/>
          <w:iCs/>
          <w:sz w:val="20"/>
          <w:szCs w:val="20"/>
        </w:rPr>
        <w:t>Keywords:</w:t>
      </w:r>
      <w:r>
        <w:rPr>
          <w:rFonts w:ascii="Times New Roman" w:hAnsi="Times New Roman" w:cs="Times New Roman"/>
          <w:i/>
          <w:iCs/>
          <w:sz w:val="20"/>
          <w:szCs w:val="20"/>
        </w:rPr>
        <w:t xml:space="preserve"> </w:t>
      </w:r>
      <w:r w:rsidRPr="00AF255F">
        <w:rPr>
          <w:rFonts w:ascii="Times New Roman" w:hAnsi="Times New Roman" w:cs="Times New Roman"/>
          <w:i/>
          <w:iCs/>
          <w:sz w:val="20"/>
          <w:szCs w:val="20"/>
        </w:rPr>
        <w:t>CELAC; OAS; Regional Integration; Sovereignty; Multilateral Governance.</w:t>
      </w:r>
    </w:p>
    <w:p w14:paraId="7C3C517B" w14:textId="1FA98126" w:rsidR="00AF255F" w:rsidRDefault="00AF255F" w:rsidP="00AF255F">
      <w:pPr>
        <w:spacing w:after="0" w:line="360" w:lineRule="auto"/>
        <w:jc w:val="both"/>
        <w:rPr>
          <w:rFonts w:ascii="Times New Roman" w:hAnsi="Times New Roman" w:cs="Times New Roman"/>
          <w:i/>
          <w:iCs/>
          <w:sz w:val="20"/>
          <w:szCs w:val="20"/>
        </w:rPr>
      </w:pPr>
      <w:r>
        <w:rPr>
          <w:rFonts w:ascii="Times New Roman" w:hAnsi="Times New Roman" w:cs="Times New Roman"/>
          <w:i/>
          <w:iCs/>
          <w:sz w:val="20"/>
          <w:szCs w:val="20"/>
        </w:rPr>
        <w:br w:type="page"/>
      </w:r>
    </w:p>
    <w:sdt>
      <w:sdtPr>
        <w:rPr>
          <w:rFonts w:ascii="Times New Roman" w:eastAsiaTheme="minorHAnsi" w:hAnsi="Times New Roman" w:cs="Times New Roman"/>
          <w:color w:val="auto"/>
          <w:kern w:val="2"/>
          <w:sz w:val="24"/>
          <w:szCs w:val="24"/>
          <w:lang w:eastAsia="en-US"/>
          <w14:ligatures w14:val="standardContextual"/>
        </w:rPr>
        <w:id w:val="1240683703"/>
        <w:docPartObj>
          <w:docPartGallery w:val="Table of Contents"/>
          <w:docPartUnique/>
        </w:docPartObj>
      </w:sdtPr>
      <w:sdtEndPr>
        <w:rPr>
          <w:b/>
          <w:bCs/>
        </w:rPr>
      </w:sdtEndPr>
      <w:sdtContent>
        <w:p w14:paraId="686A33AA" w14:textId="444BA4B2" w:rsidR="003C553C" w:rsidRPr="003C553C" w:rsidRDefault="003C553C" w:rsidP="003C553C">
          <w:pPr>
            <w:pStyle w:val="CabealhodoSumrio"/>
            <w:spacing w:after="240"/>
            <w:rPr>
              <w:rFonts w:ascii="Times New Roman" w:hAnsi="Times New Roman" w:cs="Times New Roman"/>
              <w:color w:val="auto"/>
              <w:sz w:val="24"/>
              <w:szCs w:val="24"/>
            </w:rPr>
          </w:pPr>
          <w:r w:rsidRPr="003C553C">
            <w:rPr>
              <w:rFonts w:ascii="Times New Roman" w:hAnsi="Times New Roman" w:cs="Times New Roman"/>
              <w:color w:val="auto"/>
              <w:sz w:val="24"/>
              <w:szCs w:val="24"/>
            </w:rPr>
            <w:t>Sumário</w:t>
          </w:r>
        </w:p>
        <w:p w14:paraId="313A45BC" w14:textId="6671F0F9" w:rsidR="003C553C" w:rsidRPr="003C553C" w:rsidRDefault="003C553C" w:rsidP="003C553C">
          <w:pPr>
            <w:pStyle w:val="Sumrio1"/>
            <w:tabs>
              <w:tab w:val="left" w:pos="480"/>
              <w:tab w:val="right" w:leader="dot" w:pos="9061"/>
            </w:tabs>
            <w:spacing w:after="240"/>
            <w:rPr>
              <w:rFonts w:ascii="Times New Roman" w:hAnsi="Times New Roman" w:cs="Times New Roman"/>
              <w:noProof/>
              <w:sz w:val="24"/>
              <w:szCs w:val="24"/>
            </w:rPr>
          </w:pPr>
          <w:r w:rsidRPr="003C553C">
            <w:rPr>
              <w:rFonts w:ascii="Times New Roman" w:hAnsi="Times New Roman" w:cs="Times New Roman"/>
              <w:sz w:val="24"/>
              <w:szCs w:val="24"/>
            </w:rPr>
            <w:fldChar w:fldCharType="begin"/>
          </w:r>
          <w:r w:rsidRPr="003C553C">
            <w:rPr>
              <w:rFonts w:ascii="Times New Roman" w:hAnsi="Times New Roman" w:cs="Times New Roman"/>
              <w:sz w:val="24"/>
              <w:szCs w:val="24"/>
            </w:rPr>
            <w:instrText xml:space="preserve"> TOC \o "1-3" \h \z \u </w:instrText>
          </w:r>
          <w:r w:rsidRPr="003C553C">
            <w:rPr>
              <w:rFonts w:ascii="Times New Roman" w:hAnsi="Times New Roman" w:cs="Times New Roman"/>
              <w:sz w:val="24"/>
              <w:szCs w:val="24"/>
            </w:rPr>
            <w:fldChar w:fldCharType="separate"/>
          </w:r>
          <w:hyperlink w:anchor="_Toc196913791" w:history="1">
            <w:r w:rsidRPr="003C553C">
              <w:rPr>
                <w:rStyle w:val="Hyperlink"/>
                <w:rFonts w:ascii="Times New Roman" w:hAnsi="Times New Roman" w:cs="Times New Roman"/>
                <w:b/>
                <w:bCs/>
                <w:noProof/>
                <w:color w:val="auto"/>
                <w:sz w:val="24"/>
                <w:szCs w:val="24"/>
              </w:rPr>
              <w:t>1.</w:t>
            </w:r>
            <w:r w:rsidRPr="003C553C">
              <w:rPr>
                <w:rFonts w:ascii="Times New Roman" w:hAnsi="Times New Roman" w:cs="Times New Roman"/>
                <w:noProof/>
                <w:sz w:val="24"/>
                <w:szCs w:val="24"/>
              </w:rPr>
              <w:tab/>
            </w:r>
            <w:r w:rsidRPr="003C553C">
              <w:rPr>
                <w:rStyle w:val="Hyperlink"/>
                <w:rFonts w:ascii="Times New Roman" w:hAnsi="Times New Roman" w:cs="Times New Roman"/>
                <w:b/>
                <w:bCs/>
                <w:noProof/>
                <w:color w:val="auto"/>
                <w:sz w:val="24"/>
                <w:szCs w:val="24"/>
              </w:rPr>
              <w:t>INTRODUÇÃO</w:t>
            </w:r>
            <w:r w:rsidRPr="003C553C">
              <w:rPr>
                <w:rFonts w:ascii="Times New Roman" w:hAnsi="Times New Roman" w:cs="Times New Roman"/>
                <w:noProof/>
                <w:webHidden/>
                <w:sz w:val="24"/>
                <w:szCs w:val="24"/>
              </w:rPr>
              <w:tab/>
            </w:r>
            <w:r w:rsidRPr="003C553C">
              <w:rPr>
                <w:rFonts w:ascii="Times New Roman" w:hAnsi="Times New Roman" w:cs="Times New Roman"/>
                <w:noProof/>
                <w:webHidden/>
                <w:sz w:val="24"/>
                <w:szCs w:val="24"/>
              </w:rPr>
              <w:fldChar w:fldCharType="begin"/>
            </w:r>
            <w:r w:rsidRPr="003C553C">
              <w:rPr>
                <w:rFonts w:ascii="Times New Roman" w:hAnsi="Times New Roman" w:cs="Times New Roman"/>
                <w:noProof/>
                <w:webHidden/>
                <w:sz w:val="24"/>
                <w:szCs w:val="24"/>
              </w:rPr>
              <w:instrText xml:space="preserve"> PAGEREF _Toc196913791 \h </w:instrText>
            </w:r>
            <w:r w:rsidRPr="003C553C">
              <w:rPr>
                <w:rFonts w:ascii="Times New Roman" w:hAnsi="Times New Roman" w:cs="Times New Roman"/>
                <w:noProof/>
                <w:webHidden/>
                <w:sz w:val="24"/>
                <w:szCs w:val="24"/>
              </w:rPr>
            </w:r>
            <w:r w:rsidRPr="003C553C">
              <w:rPr>
                <w:rFonts w:ascii="Times New Roman" w:hAnsi="Times New Roman" w:cs="Times New Roman"/>
                <w:noProof/>
                <w:webHidden/>
                <w:sz w:val="24"/>
                <w:szCs w:val="24"/>
              </w:rPr>
              <w:fldChar w:fldCharType="separate"/>
            </w:r>
            <w:r w:rsidR="001E7D65">
              <w:rPr>
                <w:rFonts w:ascii="Times New Roman" w:hAnsi="Times New Roman" w:cs="Times New Roman"/>
                <w:noProof/>
                <w:webHidden/>
                <w:sz w:val="24"/>
                <w:szCs w:val="24"/>
              </w:rPr>
              <w:t>3</w:t>
            </w:r>
            <w:r w:rsidRPr="003C553C">
              <w:rPr>
                <w:rFonts w:ascii="Times New Roman" w:hAnsi="Times New Roman" w:cs="Times New Roman"/>
                <w:noProof/>
                <w:webHidden/>
                <w:sz w:val="24"/>
                <w:szCs w:val="24"/>
              </w:rPr>
              <w:fldChar w:fldCharType="end"/>
            </w:r>
          </w:hyperlink>
        </w:p>
        <w:p w14:paraId="23921377" w14:textId="4B17D99B" w:rsidR="003C553C" w:rsidRPr="003C553C" w:rsidRDefault="003C553C" w:rsidP="003C553C">
          <w:pPr>
            <w:pStyle w:val="Sumrio1"/>
            <w:tabs>
              <w:tab w:val="left" w:pos="480"/>
              <w:tab w:val="right" w:leader="dot" w:pos="9061"/>
            </w:tabs>
            <w:spacing w:after="240"/>
            <w:rPr>
              <w:rFonts w:ascii="Times New Roman" w:hAnsi="Times New Roman" w:cs="Times New Roman"/>
              <w:noProof/>
              <w:sz w:val="24"/>
              <w:szCs w:val="24"/>
            </w:rPr>
          </w:pPr>
          <w:hyperlink w:anchor="_Toc196913792" w:history="1">
            <w:r w:rsidRPr="003C553C">
              <w:rPr>
                <w:rStyle w:val="Hyperlink"/>
                <w:rFonts w:ascii="Times New Roman" w:hAnsi="Times New Roman" w:cs="Times New Roman"/>
                <w:b/>
                <w:bCs/>
                <w:noProof/>
                <w:color w:val="auto"/>
                <w:sz w:val="24"/>
                <w:szCs w:val="24"/>
              </w:rPr>
              <w:t>2.</w:t>
            </w:r>
            <w:r w:rsidRPr="003C553C">
              <w:rPr>
                <w:rFonts w:ascii="Times New Roman" w:hAnsi="Times New Roman" w:cs="Times New Roman"/>
                <w:noProof/>
                <w:sz w:val="24"/>
                <w:szCs w:val="24"/>
              </w:rPr>
              <w:tab/>
            </w:r>
            <w:r w:rsidRPr="003C553C">
              <w:rPr>
                <w:rStyle w:val="Hyperlink"/>
                <w:rFonts w:ascii="Times New Roman" w:hAnsi="Times New Roman" w:cs="Times New Roman"/>
                <w:b/>
                <w:bCs/>
                <w:noProof/>
                <w:color w:val="auto"/>
                <w:sz w:val="24"/>
                <w:szCs w:val="24"/>
              </w:rPr>
              <w:t>MÉTODO</w:t>
            </w:r>
            <w:r w:rsidRPr="003C553C">
              <w:rPr>
                <w:rFonts w:ascii="Times New Roman" w:hAnsi="Times New Roman" w:cs="Times New Roman"/>
                <w:noProof/>
                <w:webHidden/>
                <w:sz w:val="24"/>
                <w:szCs w:val="24"/>
              </w:rPr>
              <w:tab/>
            </w:r>
            <w:r w:rsidRPr="003C553C">
              <w:rPr>
                <w:rFonts w:ascii="Times New Roman" w:hAnsi="Times New Roman" w:cs="Times New Roman"/>
                <w:noProof/>
                <w:webHidden/>
                <w:sz w:val="24"/>
                <w:szCs w:val="24"/>
              </w:rPr>
              <w:fldChar w:fldCharType="begin"/>
            </w:r>
            <w:r w:rsidRPr="003C553C">
              <w:rPr>
                <w:rFonts w:ascii="Times New Roman" w:hAnsi="Times New Roman" w:cs="Times New Roman"/>
                <w:noProof/>
                <w:webHidden/>
                <w:sz w:val="24"/>
                <w:szCs w:val="24"/>
              </w:rPr>
              <w:instrText xml:space="preserve"> PAGEREF _Toc196913792 \h </w:instrText>
            </w:r>
            <w:r w:rsidRPr="003C553C">
              <w:rPr>
                <w:rFonts w:ascii="Times New Roman" w:hAnsi="Times New Roman" w:cs="Times New Roman"/>
                <w:noProof/>
                <w:webHidden/>
                <w:sz w:val="24"/>
                <w:szCs w:val="24"/>
              </w:rPr>
            </w:r>
            <w:r w:rsidRPr="003C553C">
              <w:rPr>
                <w:rFonts w:ascii="Times New Roman" w:hAnsi="Times New Roman" w:cs="Times New Roman"/>
                <w:noProof/>
                <w:webHidden/>
                <w:sz w:val="24"/>
                <w:szCs w:val="24"/>
              </w:rPr>
              <w:fldChar w:fldCharType="separate"/>
            </w:r>
            <w:r w:rsidR="001E7D65">
              <w:rPr>
                <w:rFonts w:ascii="Times New Roman" w:hAnsi="Times New Roman" w:cs="Times New Roman"/>
                <w:noProof/>
                <w:webHidden/>
                <w:sz w:val="24"/>
                <w:szCs w:val="24"/>
              </w:rPr>
              <w:t>4</w:t>
            </w:r>
            <w:r w:rsidRPr="003C553C">
              <w:rPr>
                <w:rFonts w:ascii="Times New Roman" w:hAnsi="Times New Roman" w:cs="Times New Roman"/>
                <w:noProof/>
                <w:webHidden/>
                <w:sz w:val="24"/>
                <w:szCs w:val="24"/>
              </w:rPr>
              <w:fldChar w:fldCharType="end"/>
            </w:r>
          </w:hyperlink>
        </w:p>
        <w:p w14:paraId="360191B9" w14:textId="4B111D18" w:rsidR="003C553C" w:rsidRPr="003C553C" w:rsidRDefault="003C553C" w:rsidP="003C553C">
          <w:pPr>
            <w:pStyle w:val="Sumrio1"/>
            <w:tabs>
              <w:tab w:val="left" w:pos="480"/>
              <w:tab w:val="right" w:leader="dot" w:pos="9061"/>
            </w:tabs>
            <w:spacing w:after="240"/>
            <w:rPr>
              <w:rFonts w:ascii="Times New Roman" w:hAnsi="Times New Roman" w:cs="Times New Roman"/>
              <w:noProof/>
              <w:sz w:val="24"/>
              <w:szCs w:val="24"/>
            </w:rPr>
          </w:pPr>
          <w:hyperlink w:anchor="_Toc196913793" w:history="1">
            <w:r w:rsidRPr="003C553C">
              <w:rPr>
                <w:rStyle w:val="Hyperlink"/>
                <w:rFonts w:ascii="Times New Roman" w:hAnsi="Times New Roman" w:cs="Times New Roman"/>
                <w:b/>
                <w:bCs/>
                <w:noProof/>
                <w:color w:val="auto"/>
                <w:sz w:val="24"/>
                <w:szCs w:val="24"/>
              </w:rPr>
              <w:t>3.</w:t>
            </w:r>
            <w:r w:rsidRPr="003C553C">
              <w:rPr>
                <w:rFonts w:ascii="Times New Roman" w:hAnsi="Times New Roman" w:cs="Times New Roman"/>
                <w:noProof/>
                <w:sz w:val="24"/>
                <w:szCs w:val="24"/>
              </w:rPr>
              <w:tab/>
            </w:r>
            <w:r w:rsidRPr="003C553C">
              <w:rPr>
                <w:rStyle w:val="Hyperlink"/>
                <w:rFonts w:ascii="Times New Roman" w:hAnsi="Times New Roman" w:cs="Times New Roman"/>
                <w:b/>
                <w:bCs/>
                <w:noProof/>
                <w:color w:val="auto"/>
                <w:sz w:val="24"/>
                <w:szCs w:val="24"/>
              </w:rPr>
              <w:t>RESULTADOS</w:t>
            </w:r>
            <w:r w:rsidRPr="003C553C">
              <w:rPr>
                <w:rFonts w:ascii="Times New Roman" w:hAnsi="Times New Roman" w:cs="Times New Roman"/>
                <w:noProof/>
                <w:webHidden/>
                <w:sz w:val="24"/>
                <w:szCs w:val="24"/>
              </w:rPr>
              <w:tab/>
            </w:r>
            <w:r w:rsidRPr="003C553C">
              <w:rPr>
                <w:rFonts w:ascii="Times New Roman" w:hAnsi="Times New Roman" w:cs="Times New Roman"/>
                <w:noProof/>
                <w:webHidden/>
                <w:sz w:val="24"/>
                <w:szCs w:val="24"/>
              </w:rPr>
              <w:fldChar w:fldCharType="begin"/>
            </w:r>
            <w:r w:rsidRPr="003C553C">
              <w:rPr>
                <w:rFonts w:ascii="Times New Roman" w:hAnsi="Times New Roman" w:cs="Times New Roman"/>
                <w:noProof/>
                <w:webHidden/>
                <w:sz w:val="24"/>
                <w:szCs w:val="24"/>
              </w:rPr>
              <w:instrText xml:space="preserve"> PAGEREF _Toc196913793 \h </w:instrText>
            </w:r>
            <w:r w:rsidRPr="003C553C">
              <w:rPr>
                <w:rFonts w:ascii="Times New Roman" w:hAnsi="Times New Roman" w:cs="Times New Roman"/>
                <w:noProof/>
                <w:webHidden/>
                <w:sz w:val="24"/>
                <w:szCs w:val="24"/>
              </w:rPr>
            </w:r>
            <w:r w:rsidRPr="003C553C">
              <w:rPr>
                <w:rFonts w:ascii="Times New Roman" w:hAnsi="Times New Roman" w:cs="Times New Roman"/>
                <w:noProof/>
                <w:webHidden/>
                <w:sz w:val="24"/>
                <w:szCs w:val="24"/>
              </w:rPr>
              <w:fldChar w:fldCharType="separate"/>
            </w:r>
            <w:r w:rsidR="001E7D65">
              <w:rPr>
                <w:rFonts w:ascii="Times New Roman" w:hAnsi="Times New Roman" w:cs="Times New Roman"/>
                <w:noProof/>
                <w:webHidden/>
                <w:sz w:val="24"/>
                <w:szCs w:val="24"/>
              </w:rPr>
              <w:t>7</w:t>
            </w:r>
            <w:r w:rsidRPr="003C553C">
              <w:rPr>
                <w:rFonts w:ascii="Times New Roman" w:hAnsi="Times New Roman" w:cs="Times New Roman"/>
                <w:noProof/>
                <w:webHidden/>
                <w:sz w:val="24"/>
                <w:szCs w:val="24"/>
              </w:rPr>
              <w:fldChar w:fldCharType="end"/>
            </w:r>
          </w:hyperlink>
        </w:p>
        <w:p w14:paraId="754049B5" w14:textId="19F40B30" w:rsidR="003C553C" w:rsidRPr="003C553C" w:rsidRDefault="003C553C" w:rsidP="003C553C">
          <w:pPr>
            <w:pStyle w:val="Sumrio1"/>
            <w:tabs>
              <w:tab w:val="left" w:pos="480"/>
              <w:tab w:val="right" w:leader="dot" w:pos="9061"/>
            </w:tabs>
            <w:spacing w:after="240"/>
            <w:rPr>
              <w:rFonts w:ascii="Times New Roman" w:hAnsi="Times New Roman" w:cs="Times New Roman"/>
              <w:noProof/>
              <w:sz w:val="24"/>
              <w:szCs w:val="24"/>
            </w:rPr>
          </w:pPr>
          <w:hyperlink w:anchor="_Toc196913794" w:history="1">
            <w:r w:rsidRPr="003C553C">
              <w:rPr>
                <w:rStyle w:val="Hyperlink"/>
                <w:rFonts w:ascii="Times New Roman" w:hAnsi="Times New Roman" w:cs="Times New Roman"/>
                <w:b/>
                <w:bCs/>
                <w:noProof/>
                <w:color w:val="auto"/>
                <w:sz w:val="24"/>
                <w:szCs w:val="24"/>
              </w:rPr>
              <w:t>4.</w:t>
            </w:r>
            <w:r w:rsidRPr="003C553C">
              <w:rPr>
                <w:rFonts w:ascii="Times New Roman" w:hAnsi="Times New Roman" w:cs="Times New Roman"/>
                <w:noProof/>
                <w:sz w:val="24"/>
                <w:szCs w:val="24"/>
              </w:rPr>
              <w:tab/>
            </w:r>
            <w:r w:rsidRPr="003C553C">
              <w:rPr>
                <w:rStyle w:val="Hyperlink"/>
                <w:rFonts w:ascii="Times New Roman" w:hAnsi="Times New Roman" w:cs="Times New Roman"/>
                <w:b/>
                <w:bCs/>
                <w:noProof/>
                <w:color w:val="auto"/>
                <w:sz w:val="24"/>
                <w:szCs w:val="24"/>
              </w:rPr>
              <w:t>DISCUSSÃO</w:t>
            </w:r>
            <w:r w:rsidRPr="003C553C">
              <w:rPr>
                <w:rFonts w:ascii="Times New Roman" w:hAnsi="Times New Roman" w:cs="Times New Roman"/>
                <w:noProof/>
                <w:webHidden/>
                <w:sz w:val="24"/>
                <w:szCs w:val="24"/>
              </w:rPr>
              <w:tab/>
            </w:r>
            <w:r w:rsidRPr="003C553C">
              <w:rPr>
                <w:rFonts w:ascii="Times New Roman" w:hAnsi="Times New Roman" w:cs="Times New Roman"/>
                <w:noProof/>
                <w:webHidden/>
                <w:sz w:val="24"/>
                <w:szCs w:val="24"/>
              </w:rPr>
              <w:fldChar w:fldCharType="begin"/>
            </w:r>
            <w:r w:rsidRPr="003C553C">
              <w:rPr>
                <w:rFonts w:ascii="Times New Roman" w:hAnsi="Times New Roman" w:cs="Times New Roman"/>
                <w:noProof/>
                <w:webHidden/>
                <w:sz w:val="24"/>
                <w:szCs w:val="24"/>
              </w:rPr>
              <w:instrText xml:space="preserve"> PAGEREF _Toc196913794 \h </w:instrText>
            </w:r>
            <w:r w:rsidRPr="003C553C">
              <w:rPr>
                <w:rFonts w:ascii="Times New Roman" w:hAnsi="Times New Roman" w:cs="Times New Roman"/>
                <w:noProof/>
                <w:webHidden/>
                <w:sz w:val="24"/>
                <w:szCs w:val="24"/>
              </w:rPr>
            </w:r>
            <w:r w:rsidRPr="003C553C">
              <w:rPr>
                <w:rFonts w:ascii="Times New Roman" w:hAnsi="Times New Roman" w:cs="Times New Roman"/>
                <w:noProof/>
                <w:webHidden/>
                <w:sz w:val="24"/>
                <w:szCs w:val="24"/>
              </w:rPr>
              <w:fldChar w:fldCharType="separate"/>
            </w:r>
            <w:r w:rsidR="001E7D65">
              <w:rPr>
                <w:rFonts w:ascii="Times New Roman" w:hAnsi="Times New Roman" w:cs="Times New Roman"/>
                <w:noProof/>
                <w:webHidden/>
                <w:sz w:val="24"/>
                <w:szCs w:val="24"/>
              </w:rPr>
              <w:t>9</w:t>
            </w:r>
            <w:r w:rsidRPr="003C553C">
              <w:rPr>
                <w:rFonts w:ascii="Times New Roman" w:hAnsi="Times New Roman" w:cs="Times New Roman"/>
                <w:noProof/>
                <w:webHidden/>
                <w:sz w:val="24"/>
                <w:szCs w:val="24"/>
              </w:rPr>
              <w:fldChar w:fldCharType="end"/>
            </w:r>
          </w:hyperlink>
        </w:p>
        <w:p w14:paraId="3E58AD59" w14:textId="2A2DB4F4" w:rsidR="003C553C" w:rsidRPr="003C553C" w:rsidRDefault="003C553C" w:rsidP="003C553C">
          <w:pPr>
            <w:pStyle w:val="Sumrio1"/>
            <w:tabs>
              <w:tab w:val="left" w:pos="480"/>
              <w:tab w:val="right" w:leader="dot" w:pos="9061"/>
            </w:tabs>
            <w:spacing w:after="240"/>
            <w:rPr>
              <w:rFonts w:ascii="Times New Roman" w:hAnsi="Times New Roman" w:cs="Times New Roman"/>
              <w:noProof/>
              <w:sz w:val="24"/>
              <w:szCs w:val="24"/>
            </w:rPr>
          </w:pPr>
          <w:hyperlink w:anchor="_Toc196913795" w:history="1">
            <w:r w:rsidRPr="003C553C">
              <w:rPr>
                <w:rStyle w:val="Hyperlink"/>
                <w:rFonts w:ascii="Times New Roman" w:hAnsi="Times New Roman" w:cs="Times New Roman"/>
                <w:b/>
                <w:bCs/>
                <w:noProof/>
                <w:color w:val="auto"/>
                <w:sz w:val="24"/>
                <w:szCs w:val="24"/>
              </w:rPr>
              <w:t>5.</w:t>
            </w:r>
            <w:r w:rsidRPr="003C553C">
              <w:rPr>
                <w:rFonts w:ascii="Times New Roman" w:hAnsi="Times New Roman" w:cs="Times New Roman"/>
                <w:noProof/>
                <w:sz w:val="24"/>
                <w:szCs w:val="24"/>
              </w:rPr>
              <w:tab/>
            </w:r>
            <w:r w:rsidRPr="003C553C">
              <w:rPr>
                <w:rStyle w:val="Hyperlink"/>
                <w:rFonts w:ascii="Times New Roman" w:hAnsi="Times New Roman" w:cs="Times New Roman"/>
                <w:b/>
                <w:bCs/>
                <w:noProof/>
                <w:color w:val="auto"/>
                <w:sz w:val="24"/>
                <w:szCs w:val="24"/>
              </w:rPr>
              <w:t>CONCLUSÃO</w:t>
            </w:r>
            <w:r w:rsidRPr="003C553C">
              <w:rPr>
                <w:rFonts w:ascii="Times New Roman" w:hAnsi="Times New Roman" w:cs="Times New Roman"/>
                <w:noProof/>
                <w:webHidden/>
                <w:sz w:val="24"/>
                <w:szCs w:val="24"/>
              </w:rPr>
              <w:tab/>
            </w:r>
            <w:r w:rsidRPr="003C553C">
              <w:rPr>
                <w:rFonts w:ascii="Times New Roman" w:hAnsi="Times New Roman" w:cs="Times New Roman"/>
                <w:noProof/>
                <w:webHidden/>
                <w:sz w:val="24"/>
                <w:szCs w:val="24"/>
              </w:rPr>
              <w:fldChar w:fldCharType="begin"/>
            </w:r>
            <w:r w:rsidRPr="003C553C">
              <w:rPr>
                <w:rFonts w:ascii="Times New Roman" w:hAnsi="Times New Roman" w:cs="Times New Roman"/>
                <w:noProof/>
                <w:webHidden/>
                <w:sz w:val="24"/>
                <w:szCs w:val="24"/>
              </w:rPr>
              <w:instrText xml:space="preserve"> PAGEREF _Toc196913795 \h </w:instrText>
            </w:r>
            <w:r w:rsidRPr="003C553C">
              <w:rPr>
                <w:rFonts w:ascii="Times New Roman" w:hAnsi="Times New Roman" w:cs="Times New Roman"/>
                <w:noProof/>
                <w:webHidden/>
                <w:sz w:val="24"/>
                <w:szCs w:val="24"/>
              </w:rPr>
            </w:r>
            <w:r w:rsidRPr="003C553C">
              <w:rPr>
                <w:rFonts w:ascii="Times New Roman" w:hAnsi="Times New Roman" w:cs="Times New Roman"/>
                <w:noProof/>
                <w:webHidden/>
                <w:sz w:val="24"/>
                <w:szCs w:val="24"/>
              </w:rPr>
              <w:fldChar w:fldCharType="separate"/>
            </w:r>
            <w:r w:rsidR="001E7D65">
              <w:rPr>
                <w:rFonts w:ascii="Times New Roman" w:hAnsi="Times New Roman" w:cs="Times New Roman"/>
                <w:noProof/>
                <w:webHidden/>
                <w:sz w:val="24"/>
                <w:szCs w:val="24"/>
              </w:rPr>
              <w:t>10</w:t>
            </w:r>
            <w:r w:rsidRPr="003C553C">
              <w:rPr>
                <w:rFonts w:ascii="Times New Roman" w:hAnsi="Times New Roman" w:cs="Times New Roman"/>
                <w:noProof/>
                <w:webHidden/>
                <w:sz w:val="24"/>
                <w:szCs w:val="24"/>
              </w:rPr>
              <w:fldChar w:fldCharType="end"/>
            </w:r>
          </w:hyperlink>
        </w:p>
        <w:p w14:paraId="4D4CFD96" w14:textId="44171349" w:rsidR="003C553C" w:rsidRPr="003C553C" w:rsidRDefault="003C553C" w:rsidP="003C553C">
          <w:pPr>
            <w:spacing w:after="240"/>
            <w:rPr>
              <w:rFonts w:ascii="Times New Roman" w:hAnsi="Times New Roman" w:cs="Times New Roman"/>
              <w:sz w:val="24"/>
              <w:szCs w:val="24"/>
            </w:rPr>
          </w:pPr>
          <w:r w:rsidRPr="003C553C">
            <w:rPr>
              <w:rFonts w:ascii="Times New Roman" w:hAnsi="Times New Roman" w:cs="Times New Roman"/>
              <w:b/>
              <w:bCs/>
              <w:sz w:val="24"/>
              <w:szCs w:val="24"/>
            </w:rPr>
            <w:fldChar w:fldCharType="end"/>
          </w:r>
        </w:p>
      </w:sdtContent>
    </w:sdt>
    <w:p w14:paraId="44CC5097" w14:textId="77777777" w:rsidR="00AF255F" w:rsidRDefault="00AF255F" w:rsidP="00AF255F">
      <w:pPr>
        <w:spacing w:after="0" w:line="360" w:lineRule="auto"/>
        <w:jc w:val="both"/>
        <w:rPr>
          <w:rFonts w:ascii="Times New Roman" w:hAnsi="Times New Roman" w:cs="Times New Roman"/>
          <w:sz w:val="20"/>
          <w:szCs w:val="20"/>
        </w:rPr>
      </w:pPr>
    </w:p>
    <w:p w14:paraId="30D7A132" w14:textId="77777777" w:rsidR="003C553C" w:rsidRDefault="003C553C" w:rsidP="00AF255F">
      <w:pPr>
        <w:spacing w:after="0" w:line="360" w:lineRule="auto"/>
        <w:jc w:val="both"/>
        <w:rPr>
          <w:rFonts w:ascii="Times New Roman" w:hAnsi="Times New Roman" w:cs="Times New Roman"/>
          <w:sz w:val="20"/>
          <w:szCs w:val="20"/>
        </w:rPr>
      </w:pPr>
    </w:p>
    <w:p w14:paraId="206C1BE2" w14:textId="6E8ED60B" w:rsidR="003C553C" w:rsidRDefault="003C553C" w:rsidP="00AF255F">
      <w:pPr>
        <w:spacing w:after="0" w:line="360" w:lineRule="auto"/>
        <w:jc w:val="both"/>
        <w:rPr>
          <w:rFonts w:ascii="Times New Roman" w:hAnsi="Times New Roman" w:cs="Times New Roman"/>
          <w:sz w:val="20"/>
          <w:szCs w:val="20"/>
        </w:rPr>
      </w:pPr>
      <w:r>
        <w:rPr>
          <w:rFonts w:ascii="Times New Roman" w:hAnsi="Times New Roman" w:cs="Times New Roman"/>
          <w:sz w:val="20"/>
          <w:szCs w:val="20"/>
        </w:rPr>
        <w:br w:type="page"/>
      </w:r>
    </w:p>
    <w:p w14:paraId="2E3E74E6" w14:textId="7DF87F36" w:rsidR="00336BA2" w:rsidRPr="00025401" w:rsidRDefault="00025401" w:rsidP="003C553C">
      <w:pPr>
        <w:pStyle w:val="PargrafodaLista"/>
        <w:numPr>
          <w:ilvl w:val="0"/>
          <w:numId w:val="2"/>
        </w:numPr>
        <w:spacing w:after="0" w:line="360" w:lineRule="auto"/>
        <w:jc w:val="both"/>
        <w:outlineLvl w:val="0"/>
        <w:rPr>
          <w:rFonts w:ascii="Times New Roman" w:hAnsi="Times New Roman" w:cs="Times New Roman"/>
          <w:b/>
          <w:bCs/>
          <w:sz w:val="24"/>
          <w:szCs w:val="24"/>
        </w:rPr>
      </w:pPr>
      <w:bookmarkStart w:id="0" w:name="_Toc196913791"/>
      <w:r w:rsidRPr="00025401">
        <w:rPr>
          <w:rFonts w:ascii="Times New Roman" w:hAnsi="Times New Roman" w:cs="Times New Roman"/>
          <w:b/>
          <w:bCs/>
          <w:sz w:val="24"/>
          <w:szCs w:val="24"/>
        </w:rPr>
        <w:lastRenderedPageBreak/>
        <w:t>INTRODUÇÃO</w:t>
      </w:r>
      <w:bookmarkEnd w:id="0"/>
    </w:p>
    <w:p w14:paraId="13BEF207"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 integração regional é uma das estratégias mais relevantes para o fortalecimento político e econômico da América Latina e do Caribe. Historicamente, os países da região têm enfrentado obstáculos comuns, como instabilidade institucional, desigualdade social, dependência econômica de potências externas e limitações estruturais à soberania plena. Diante disso, diferentes iniciativas multilaterais foram concebidas com o objetivo de promover a articulação entre os Estados latino-americanos e caribenhos em torno de agendas comuns de desenvolvimento, paz e cooperação (Granato; Batista, 2018).</w:t>
      </w:r>
    </w:p>
    <w:p w14:paraId="00283EBE"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 Organização dos Estados Americanos (OEA), fundada em 1948, foi durante décadas o principal organismo multilateral responsável por mediar os interesses políticos e diplomáticos no continente. No entanto, sua legitimidade tem sido questionada, sobretudo por seu histórico de alinhamento com os Estados Unidos, o que enfraqueceu sua capacidade de representar as diversas vozes da América Latina em momentos críticos (Castro, 2015; Lima, 2013). A exclusão de Cuba por décadas, sua postura ambígua frente a golpes de Estado e sua ineficiência na mediação de crises regionais são frequentemente apontadas como limitações de sua atuação.</w:t>
      </w:r>
    </w:p>
    <w:p w14:paraId="2EE7340F"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Nesse cenário, emerge em 2010 a Comunidade de Estados Latino-Americanos e Caribenhos (CELAC), com o objetivo declarado de promover um regionalismo autônomo e plural, livre da influência direta das potências extracontinentais. A CELAC representa todos os 33 países da América Latina e Caribe, excluindo os Estados Unidos e o Canadá, o que a distingue simbolicamente da OEA. Sua criação foi motivada não apenas por razões diplomáticas, mas também por um movimento político de afirmação identitária regional (Jung, 2015).</w:t>
      </w:r>
    </w:p>
    <w:p w14:paraId="7E2D31F0"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 CELAC se apresenta como um espaço alternativo para a construção de consensos em torno de temas relevantes como desenvolvimento sustentável, democracia, direitos humanos, segurança alimentar, integração energética e cooperação científica (Pereira, 2017). Além disso, sua postura anti-intervencionista e a busca por mediações pacíficas em conflitos internos são características valorizadas pelos seus membros (Luigi Júnior, 2017). Ainda assim, sua estrutura institucional é mais flexível e menos formalizada que a da OEA, o que levanta questionamentos sobre sua capacidade de ação efetiva (Hamerski, 2018).</w:t>
      </w:r>
    </w:p>
    <w:p w14:paraId="4003ED62"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 xml:space="preserve">O debate sobre a eficácia de cada uma dessas organizações tornou-se especialmente relevante diante de crises regionais recentes, como a instabilidade na Venezuela, os conflitos na Bolívia e os episódios de tensão entre Colômbia e Venezuela. Em tais contextos, as diferentes abordagens da OEA e da CELAC revelaram modelos contrastantes de diplomacia regional: um </w:t>
      </w:r>
      <w:r w:rsidRPr="006B309F">
        <w:rPr>
          <w:rFonts w:ascii="Times New Roman" w:hAnsi="Times New Roman" w:cs="Times New Roman"/>
          <w:sz w:val="24"/>
          <w:szCs w:val="24"/>
        </w:rPr>
        <w:lastRenderedPageBreak/>
        <w:t>mais verticalizado e condicionado (OEA), outro mais horizontal e plural (CELAC) (Castro, 2015; Lima, 2013).</w:t>
      </w:r>
    </w:p>
    <w:p w14:paraId="0668BBE4"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 escolha da CELAC como objeto de estudo parte da hipótese de que esta organização, apesar de sua juventude e estrutura informal, apresenta maior efetividade na mediação de conflitos, na promoção de políticas de integração e na defesa da soberania nacional dos países latino-americanos (Gonçalves, 2013). Essa hipótese é sustentada por uma série de experiências empíricas e análises teóricas já publicadas em artigos científicos e relatórios institucionais.</w:t>
      </w:r>
    </w:p>
    <w:p w14:paraId="4F1DBDDA"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O presente trabalho, portanto, tem como objetivo central realizar uma revisão bibliográfica integrativa que permita comparar a atuação da CELAC e da OEA sob três eixos fundamentais: a integração regional, a mediação de conflitos e a garantia da soberania. Para isso, busca-se sistematizar o conhecimento disponível na literatura acadêmica a respeito da atuação das duas organizações.</w:t>
      </w:r>
    </w:p>
    <w:p w14:paraId="543D49A9"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Além da comparação estrutural e discursiva, interessa também verificar se há evidências práticas de que a CELAC oferece maior legitimidade e adesão por parte dos Estados membros em relação às decisões coletivas (Hamerski, 2018). Com base nesse esforço analítico, pretende-se identificar padrões, divergências e tendências quanto à governança regional na América Latina e no Caribe.</w:t>
      </w:r>
    </w:p>
    <w:p w14:paraId="2A559258" w14:textId="00658E47" w:rsidR="00336BA2" w:rsidRPr="00336BA2"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 importância desta revisão reside no fato de que os organismos multilaterais exercem papel decisivo na construção de consensos regionais e na consolidação de políticas comuns. Entender a eficácia dessas instituições é, portanto, essencial para fortalecer a diplomacia latino-americana e garantir respostas autônomas aos desafios contemporâneos (Pereira, 2017).</w:t>
      </w:r>
    </w:p>
    <w:p w14:paraId="2FDBF22B" w14:textId="3405D99D" w:rsidR="00336BA2" w:rsidRPr="00025401" w:rsidRDefault="00025401" w:rsidP="003C553C">
      <w:pPr>
        <w:pStyle w:val="PargrafodaLista"/>
        <w:numPr>
          <w:ilvl w:val="0"/>
          <w:numId w:val="2"/>
        </w:numPr>
        <w:spacing w:before="240" w:after="0" w:line="360" w:lineRule="auto"/>
        <w:jc w:val="both"/>
        <w:outlineLvl w:val="0"/>
        <w:rPr>
          <w:rFonts w:ascii="Times New Roman" w:hAnsi="Times New Roman" w:cs="Times New Roman"/>
          <w:b/>
          <w:bCs/>
          <w:sz w:val="24"/>
          <w:szCs w:val="24"/>
        </w:rPr>
      </w:pPr>
      <w:bookmarkStart w:id="1" w:name="_Toc196913792"/>
      <w:r w:rsidRPr="00025401">
        <w:rPr>
          <w:rFonts w:ascii="Times New Roman" w:hAnsi="Times New Roman" w:cs="Times New Roman"/>
          <w:b/>
          <w:bCs/>
          <w:sz w:val="24"/>
          <w:szCs w:val="24"/>
        </w:rPr>
        <w:t>MÉTODO</w:t>
      </w:r>
      <w:bookmarkEnd w:id="1"/>
    </w:p>
    <w:p w14:paraId="23E617F1" w14:textId="77777777" w:rsidR="00336BA2" w:rsidRPr="00336BA2"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Esta pesquisa foi conduzida por meio de uma revisão bibliográfica integrativa, um método amplamente reconhecido por sua capacidade de reunir e sintetizar conhecimentos dispersos sobre determinado fenômeno, permitindo a formulação de um panorama abrangente do tema investigado. A revisão integrativa diferencia-se por combinar evidências teóricas e empíricas de diferentes tipos de estudos, favorecendo análises críticas e comparativas.</w:t>
      </w:r>
    </w:p>
    <w:p w14:paraId="1A3EA6F9" w14:textId="77777777" w:rsidR="006B309F" w:rsidRPr="006B309F" w:rsidRDefault="006B309F" w:rsidP="006B309F">
      <w:pPr>
        <w:spacing w:after="0" w:line="360" w:lineRule="auto"/>
        <w:ind w:firstLine="709"/>
        <w:jc w:val="both"/>
        <w:rPr>
          <w:rFonts w:ascii="Times New Roman" w:hAnsi="Times New Roman" w:cs="Times New Roman"/>
          <w:sz w:val="24"/>
          <w:szCs w:val="24"/>
        </w:rPr>
      </w:pPr>
      <w:r w:rsidRPr="006B309F">
        <w:rPr>
          <w:rFonts w:ascii="Times New Roman" w:hAnsi="Times New Roman" w:cs="Times New Roman"/>
          <w:sz w:val="24"/>
          <w:szCs w:val="24"/>
        </w:rPr>
        <w:t>Adotou-se como diretriz o protocolo PRISMA (</w:t>
      </w:r>
      <w:r w:rsidRPr="006B309F">
        <w:rPr>
          <w:rFonts w:ascii="Times New Roman" w:hAnsi="Times New Roman" w:cs="Times New Roman"/>
          <w:i/>
          <w:iCs/>
          <w:sz w:val="24"/>
          <w:szCs w:val="24"/>
        </w:rPr>
        <w:t>Preferred Reporting Items for Systematic Reviews and Meta-Analyses</w:t>
      </w:r>
      <w:r w:rsidRPr="006B309F">
        <w:rPr>
          <w:rFonts w:ascii="Times New Roman" w:hAnsi="Times New Roman" w:cs="Times New Roman"/>
          <w:sz w:val="24"/>
          <w:szCs w:val="24"/>
        </w:rPr>
        <w:t>), amplamente utilizado para revisões sistemáticas, adaptando suas fases à lógica da revisão integrativa (Page et al., 2021). Foram definidas cinco etapas principais: definição da questão norteadora, estabelecimento dos critérios de inclusão e exclusão, busca nas bases de dados, seleção dos estudos, extração e análise dos dados.</w:t>
      </w:r>
    </w:p>
    <w:p w14:paraId="5A0CB00D" w14:textId="12C9E478" w:rsidR="00AF255F" w:rsidRPr="00AF255F" w:rsidRDefault="00AF255F" w:rsidP="00AF255F">
      <w:pPr>
        <w:pStyle w:val="Legenda"/>
        <w:keepNext/>
        <w:spacing w:after="0"/>
        <w:jc w:val="center"/>
        <w:rPr>
          <w:i w:val="0"/>
          <w:iCs w:val="0"/>
          <w:color w:val="auto"/>
        </w:rPr>
      </w:pPr>
      <w:r w:rsidRPr="00AF255F">
        <w:rPr>
          <w:i w:val="0"/>
          <w:iCs w:val="0"/>
          <w:color w:val="auto"/>
        </w:rPr>
        <w:lastRenderedPageBreak/>
        <w:t xml:space="preserve">Figura </w:t>
      </w:r>
      <w:r w:rsidRPr="00AF255F">
        <w:rPr>
          <w:i w:val="0"/>
          <w:iCs w:val="0"/>
          <w:color w:val="auto"/>
        </w:rPr>
        <w:fldChar w:fldCharType="begin"/>
      </w:r>
      <w:r w:rsidRPr="00AF255F">
        <w:rPr>
          <w:i w:val="0"/>
          <w:iCs w:val="0"/>
          <w:color w:val="auto"/>
        </w:rPr>
        <w:instrText xml:space="preserve"> SEQ Figura \* ARABIC </w:instrText>
      </w:r>
      <w:r w:rsidRPr="00AF255F">
        <w:rPr>
          <w:i w:val="0"/>
          <w:iCs w:val="0"/>
          <w:color w:val="auto"/>
        </w:rPr>
        <w:fldChar w:fldCharType="separate"/>
      </w:r>
      <w:r w:rsidR="001E7D65">
        <w:rPr>
          <w:i w:val="0"/>
          <w:iCs w:val="0"/>
          <w:noProof/>
          <w:color w:val="auto"/>
        </w:rPr>
        <w:t>1</w:t>
      </w:r>
      <w:r w:rsidRPr="00AF255F">
        <w:rPr>
          <w:i w:val="0"/>
          <w:iCs w:val="0"/>
          <w:color w:val="auto"/>
        </w:rPr>
        <w:fldChar w:fldCharType="end"/>
      </w:r>
      <w:r w:rsidRPr="00AF255F">
        <w:rPr>
          <w:i w:val="0"/>
          <w:iCs w:val="0"/>
          <w:color w:val="auto"/>
        </w:rPr>
        <w:t xml:space="preserve"> - Modelo do fluxograma PRISMA</w:t>
      </w:r>
    </w:p>
    <w:p w14:paraId="0D1EEC95" w14:textId="77777777" w:rsidR="00AF255F" w:rsidRDefault="00336BA2" w:rsidP="00AF255F">
      <w:pPr>
        <w:keepNext/>
        <w:spacing w:after="0" w:line="240" w:lineRule="auto"/>
        <w:jc w:val="center"/>
      </w:pPr>
      <w:r w:rsidRPr="00AF255F">
        <w:rPr>
          <w:rFonts w:ascii="Times New Roman" w:hAnsi="Times New Roman" w:cs="Times New Roman"/>
          <w:noProof/>
          <w:sz w:val="24"/>
          <w:szCs w:val="24"/>
        </w:rPr>
        <w:drawing>
          <wp:inline distT="0" distB="0" distL="0" distR="0" wp14:anchorId="5E3DADE6" wp14:editId="1F719330">
            <wp:extent cx="2880000" cy="2160000"/>
            <wp:effectExtent l="19050" t="19050" r="15875" b="12065"/>
            <wp:docPr id="1407754439" name="Imagem 1" descr="Diagrama&#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754439" name="Imagem 1" descr="Diagrama&#10;&#10;O conteúdo gerado por IA pode estar incorreto."/>
                    <pic:cNvPicPr preferRelativeResize="0"/>
                  </pic:nvPicPr>
                  <pic:blipFill>
                    <a:blip r:embed="rId8"/>
                    <a:stretch>
                      <a:fillRect/>
                    </a:stretch>
                  </pic:blipFill>
                  <pic:spPr>
                    <a:xfrm>
                      <a:off x="0" y="0"/>
                      <a:ext cx="2880000" cy="2160000"/>
                    </a:xfrm>
                    <a:prstGeom prst="rect">
                      <a:avLst/>
                    </a:prstGeom>
                    <a:ln>
                      <a:solidFill>
                        <a:schemeClr val="tx1"/>
                      </a:solidFill>
                    </a:ln>
                  </pic:spPr>
                </pic:pic>
              </a:graphicData>
            </a:graphic>
          </wp:inline>
        </w:drawing>
      </w:r>
    </w:p>
    <w:p w14:paraId="55341E5B" w14:textId="6AE1161C" w:rsidR="00AF255F" w:rsidRPr="00AF255F" w:rsidRDefault="00AF255F" w:rsidP="00AF255F">
      <w:pPr>
        <w:keepNext/>
        <w:spacing w:after="0" w:line="240" w:lineRule="auto"/>
        <w:jc w:val="center"/>
        <w:rPr>
          <w:rFonts w:ascii="Times New Roman" w:hAnsi="Times New Roman" w:cs="Times New Roman"/>
          <w:sz w:val="20"/>
          <w:szCs w:val="20"/>
        </w:rPr>
      </w:pPr>
      <w:r w:rsidRPr="00AF255F">
        <w:rPr>
          <w:rFonts w:ascii="Times New Roman" w:hAnsi="Times New Roman" w:cs="Times New Roman"/>
          <w:sz w:val="20"/>
          <w:szCs w:val="20"/>
        </w:rPr>
        <w:t>Fonte: Camila Mendes</w:t>
      </w:r>
    </w:p>
    <w:p w14:paraId="54FCF6CC" w14:textId="77777777" w:rsidR="00336BA2" w:rsidRPr="00336BA2"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A pergunta norteadora que guiou a seleção do material foi: “Em que medida a CELAC se mostra mais eficaz que a OEA na promoção da integração regional, na mediação de conflitos e na garantia da soberania dos países latino-americanos e caribenhos?” Essa questão foi elaborada com base em critérios de relevância política, diplomática e institucional.</w:t>
      </w:r>
    </w:p>
    <w:p w14:paraId="75A937B1" w14:textId="77777777" w:rsidR="00336BA2" w:rsidRPr="00336BA2"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Foram utilizadas as bases de dados Scielo, Redalyc, Google Acadêmico, Periódicos CAPES, Dialnet e outras fontes acadêmicas confiáveis. Os termos de busca incluíram “CELAC”, “OEA”, “integração regional”, “soberania”, “conflitos latino-americanos”, “governança regional” e “regionalismo”. Foram utilizadas combinações em português e espanhol com operadores booleanos (“AND”, “OR”).</w:t>
      </w:r>
    </w:p>
    <w:p w14:paraId="7AB70793" w14:textId="300165C9" w:rsidR="001D15C6"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 xml:space="preserve">Inicialmente, foram identificados 15 artigos que apresentavam potencial para responder à pergunta de pesquisa. Após leitura dos títulos, resumos e, posteriormente, dos textos completos, 11 estudos foram selecionados para triagem, dos quais apenas </w:t>
      </w:r>
      <w:r w:rsidR="00FC061D">
        <w:rPr>
          <w:rFonts w:ascii="Times New Roman" w:hAnsi="Times New Roman" w:cs="Times New Roman"/>
          <w:sz w:val="24"/>
          <w:szCs w:val="24"/>
        </w:rPr>
        <w:t>8</w:t>
      </w:r>
      <w:r w:rsidRPr="00336BA2">
        <w:rPr>
          <w:rFonts w:ascii="Times New Roman" w:hAnsi="Times New Roman" w:cs="Times New Roman"/>
          <w:sz w:val="24"/>
          <w:szCs w:val="24"/>
        </w:rPr>
        <w:t xml:space="preserve"> preencheram integralmente os critérios definidos e foram utilizados na análise final</w:t>
      </w:r>
      <w:r w:rsidR="001D15C6">
        <w:rPr>
          <w:rFonts w:ascii="Times New Roman" w:hAnsi="Times New Roman" w:cs="Times New Roman"/>
          <w:sz w:val="24"/>
          <w:szCs w:val="24"/>
        </w:rPr>
        <w:t xml:space="preserve"> (tabela 01).</w:t>
      </w:r>
    </w:p>
    <w:p w14:paraId="5AAA8BC9" w14:textId="77777777" w:rsidR="001D15C6" w:rsidRDefault="001D15C6" w:rsidP="00025401">
      <w:pPr>
        <w:spacing w:after="0" w:line="360" w:lineRule="auto"/>
        <w:ind w:firstLine="709"/>
        <w:jc w:val="both"/>
        <w:rPr>
          <w:rFonts w:ascii="Times New Roman" w:hAnsi="Times New Roman" w:cs="Times New Roman"/>
          <w:sz w:val="24"/>
          <w:szCs w:val="24"/>
        </w:rPr>
        <w:sectPr w:rsidR="001D15C6" w:rsidSect="00025401">
          <w:footerReference w:type="default" r:id="rId9"/>
          <w:pgSz w:w="11906" w:h="16838"/>
          <w:pgMar w:top="1701" w:right="1134" w:bottom="1134" w:left="1701" w:header="709" w:footer="709" w:gutter="0"/>
          <w:cols w:space="708"/>
          <w:docGrid w:linePitch="360"/>
        </w:sectPr>
      </w:pPr>
    </w:p>
    <w:p w14:paraId="6A18275B" w14:textId="22CC42B1" w:rsidR="001D15C6" w:rsidRPr="00AF255F" w:rsidRDefault="001D15C6" w:rsidP="001D15C6">
      <w:pPr>
        <w:pStyle w:val="Legenda"/>
        <w:keepNext/>
        <w:spacing w:after="0"/>
        <w:jc w:val="center"/>
        <w:rPr>
          <w:rFonts w:ascii="Times New Roman" w:hAnsi="Times New Roman" w:cs="Times New Roman"/>
          <w:i w:val="0"/>
          <w:iCs w:val="0"/>
          <w:color w:val="auto"/>
          <w:sz w:val="20"/>
          <w:szCs w:val="20"/>
        </w:rPr>
      </w:pPr>
      <w:r w:rsidRPr="00AF255F">
        <w:rPr>
          <w:rFonts w:ascii="Times New Roman" w:hAnsi="Times New Roman" w:cs="Times New Roman"/>
          <w:i w:val="0"/>
          <w:iCs w:val="0"/>
          <w:color w:val="auto"/>
          <w:sz w:val="20"/>
          <w:szCs w:val="20"/>
        </w:rPr>
        <w:lastRenderedPageBreak/>
        <w:t xml:space="preserve">Tabela </w:t>
      </w:r>
      <w:r w:rsidRPr="00AF255F">
        <w:rPr>
          <w:rFonts w:ascii="Times New Roman" w:hAnsi="Times New Roman" w:cs="Times New Roman"/>
          <w:i w:val="0"/>
          <w:iCs w:val="0"/>
          <w:color w:val="auto"/>
          <w:sz w:val="20"/>
          <w:szCs w:val="20"/>
        </w:rPr>
        <w:fldChar w:fldCharType="begin"/>
      </w:r>
      <w:r w:rsidRPr="00AF255F">
        <w:rPr>
          <w:rFonts w:ascii="Times New Roman" w:hAnsi="Times New Roman" w:cs="Times New Roman"/>
          <w:i w:val="0"/>
          <w:iCs w:val="0"/>
          <w:color w:val="auto"/>
          <w:sz w:val="20"/>
          <w:szCs w:val="20"/>
        </w:rPr>
        <w:instrText xml:space="preserve"> SEQ Tabela \* ARABIC </w:instrText>
      </w:r>
      <w:r w:rsidRPr="00AF255F">
        <w:rPr>
          <w:rFonts w:ascii="Times New Roman" w:hAnsi="Times New Roman" w:cs="Times New Roman"/>
          <w:i w:val="0"/>
          <w:iCs w:val="0"/>
          <w:color w:val="auto"/>
          <w:sz w:val="20"/>
          <w:szCs w:val="20"/>
        </w:rPr>
        <w:fldChar w:fldCharType="separate"/>
      </w:r>
      <w:r w:rsidR="001E7D65">
        <w:rPr>
          <w:rFonts w:ascii="Times New Roman" w:hAnsi="Times New Roman" w:cs="Times New Roman"/>
          <w:i w:val="0"/>
          <w:iCs w:val="0"/>
          <w:noProof/>
          <w:color w:val="auto"/>
          <w:sz w:val="20"/>
          <w:szCs w:val="20"/>
        </w:rPr>
        <w:t>1</w:t>
      </w:r>
      <w:r w:rsidRPr="00AF255F">
        <w:rPr>
          <w:rFonts w:ascii="Times New Roman" w:hAnsi="Times New Roman" w:cs="Times New Roman"/>
          <w:i w:val="0"/>
          <w:iCs w:val="0"/>
          <w:color w:val="auto"/>
          <w:sz w:val="20"/>
          <w:szCs w:val="20"/>
        </w:rPr>
        <w:fldChar w:fldCharType="end"/>
      </w:r>
      <w:r w:rsidRPr="00AF255F">
        <w:rPr>
          <w:rFonts w:ascii="Times New Roman" w:hAnsi="Times New Roman" w:cs="Times New Roman"/>
          <w:i w:val="0"/>
          <w:iCs w:val="0"/>
          <w:color w:val="auto"/>
          <w:sz w:val="20"/>
          <w:szCs w:val="20"/>
        </w:rPr>
        <w:t xml:space="preserve"> - Artigos selecionados</w:t>
      </w:r>
    </w:p>
    <w:tbl>
      <w:tblPr>
        <w:tblStyle w:val="Tabelacomgrade"/>
        <w:tblW w:w="14454" w:type="dxa"/>
        <w:jc w:val="center"/>
        <w:tblLayout w:type="fixed"/>
        <w:tblLook w:val="04A0" w:firstRow="1" w:lastRow="0" w:firstColumn="1" w:lastColumn="0" w:noHBand="0" w:noVBand="1"/>
      </w:tblPr>
      <w:tblGrid>
        <w:gridCol w:w="1276"/>
        <w:gridCol w:w="2694"/>
        <w:gridCol w:w="1151"/>
        <w:gridCol w:w="1967"/>
        <w:gridCol w:w="1559"/>
        <w:gridCol w:w="1554"/>
        <w:gridCol w:w="1843"/>
        <w:gridCol w:w="2410"/>
      </w:tblGrid>
      <w:tr w:rsidR="001D15C6" w:rsidRPr="001D15C6" w14:paraId="4BFE892B" w14:textId="77777777" w:rsidTr="00AF255F">
        <w:trPr>
          <w:jc w:val="center"/>
        </w:trPr>
        <w:tc>
          <w:tcPr>
            <w:tcW w:w="1276" w:type="dxa"/>
          </w:tcPr>
          <w:p w14:paraId="210AB381"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Autor(es)</w:t>
            </w:r>
          </w:p>
        </w:tc>
        <w:tc>
          <w:tcPr>
            <w:tcW w:w="2694" w:type="dxa"/>
          </w:tcPr>
          <w:p w14:paraId="32952AFD"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Título</w:t>
            </w:r>
          </w:p>
        </w:tc>
        <w:tc>
          <w:tcPr>
            <w:tcW w:w="1151" w:type="dxa"/>
          </w:tcPr>
          <w:p w14:paraId="1F9EFE8F"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População</w:t>
            </w:r>
          </w:p>
        </w:tc>
        <w:tc>
          <w:tcPr>
            <w:tcW w:w="1967" w:type="dxa"/>
          </w:tcPr>
          <w:p w14:paraId="319874D7"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Objetivo</w:t>
            </w:r>
          </w:p>
        </w:tc>
        <w:tc>
          <w:tcPr>
            <w:tcW w:w="1559" w:type="dxa"/>
          </w:tcPr>
          <w:p w14:paraId="40C71B1F"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Metodologia</w:t>
            </w:r>
          </w:p>
        </w:tc>
        <w:tc>
          <w:tcPr>
            <w:tcW w:w="1554" w:type="dxa"/>
          </w:tcPr>
          <w:p w14:paraId="316844E3"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Estratégia de Intervenção</w:t>
            </w:r>
          </w:p>
        </w:tc>
        <w:tc>
          <w:tcPr>
            <w:tcW w:w="1843" w:type="dxa"/>
          </w:tcPr>
          <w:p w14:paraId="08277D07"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Desfecho</w:t>
            </w:r>
          </w:p>
        </w:tc>
        <w:tc>
          <w:tcPr>
            <w:tcW w:w="2410" w:type="dxa"/>
          </w:tcPr>
          <w:p w14:paraId="6DF430BC" w14:textId="77777777" w:rsidR="001D15C6" w:rsidRPr="00AF255F" w:rsidRDefault="001D15C6" w:rsidP="001D15C6">
            <w:pPr>
              <w:jc w:val="center"/>
              <w:rPr>
                <w:rFonts w:ascii="Times New Roman" w:hAnsi="Times New Roman" w:cs="Times New Roman"/>
                <w:b/>
                <w:bCs/>
                <w:sz w:val="20"/>
                <w:szCs w:val="20"/>
              </w:rPr>
            </w:pPr>
            <w:r w:rsidRPr="00AF255F">
              <w:rPr>
                <w:rFonts w:ascii="Times New Roman" w:hAnsi="Times New Roman" w:cs="Times New Roman"/>
                <w:b/>
                <w:bCs/>
                <w:sz w:val="20"/>
                <w:szCs w:val="20"/>
              </w:rPr>
              <w:t>Resultados Principais</w:t>
            </w:r>
          </w:p>
        </w:tc>
      </w:tr>
      <w:tr w:rsidR="001D15C6" w:rsidRPr="001D15C6" w14:paraId="04B5A953" w14:textId="77777777" w:rsidTr="00AF255F">
        <w:trPr>
          <w:jc w:val="center"/>
        </w:trPr>
        <w:tc>
          <w:tcPr>
            <w:tcW w:w="1276" w:type="dxa"/>
          </w:tcPr>
          <w:p w14:paraId="7EE10D9C"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Leonardo Granato e Ian Rebouças Batista</w:t>
            </w:r>
          </w:p>
        </w:tc>
        <w:tc>
          <w:tcPr>
            <w:tcW w:w="2694" w:type="dxa"/>
          </w:tcPr>
          <w:p w14:paraId="1AD41575"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Estado, autonomia e integração regional na América Latina</w:t>
            </w:r>
          </w:p>
        </w:tc>
        <w:tc>
          <w:tcPr>
            <w:tcW w:w="1151" w:type="dxa"/>
          </w:tcPr>
          <w:p w14:paraId="5547DFAD"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Estados latino-americanos</w:t>
            </w:r>
          </w:p>
        </w:tc>
        <w:tc>
          <w:tcPr>
            <w:tcW w:w="1967" w:type="dxa"/>
          </w:tcPr>
          <w:p w14:paraId="415CD633"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Analisar a integração regional sob a ótica da autonomia estatal</w:t>
            </w:r>
          </w:p>
        </w:tc>
        <w:tc>
          <w:tcPr>
            <w:tcW w:w="1559" w:type="dxa"/>
          </w:tcPr>
          <w:p w14:paraId="21924104"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Análise teórica e conceitual</w:t>
            </w:r>
          </w:p>
        </w:tc>
        <w:tc>
          <w:tcPr>
            <w:tcW w:w="1554" w:type="dxa"/>
          </w:tcPr>
          <w:p w14:paraId="02D4EBCE"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Discussão do papel do Estado como regulador</w:t>
            </w:r>
          </w:p>
        </w:tc>
        <w:tc>
          <w:tcPr>
            <w:tcW w:w="1843" w:type="dxa"/>
          </w:tcPr>
          <w:p w14:paraId="3D66FDE6"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Conceitualização ampliada de autonomia</w:t>
            </w:r>
          </w:p>
        </w:tc>
        <w:tc>
          <w:tcPr>
            <w:tcW w:w="2410" w:type="dxa"/>
          </w:tcPr>
          <w:p w14:paraId="33274603"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Integração como ferramenta contra o subdesenvolvimento</w:t>
            </w:r>
          </w:p>
        </w:tc>
      </w:tr>
      <w:tr w:rsidR="001D15C6" w:rsidRPr="001D15C6" w14:paraId="2FCD372B" w14:textId="77777777" w:rsidTr="00AF255F">
        <w:trPr>
          <w:jc w:val="center"/>
        </w:trPr>
        <w:tc>
          <w:tcPr>
            <w:tcW w:w="1276" w:type="dxa"/>
          </w:tcPr>
          <w:p w14:paraId="482D8C86"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Ricardo Abrate Luigi Júnior</w:t>
            </w:r>
          </w:p>
        </w:tc>
        <w:tc>
          <w:tcPr>
            <w:tcW w:w="2694" w:type="dxa"/>
          </w:tcPr>
          <w:p w14:paraId="1674D370"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Integração Regional na América Latina: A UNASUL no Contexto de Ascensão e Queda dos Governos de Esquerda</w:t>
            </w:r>
          </w:p>
        </w:tc>
        <w:tc>
          <w:tcPr>
            <w:tcW w:w="1151" w:type="dxa"/>
          </w:tcPr>
          <w:p w14:paraId="1AE0329A"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Países da América do Sul</w:t>
            </w:r>
          </w:p>
        </w:tc>
        <w:tc>
          <w:tcPr>
            <w:tcW w:w="1967" w:type="dxa"/>
          </w:tcPr>
          <w:p w14:paraId="2601F94A"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Analisar a experiência da UNASUL como modelo pós-liberal de integração</w:t>
            </w:r>
          </w:p>
        </w:tc>
        <w:tc>
          <w:tcPr>
            <w:tcW w:w="1559" w:type="dxa"/>
          </w:tcPr>
          <w:p w14:paraId="34C56054"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Estudo de caso qualitativo</w:t>
            </w:r>
          </w:p>
        </w:tc>
        <w:tc>
          <w:tcPr>
            <w:tcW w:w="1554" w:type="dxa"/>
          </w:tcPr>
          <w:p w14:paraId="130D4532"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Avaliação da UNASUL no contexto político</w:t>
            </w:r>
          </w:p>
        </w:tc>
        <w:tc>
          <w:tcPr>
            <w:tcW w:w="1843" w:type="dxa"/>
          </w:tcPr>
          <w:p w14:paraId="7F2437FF"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Identificação dos ciclos políticos que afetaram o bloco</w:t>
            </w:r>
          </w:p>
        </w:tc>
        <w:tc>
          <w:tcPr>
            <w:tcW w:w="2410" w:type="dxa"/>
          </w:tcPr>
          <w:p w14:paraId="2B85319E"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UNASUL foi uma tentativa relevante, mas fragilizada por mudanças políticas</w:t>
            </w:r>
          </w:p>
        </w:tc>
      </w:tr>
      <w:tr w:rsidR="001D15C6" w:rsidRPr="001D15C6" w14:paraId="72B69D28" w14:textId="77777777" w:rsidTr="00AF255F">
        <w:trPr>
          <w:jc w:val="center"/>
        </w:trPr>
        <w:tc>
          <w:tcPr>
            <w:tcW w:w="1276" w:type="dxa"/>
          </w:tcPr>
          <w:p w14:paraId="6ECA2C02"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Nils Castro</w:t>
            </w:r>
          </w:p>
        </w:tc>
        <w:tc>
          <w:tcPr>
            <w:tcW w:w="2694" w:type="dxa"/>
          </w:tcPr>
          <w:p w14:paraId="5D073C31"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América Latina e Caribe: Integração Emancipadora ou Neocolonial</w:t>
            </w:r>
          </w:p>
        </w:tc>
        <w:tc>
          <w:tcPr>
            <w:tcW w:w="1151" w:type="dxa"/>
          </w:tcPr>
          <w:p w14:paraId="799CFA31"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América Latina e Caribe</w:t>
            </w:r>
          </w:p>
        </w:tc>
        <w:tc>
          <w:tcPr>
            <w:tcW w:w="1967" w:type="dxa"/>
          </w:tcPr>
          <w:p w14:paraId="16371434"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Contrapor modelos de integração emancipadora e neocolonial</w:t>
            </w:r>
          </w:p>
        </w:tc>
        <w:tc>
          <w:tcPr>
            <w:tcW w:w="1559" w:type="dxa"/>
          </w:tcPr>
          <w:p w14:paraId="5A0EBFAB"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Análise crítica e histórica</w:t>
            </w:r>
          </w:p>
        </w:tc>
        <w:tc>
          <w:tcPr>
            <w:tcW w:w="1554" w:type="dxa"/>
          </w:tcPr>
          <w:p w14:paraId="02DBE67B"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Comparação entre CELAC e OEA</w:t>
            </w:r>
          </w:p>
        </w:tc>
        <w:tc>
          <w:tcPr>
            <w:tcW w:w="1843" w:type="dxa"/>
          </w:tcPr>
          <w:p w14:paraId="4925AA9D"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Caracterização dos modelos institucionais</w:t>
            </w:r>
          </w:p>
        </w:tc>
        <w:tc>
          <w:tcPr>
            <w:tcW w:w="2410" w:type="dxa"/>
          </w:tcPr>
          <w:p w14:paraId="450F3024"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CELAC representa um modelo autônomo e solidário</w:t>
            </w:r>
          </w:p>
        </w:tc>
      </w:tr>
      <w:tr w:rsidR="001D15C6" w:rsidRPr="001D15C6" w14:paraId="5306CD52" w14:textId="77777777" w:rsidTr="00AF255F">
        <w:trPr>
          <w:jc w:val="center"/>
        </w:trPr>
        <w:tc>
          <w:tcPr>
            <w:tcW w:w="1276" w:type="dxa"/>
          </w:tcPr>
          <w:p w14:paraId="62B7FDB1"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Maria Regina Soares de Lima</w:t>
            </w:r>
          </w:p>
        </w:tc>
        <w:tc>
          <w:tcPr>
            <w:tcW w:w="2694" w:type="dxa"/>
          </w:tcPr>
          <w:p w14:paraId="478C5A60"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Relações Interamericanas: A Nova Agenda Sul-americana e o Brasil</w:t>
            </w:r>
          </w:p>
        </w:tc>
        <w:tc>
          <w:tcPr>
            <w:tcW w:w="1151" w:type="dxa"/>
          </w:tcPr>
          <w:p w14:paraId="6E73DE01"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América Latina e Caribe</w:t>
            </w:r>
          </w:p>
        </w:tc>
        <w:tc>
          <w:tcPr>
            <w:tcW w:w="1967" w:type="dxa"/>
          </w:tcPr>
          <w:p w14:paraId="6E18B0FD" w14:textId="074AA438"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Analisar</w:t>
            </w:r>
            <w:r>
              <w:rPr>
                <w:rFonts w:ascii="Times New Roman" w:hAnsi="Times New Roman" w:cs="Times New Roman"/>
                <w:sz w:val="20"/>
                <w:szCs w:val="20"/>
              </w:rPr>
              <w:t xml:space="preserve"> </w:t>
            </w:r>
            <w:r w:rsidRPr="001D15C6">
              <w:rPr>
                <w:rFonts w:ascii="Times New Roman" w:hAnsi="Times New Roman" w:cs="Times New Roman"/>
                <w:sz w:val="20"/>
                <w:szCs w:val="20"/>
              </w:rPr>
              <w:t>criticamente a governança regional interamericana</w:t>
            </w:r>
          </w:p>
        </w:tc>
        <w:tc>
          <w:tcPr>
            <w:tcW w:w="1559" w:type="dxa"/>
          </w:tcPr>
          <w:p w14:paraId="444AD804"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Análise teórica e crítica</w:t>
            </w:r>
          </w:p>
        </w:tc>
        <w:tc>
          <w:tcPr>
            <w:tcW w:w="1554" w:type="dxa"/>
          </w:tcPr>
          <w:p w14:paraId="064DDFE8"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Estudo da evolução de iniciativas como UNASUL</w:t>
            </w:r>
          </w:p>
        </w:tc>
        <w:tc>
          <w:tcPr>
            <w:tcW w:w="1843" w:type="dxa"/>
          </w:tcPr>
          <w:p w14:paraId="74938193"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Avaliação das alternativas regionais à OEA</w:t>
            </w:r>
          </w:p>
        </w:tc>
        <w:tc>
          <w:tcPr>
            <w:tcW w:w="2410" w:type="dxa"/>
          </w:tcPr>
          <w:p w14:paraId="59DECA61"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Propostas regionais buscam mais autonomia e soberania</w:t>
            </w:r>
          </w:p>
        </w:tc>
      </w:tr>
      <w:tr w:rsidR="001D15C6" w:rsidRPr="001D15C6" w14:paraId="60C40B7A" w14:textId="77777777" w:rsidTr="00AF255F">
        <w:trPr>
          <w:jc w:val="center"/>
        </w:trPr>
        <w:tc>
          <w:tcPr>
            <w:tcW w:w="1276" w:type="dxa"/>
          </w:tcPr>
          <w:p w14:paraId="46FF93B6"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João Henrique Salles Jung</w:t>
            </w:r>
          </w:p>
        </w:tc>
        <w:tc>
          <w:tcPr>
            <w:tcW w:w="2694" w:type="dxa"/>
          </w:tcPr>
          <w:p w14:paraId="55D28D8D"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O papel da CELAC no processo de integração latino-americano e na inserção internacional do Brasil</w:t>
            </w:r>
          </w:p>
        </w:tc>
        <w:tc>
          <w:tcPr>
            <w:tcW w:w="1151" w:type="dxa"/>
          </w:tcPr>
          <w:p w14:paraId="098D2B4C"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Países da CELAC</w:t>
            </w:r>
          </w:p>
        </w:tc>
        <w:tc>
          <w:tcPr>
            <w:tcW w:w="1967" w:type="dxa"/>
          </w:tcPr>
          <w:p w14:paraId="07C2CA9F"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Compreender o papel da CELAC na política externa brasileira</w:t>
            </w:r>
          </w:p>
        </w:tc>
        <w:tc>
          <w:tcPr>
            <w:tcW w:w="1559" w:type="dxa"/>
          </w:tcPr>
          <w:p w14:paraId="56E3D83A"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Análise institucional e documental</w:t>
            </w:r>
          </w:p>
        </w:tc>
        <w:tc>
          <w:tcPr>
            <w:tcW w:w="1554" w:type="dxa"/>
          </w:tcPr>
          <w:p w14:paraId="7DEB182F"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Estudo das cúpulas e declarações da CELAC</w:t>
            </w:r>
          </w:p>
        </w:tc>
        <w:tc>
          <w:tcPr>
            <w:tcW w:w="1843" w:type="dxa"/>
          </w:tcPr>
          <w:p w14:paraId="3F0BD197"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Mapeamento do impacto na política regional</w:t>
            </w:r>
          </w:p>
        </w:tc>
        <w:tc>
          <w:tcPr>
            <w:tcW w:w="2410" w:type="dxa"/>
          </w:tcPr>
          <w:p w14:paraId="437453EA" w14:textId="77777777" w:rsidR="001D15C6" w:rsidRPr="000E088C" w:rsidRDefault="001D15C6" w:rsidP="001D15C6">
            <w:pPr>
              <w:rPr>
                <w:rFonts w:ascii="Times New Roman" w:hAnsi="Times New Roman" w:cs="Times New Roman"/>
                <w:sz w:val="20"/>
                <w:szCs w:val="20"/>
                <w:lang w:val="pt-BR"/>
              </w:rPr>
            </w:pPr>
            <w:r w:rsidRPr="000E088C">
              <w:rPr>
                <w:rFonts w:ascii="Times New Roman" w:hAnsi="Times New Roman" w:cs="Times New Roman"/>
                <w:sz w:val="20"/>
                <w:szCs w:val="20"/>
                <w:lang w:val="pt-BR"/>
              </w:rPr>
              <w:t>CELAC fortalece a atuação regional do Brasil</w:t>
            </w:r>
          </w:p>
        </w:tc>
      </w:tr>
      <w:tr w:rsidR="001D15C6" w:rsidRPr="001D15C6" w14:paraId="23A34A78" w14:textId="77777777" w:rsidTr="00AF255F">
        <w:trPr>
          <w:jc w:val="center"/>
        </w:trPr>
        <w:tc>
          <w:tcPr>
            <w:tcW w:w="1276" w:type="dxa"/>
          </w:tcPr>
          <w:p w14:paraId="5BF92E7F"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Felipe Teixeira Gonçalves</w:t>
            </w:r>
          </w:p>
        </w:tc>
        <w:tc>
          <w:tcPr>
            <w:tcW w:w="2694" w:type="dxa"/>
          </w:tcPr>
          <w:p w14:paraId="01799C8D" w14:textId="77777777" w:rsidR="001D15C6" w:rsidRPr="000E088C" w:rsidRDefault="001D15C6" w:rsidP="001D15C6">
            <w:pPr>
              <w:rPr>
                <w:rFonts w:ascii="Times New Roman" w:hAnsi="Times New Roman" w:cs="Times New Roman"/>
                <w:sz w:val="20"/>
                <w:szCs w:val="20"/>
                <w:lang w:val="pt-BR"/>
              </w:rPr>
            </w:pPr>
            <w:r w:rsidRPr="000E088C">
              <w:rPr>
                <w:rFonts w:ascii="Times New Roman" w:hAnsi="Times New Roman" w:cs="Times New Roman"/>
                <w:sz w:val="20"/>
                <w:szCs w:val="20"/>
                <w:lang w:val="pt-BR"/>
              </w:rPr>
              <w:t>A CELAC, o SELA e a agenda do Brasil para América Latina e Caribe</w:t>
            </w:r>
          </w:p>
        </w:tc>
        <w:tc>
          <w:tcPr>
            <w:tcW w:w="1151" w:type="dxa"/>
          </w:tcPr>
          <w:p w14:paraId="31777B9B"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América Latina e Caribe</w:t>
            </w:r>
          </w:p>
        </w:tc>
        <w:tc>
          <w:tcPr>
            <w:tcW w:w="1967" w:type="dxa"/>
          </w:tcPr>
          <w:p w14:paraId="4FCDAD7E"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Analisar a transição do SELA para a CELAC na estratégia do Brasil</w:t>
            </w:r>
          </w:p>
        </w:tc>
        <w:tc>
          <w:tcPr>
            <w:tcW w:w="1559" w:type="dxa"/>
          </w:tcPr>
          <w:p w14:paraId="2085AB5B"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Análise documental e institucional</w:t>
            </w:r>
          </w:p>
        </w:tc>
        <w:tc>
          <w:tcPr>
            <w:tcW w:w="1554" w:type="dxa"/>
          </w:tcPr>
          <w:p w14:paraId="430B857F"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Estudo de ações regionais do Brasil</w:t>
            </w:r>
          </w:p>
        </w:tc>
        <w:tc>
          <w:tcPr>
            <w:tcW w:w="1843" w:type="dxa"/>
          </w:tcPr>
          <w:p w14:paraId="2C0D1EE6"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Redefinição da política externa para incluir o Caribe</w:t>
            </w:r>
          </w:p>
        </w:tc>
        <w:tc>
          <w:tcPr>
            <w:tcW w:w="2410" w:type="dxa"/>
          </w:tcPr>
          <w:p w14:paraId="0E671528"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CELAC representa avanço em abrangência regional</w:t>
            </w:r>
          </w:p>
        </w:tc>
      </w:tr>
      <w:tr w:rsidR="001D15C6" w:rsidRPr="001D15C6" w14:paraId="49226859" w14:textId="77777777" w:rsidTr="00AF255F">
        <w:trPr>
          <w:jc w:val="center"/>
        </w:trPr>
        <w:tc>
          <w:tcPr>
            <w:tcW w:w="1276" w:type="dxa"/>
          </w:tcPr>
          <w:p w14:paraId="4A6C9424"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Bruna Hamerski</w:t>
            </w:r>
          </w:p>
        </w:tc>
        <w:tc>
          <w:tcPr>
            <w:tcW w:w="2694" w:type="dxa"/>
          </w:tcPr>
          <w:p w14:paraId="427C0BE9" w14:textId="77777777" w:rsidR="001D15C6" w:rsidRPr="000E088C" w:rsidRDefault="001D15C6" w:rsidP="001D15C6">
            <w:pPr>
              <w:rPr>
                <w:rFonts w:ascii="Times New Roman" w:hAnsi="Times New Roman" w:cs="Times New Roman"/>
                <w:sz w:val="20"/>
                <w:szCs w:val="20"/>
                <w:lang w:val="pt-BR"/>
              </w:rPr>
            </w:pPr>
            <w:r w:rsidRPr="000E088C">
              <w:rPr>
                <w:rFonts w:ascii="Times New Roman" w:hAnsi="Times New Roman" w:cs="Times New Roman"/>
                <w:sz w:val="20"/>
                <w:szCs w:val="20"/>
                <w:lang w:val="pt-BR"/>
              </w:rPr>
              <w:t>A estrutura institucional dos principais blocos latino-americanos e seus impactos na Integração Regional</w:t>
            </w:r>
          </w:p>
        </w:tc>
        <w:tc>
          <w:tcPr>
            <w:tcW w:w="1151" w:type="dxa"/>
          </w:tcPr>
          <w:p w14:paraId="2BE1B386"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Blocos regionais latino-americanos</w:t>
            </w:r>
          </w:p>
        </w:tc>
        <w:tc>
          <w:tcPr>
            <w:tcW w:w="1967" w:type="dxa"/>
          </w:tcPr>
          <w:p w14:paraId="0CB0F945"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Comparar estruturas institucionais e seu impacto na integração</w:t>
            </w:r>
          </w:p>
        </w:tc>
        <w:tc>
          <w:tcPr>
            <w:tcW w:w="1559" w:type="dxa"/>
          </w:tcPr>
          <w:p w14:paraId="7C577A85"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Pesquisa exploratória e descritiva</w:t>
            </w:r>
          </w:p>
        </w:tc>
        <w:tc>
          <w:tcPr>
            <w:tcW w:w="1554" w:type="dxa"/>
          </w:tcPr>
          <w:p w14:paraId="430431D5"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Comparação entre CELAC, UNASUL, ALBA, Mercosul</w:t>
            </w:r>
          </w:p>
        </w:tc>
        <w:tc>
          <w:tcPr>
            <w:tcW w:w="1843" w:type="dxa"/>
          </w:tcPr>
          <w:p w14:paraId="12F8996A"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Avaliação do grau de institucionalização</w:t>
            </w:r>
          </w:p>
        </w:tc>
        <w:tc>
          <w:tcPr>
            <w:tcW w:w="2410" w:type="dxa"/>
          </w:tcPr>
          <w:p w14:paraId="66223399"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CELAC é leve, mas eficaz na articulação regional</w:t>
            </w:r>
          </w:p>
        </w:tc>
      </w:tr>
      <w:tr w:rsidR="001D15C6" w:rsidRPr="001D15C6" w14:paraId="75251BE6" w14:textId="77777777" w:rsidTr="00AF255F">
        <w:trPr>
          <w:jc w:val="center"/>
        </w:trPr>
        <w:tc>
          <w:tcPr>
            <w:tcW w:w="1276" w:type="dxa"/>
          </w:tcPr>
          <w:p w14:paraId="4809EA29"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Autor não especificado</w:t>
            </w:r>
          </w:p>
        </w:tc>
        <w:tc>
          <w:tcPr>
            <w:tcW w:w="2694" w:type="dxa"/>
          </w:tcPr>
          <w:p w14:paraId="3F68F9D7"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O Lugar da América Latina nas Relações Sul-Sul: O Papel da CELAC na Integração Latino-Americana</w:t>
            </w:r>
          </w:p>
        </w:tc>
        <w:tc>
          <w:tcPr>
            <w:tcW w:w="1151" w:type="dxa"/>
          </w:tcPr>
          <w:p w14:paraId="394589DE"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América Latina e Caribe</w:t>
            </w:r>
          </w:p>
        </w:tc>
        <w:tc>
          <w:tcPr>
            <w:tcW w:w="1967" w:type="dxa"/>
          </w:tcPr>
          <w:p w14:paraId="3BC6DE8B"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Analisar o papel da CELAC nas relações Sul-Sul</w:t>
            </w:r>
          </w:p>
        </w:tc>
        <w:tc>
          <w:tcPr>
            <w:tcW w:w="1559" w:type="dxa"/>
          </w:tcPr>
          <w:p w14:paraId="57544C9E"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Análise crítica institucional</w:t>
            </w:r>
          </w:p>
        </w:tc>
        <w:tc>
          <w:tcPr>
            <w:tcW w:w="1554" w:type="dxa"/>
          </w:tcPr>
          <w:p w14:paraId="580C263C"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Estudo da CALC e da atuação da CELAC</w:t>
            </w:r>
          </w:p>
        </w:tc>
        <w:tc>
          <w:tcPr>
            <w:tcW w:w="1843" w:type="dxa"/>
          </w:tcPr>
          <w:p w14:paraId="6523A7A8"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Caracterização da CELAC como espaço pós-neoliberal</w:t>
            </w:r>
          </w:p>
        </w:tc>
        <w:tc>
          <w:tcPr>
            <w:tcW w:w="2410" w:type="dxa"/>
          </w:tcPr>
          <w:p w14:paraId="23E3CC66" w14:textId="77777777" w:rsidR="001D15C6" w:rsidRPr="001D15C6" w:rsidRDefault="001D15C6" w:rsidP="001D15C6">
            <w:pPr>
              <w:rPr>
                <w:rFonts w:ascii="Times New Roman" w:hAnsi="Times New Roman" w:cs="Times New Roman"/>
                <w:sz w:val="20"/>
                <w:szCs w:val="20"/>
              </w:rPr>
            </w:pPr>
            <w:r w:rsidRPr="001D15C6">
              <w:rPr>
                <w:rFonts w:ascii="Times New Roman" w:hAnsi="Times New Roman" w:cs="Times New Roman"/>
                <w:sz w:val="20"/>
                <w:szCs w:val="20"/>
              </w:rPr>
              <w:t>CELAC fortalece integração autônoma e diálogo político</w:t>
            </w:r>
          </w:p>
        </w:tc>
      </w:tr>
    </w:tbl>
    <w:p w14:paraId="3EFA3AFD" w14:textId="77777777" w:rsidR="001D15C6" w:rsidRPr="001D15C6" w:rsidRDefault="001D15C6" w:rsidP="001D15C6">
      <w:pPr>
        <w:spacing w:after="0" w:line="240" w:lineRule="auto"/>
        <w:ind w:firstLine="709"/>
        <w:jc w:val="both"/>
        <w:rPr>
          <w:rFonts w:ascii="Times New Roman" w:hAnsi="Times New Roman" w:cs="Times New Roman"/>
          <w:sz w:val="24"/>
          <w:szCs w:val="24"/>
        </w:rPr>
        <w:sectPr w:rsidR="001D15C6" w:rsidRPr="001D15C6" w:rsidSect="001D15C6">
          <w:pgSz w:w="16838" w:h="11906" w:orient="landscape"/>
          <w:pgMar w:top="1701" w:right="1701" w:bottom="1134" w:left="1134" w:header="709" w:footer="709" w:gutter="0"/>
          <w:cols w:space="708"/>
          <w:docGrid w:linePitch="360"/>
        </w:sectPr>
      </w:pPr>
    </w:p>
    <w:p w14:paraId="54039DFE" w14:textId="77777777" w:rsidR="00336BA2" w:rsidRPr="00336BA2"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lastRenderedPageBreak/>
        <w:t>Os critérios de inclusão foram: estar publicado entre 2010 e 2024, abordar comparativamente CELAC e OEA ou discutir ao menos dois dos três eixos temáticos principais (integração, conflitos e soberania), estar disponível em texto completo e ser publicado em língua portuguesa ou espanhola. Excluíram-se textos de opinião, artigos jornalísticos ou trabalhos que mencionavam superficialmente os organismos sem analisá-los em profundidade.</w:t>
      </w:r>
    </w:p>
    <w:p w14:paraId="53D145C1" w14:textId="77777777" w:rsidR="00336BA2" w:rsidRPr="00336BA2"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A análise dos estudos selecionados foi realizada por meio de fichamentos analíticos, categorização temática e comparação cruzada entre os resultados. As categorias foram agrupadas segundo os eixos de interesse, com ênfase na identificação de convergências, divergências e lacunas analíticas. A confiabilidade dos dados foi garantida por dupla leitura e triangulação de informações.</w:t>
      </w:r>
    </w:p>
    <w:p w14:paraId="7640E74B" w14:textId="77777777" w:rsidR="00336BA2" w:rsidRPr="00336BA2" w:rsidRDefault="00336BA2" w:rsidP="00025401">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Além disso, foi elaborado um fluxograma PRISMA representando visualmente o processo de seleção dos artigos. A sistematização final dos dados permitiu a elaboração de uma matriz de evidências, onde foram comparados os principais argumentos, contextos de análise, casos empíricos e conclusões dos autores. Isso possibilitou a construção de uma síntese crítica sólida.</w:t>
      </w:r>
    </w:p>
    <w:p w14:paraId="3F6B6D1C" w14:textId="17459C52" w:rsidR="00FC061D" w:rsidRPr="00336BA2" w:rsidRDefault="00336BA2" w:rsidP="00FC061D">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Por fim, o método adotado buscou respeitar os princípios da transparência, reprodutibilidade e rigor acadêmico, garantindo que as conclusões aqui apresentadas possam servir de base para novos estudos e para o aprofundamento das discussões em torno da integração latino-americana.</w:t>
      </w:r>
    </w:p>
    <w:p w14:paraId="149976C4" w14:textId="72282305" w:rsidR="00336BA2" w:rsidRPr="00025401" w:rsidRDefault="00025401" w:rsidP="003C553C">
      <w:pPr>
        <w:pStyle w:val="PargrafodaLista"/>
        <w:numPr>
          <w:ilvl w:val="0"/>
          <w:numId w:val="2"/>
        </w:numPr>
        <w:spacing w:before="240" w:after="0" w:line="360" w:lineRule="auto"/>
        <w:jc w:val="both"/>
        <w:outlineLvl w:val="0"/>
        <w:rPr>
          <w:rFonts w:ascii="Times New Roman" w:hAnsi="Times New Roman" w:cs="Times New Roman"/>
          <w:b/>
          <w:bCs/>
          <w:sz w:val="24"/>
          <w:szCs w:val="24"/>
        </w:rPr>
      </w:pPr>
      <w:bookmarkStart w:id="2" w:name="_Toc196913793"/>
      <w:r w:rsidRPr="00025401">
        <w:rPr>
          <w:rFonts w:ascii="Times New Roman" w:hAnsi="Times New Roman" w:cs="Times New Roman"/>
          <w:b/>
          <w:bCs/>
          <w:sz w:val="24"/>
          <w:szCs w:val="24"/>
        </w:rPr>
        <w:t>RESULTADOS</w:t>
      </w:r>
      <w:bookmarkEnd w:id="2"/>
    </w:p>
    <w:p w14:paraId="7EEB8FD6" w14:textId="141CAAB5" w:rsidR="00AF255F" w:rsidRPr="00AF255F" w:rsidRDefault="00336BA2" w:rsidP="00AF255F">
      <w:pPr>
        <w:spacing w:after="0" w:line="360" w:lineRule="auto"/>
        <w:ind w:firstLine="709"/>
        <w:jc w:val="both"/>
        <w:rPr>
          <w:rFonts w:ascii="Times New Roman" w:hAnsi="Times New Roman" w:cs="Times New Roman"/>
          <w:sz w:val="24"/>
          <w:szCs w:val="24"/>
        </w:rPr>
      </w:pPr>
      <w:r w:rsidRPr="00336BA2">
        <w:rPr>
          <w:rFonts w:ascii="Times New Roman" w:hAnsi="Times New Roman" w:cs="Times New Roman"/>
          <w:sz w:val="24"/>
          <w:szCs w:val="24"/>
        </w:rPr>
        <w:t>A</w:t>
      </w:r>
      <w:r w:rsidR="00AF255F" w:rsidRPr="00AF255F">
        <w:rPr>
          <w:rFonts w:ascii="Times New Roman" w:hAnsi="Times New Roman" w:cs="Times New Roman"/>
          <w:sz w:val="24"/>
          <w:szCs w:val="24"/>
        </w:rPr>
        <w:t xml:space="preserve"> análise dos 9 artigos selecionados revelou padrões consistentes quanto à percepção da CELAC como uma alternativa mais legítima e eficaz em relação à OEA na gestão de temas estratégicos da agenda latino-americana. Os estudos destacam a capacidade da CELAC de articular consensos políticos com base em princípios de autonomia, soberania e solidariedade, o que se reflete em sua aceitação mais ampla por parte dos Estados da região.</w:t>
      </w:r>
    </w:p>
    <w:p w14:paraId="2DFA05C5"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No eixo da integração regional, os trabalhos apontam que a CELAC conseguiu reunir todos os 33 países da América Latina e Caribe, promovendo fóruns de diálogo sem a presença de potências extra-regionais. Isso permitiu o avanço de propostas de integração baseadas na cooperação Sul-Sul, desenvolvimento sustentável e respeito às particularidades políticas dos países membros. A OEA, em contrapartida, é vista como limitada nesse aspecto, por depender da influência de países do Norte e reproduzir assimetrias históricas (Castro, 2015).</w:t>
      </w:r>
    </w:p>
    <w:p w14:paraId="6BBC2850"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 xml:space="preserve">Vários autores destacaram documentos oficiais da CELAC, como a </w:t>
      </w:r>
      <w:r w:rsidRPr="00AF255F">
        <w:rPr>
          <w:rFonts w:ascii="Times New Roman" w:hAnsi="Times New Roman" w:cs="Times New Roman"/>
          <w:b/>
          <w:bCs/>
          <w:sz w:val="24"/>
          <w:szCs w:val="24"/>
        </w:rPr>
        <w:t>Declaração de Caracas (2011)</w:t>
      </w:r>
      <w:r w:rsidRPr="00AF255F">
        <w:rPr>
          <w:rFonts w:ascii="Times New Roman" w:hAnsi="Times New Roman" w:cs="Times New Roman"/>
          <w:sz w:val="24"/>
          <w:szCs w:val="24"/>
        </w:rPr>
        <w:t xml:space="preserve">, que estabeleceu compromissos concretos em áreas como segurança alimentar, </w:t>
      </w:r>
      <w:r w:rsidRPr="00AF255F">
        <w:rPr>
          <w:rFonts w:ascii="Times New Roman" w:hAnsi="Times New Roman" w:cs="Times New Roman"/>
          <w:sz w:val="24"/>
          <w:szCs w:val="24"/>
        </w:rPr>
        <w:lastRenderedPageBreak/>
        <w:t>saúde, educação e infraestrutura (Jung, 2015). Esses registros mostram a intenção da CELAC de se consolidar como um espaço de formulação e execução de políticas regionais integradas. A OEA, embora possua uma estrutura institucional mais robusta, não tem conseguido gerar iniciativas de igual abrangência e com apoio unânime.</w:t>
      </w:r>
    </w:p>
    <w:p w14:paraId="2C63656C"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No campo da mediação de conflitos, os artigos analisados citaram episódios em que a CELAC, direta ou por meio de mecanismos predecessores como o Grupo do Rio, atuou de forma eficaz na resolução de tensões regionais. Casos como o conflito Colômbia–Venezuela (2008), o golpe de Estado no Equador (2010) e a crise da Bolívia (2008) foram abordados como exemplos de diplomacia multilateral bem-sucedida (Luigi Júnior, 2017). Já a OEA foi criticada por sua inação ou parcialidade em episódios como o golpe em Honduras (2009) e a crise da Venezuela (Lima, 2013).</w:t>
      </w:r>
    </w:p>
    <w:p w14:paraId="7C36AA7C"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Além disso, os estudos revelam que a CELAC possui uma abordagem mais horizontal e respeitosa à autodeterminação dos povos. A OEA, por sua vez, tem sido acusada de usar cláusulas como a “Carta Democrática Interamericana” para exercer pressões políticas que favorecem determinados governos ou interesses externos, sobretudo norte-americanos (Castro, 2015).</w:t>
      </w:r>
    </w:p>
    <w:p w14:paraId="58375779"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Em termos de garantia da soberania, os artigos demonstraram que a CELAC adota uma postura abertamente anti-intervencionista. Sua inclusão de Cuba, país excluído da OEA por mais de quatro décadas, e seu apoio reiterado à Argentina na questão das Ilhas Malvinas, são apontados como indicadores de um compromisso com a independência política da região. A OEA, em contraste, historicamente legitimou intervenções militares e econômicas sob o pretexto de defesa da democracia.</w:t>
      </w:r>
    </w:p>
    <w:p w14:paraId="5E23A3AF"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Outro dado relevante diz respeito ao reconhecimento internacional da CELAC como interlocutora legítima. A comunidade europeia, a China e outros atores globais têm ampliado suas relações com o bloco latino-caribenho, participando de cúpulas conjuntas e acordos de cooperação que reforçam sua presença geopolítica.</w:t>
      </w:r>
    </w:p>
    <w:p w14:paraId="184B4B8A"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Os autores também apontam como ponto positivo da CELAC sua flexibilidade institucional. Ao não ter uma estrutura centralizada e burocrática como a OEA, consegue maior agilidade nas respostas diplomáticas e maior adesão entre os membros. Essa flexibilidade, contudo, é vista por alguns como um desafio para a institucionalização de políticas de longo prazo.</w:t>
      </w:r>
    </w:p>
    <w:p w14:paraId="194F7F63" w14:textId="0439354A" w:rsidR="00336BA2" w:rsidRPr="00336BA2"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lastRenderedPageBreak/>
        <w:t>Por fim, a análise comparativa mostrou que a CELAC apresenta um projeto regional baseado em inclusão, pluralidade e soberania, enquanto a OEA permanece associada a uma lógica hemisférica centrada na tutela dos Estados Unidos.</w:t>
      </w:r>
    </w:p>
    <w:p w14:paraId="4DFB185C" w14:textId="38A4704B" w:rsidR="00336BA2" w:rsidRPr="00025401" w:rsidRDefault="00025401" w:rsidP="003C553C">
      <w:pPr>
        <w:pStyle w:val="PargrafodaLista"/>
        <w:numPr>
          <w:ilvl w:val="0"/>
          <w:numId w:val="2"/>
        </w:numPr>
        <w:spacing w:before="240" w:after="0" w:line="360" w:lineRule="auto"/>
        <w:jc w:val="both"/>
        <w:outlineLvl w:val="0"/>
        <w:rPr>
          <w:rFonts w:ascii="Times New Roman" w:hAnsi="Times New Roman" w:cs="Times New Roman"/>
          <w:b/>
          <w:bCs/>
          <w:sz w:val="24"/>
          <w:szCs w:val="24"/>
        </w:rPr>
      </w:pPr>
      <w:bookmarkStart w:id="3" w:name="_Toc196913794"/>
      <w:r w:rsidRPr="00025401">
        <w:rPr>
          <w:rFonts w:ascii="Times New Roman" w:hAnsi="Times New Roman" w:cs="Times New Roman"/>
          <w:b/>
          <w:bCs/>
          <w:sz w:val="24"/>
          <w:szCs w:val="24"/>
        </w:rPr>
        <w:t>DISCUSSÃO</w:t>
      </w:r>
      <w:bookmarkEnd w:id="3"/>
    </w:p>
    <w:p w14:paraId="010737CD" w14:textId="1DF5624F"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Os resultados obtidos confirmam a hipótese de que a CELAC tem desempenhado um papel mais alinhado com os princípios de soberania e autodeterminação dos povos latino-americanos, quando comparada à OEA. Essa constatação está em consonância com o processo histórico de contestação à hegemonia estadunidense nas Américas e com o desejo de construção de uma integração regional mais autônoma e solidária (Castro, 2015).</w:t>
      </w:r>
    </w:p>
    <w:p w14:paraId="0CF45711"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Ao longo dos artigos analisados, fica evidente que a OEA enfrenta uma crise de legitimidade diante dos seus próprios membros. A sua atuação, frequentemente marcada por posicionamentos unilaterais e omissões estratégicas, fragilizou sua imagem como organismo imparcial (Lima, 2013). Em contrapartida, a CELAC vem consolidando uma identidade diplomática baseada no multilateralismo equitativo, apesar de ainda estar em processo de consolidação institucional (Jung, 2015).</w:t>
      </w:r>
    </w:p>
    <w:p w14:paraId="14BCE55F"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 discussão também permite refletir sobre os limites estruturais de cada organização. A OEA possui um aparato burocrático estabelecido, secretarias permanentes, representação legal e orçamento próprio. Já a CELAC opera de maneira mais descentralizada e informal, o que lhe confere flexibilidade, mas também dificulta a execução de políticas sistemáticas. No entanto, a natureza leve da CELAC pode ser uma vantagem frente a cenários políticos voláteis (Hamerski, 2018).</w:t>
      </w:r>
    </w:p>
    <w:p w14:paraId="2DB82359"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Outro ponto relevante diz respeito ao campo da cooperação internacional. A CELAC tem sido valorizada como interlocutora legítima em negociações internacionais por atores externos que desejam dialogar com a América Latina de forma plural (Pereira, 2017). A OEA, embora tradicionalmente respeitada em termos diplomáticos, vem perdendo espaço por sua percepção de parcialidade e desatualização em relação aos novos paradigmas geopolíticos do século XXI (Castro, 2015).</w:t>
      </w:r>
    </w:p>
    <w:p w14:paraId="0C30E783"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 análise crítica também aponta para a necessidade de fortalecimento institucional da CELAC. Apesar de suas qualidades, a falta de um secretariado permanente ou mecanismos jurídicos vinculantes limita sua capacidade de implementação de ações de médio e longo prazo. Essa lacuna pode ser preenchida com estratégias de articulação regional e avanços em marcos normativos compartilhados.</w:t>
      </w:r>
    </w:p>
    <w:p w14:paraId="4B2E4413"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lastRenderedPageBreak/>
        <w:t>Alguns autores sugerem que a coexistência das duas organizações pode ser estratégica, desde que haja uma clara definição de competências e esferas de atuação. A CELAC poderia concentrar-se em agendas políticas, sociais e de cooperação econômica, enquanto a OEA manteria sua função em temas técnicos e de segurança. No entanto, essa complementaridade ainda não se concretizou na prática (Lima, 2013).</w:t>
      </w:r>
    </w:p>
    <w:p w14:paraId="48F666EE"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O papel do Brasil, do México e da Argentina como lideranças regionais também foi debatido. Tais países desempenham papel central tanto na OEA quanto na CELAC, e suas posturas políticas podem influenciar decisivamente o rumo das duas instituições. A oscilação de governos progressistas e conservadores em países-chave impacta diretamente a coesão e a continuidade das agendas regionais (Jung, 2015).</w:t>
      </w:r>
    </w:p>
    <w:p w14:paraId="2FD78856"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 discussão também abordou a percepção da CELAC como ferramenta de projeção de poder suave (“soft power”) da América Latina no sistema internacional. Sua retórica anti-hegemônica, associada ao discurso de integração solidária, tem ganhado ressonância entre países do Sul Global (Castro, 2015). No entanto, a efetividade concreta dessas intenções depende de vontade política e institucionalização.</w:t>
      </w:r>
    </w:p>
    <w:p w14:paraId="08AC2D1B" w14:textId="6314545D" w:rsidR="00336BA2" w:rsidRPr="00336BA2"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Por fim, os estudos alertam para o risco de fragmentação regional, caso a CELAC não consiga se manter como espaço de convergência política. Para que seu projeto de integração se consolide, será necessário construir mecanismos de monitoramento, financiamento e implementação de políticas que envolvam todos os países membros e respeitem a diversidade interna da região.</w:t>
      </w:r>
    </w:p>
    <w:p w14:paraId="6D316BB4" w14:textId="76B1F818" w:rsidR="00336BA2" w:rsidRPr="00025401" w:rsidRDefault="00025401" w:rsidP="003C553C">
      <w:pPr>
        <w:pStyle w:val="PargrafodaLista"/>
        <w:numPr>
          <w:ilvl w:val="0"/>
          <w:numId w:val="2"/>
        </w:numPr>
        <w:spacing w:before="240" w:after="0" w:line="360" w:lineRule="auto"/>
        <w:jc w:val="both"/>
        <w:outlineLvl w:val="0"/>
        <w:rPr>
          <w:rFonts w:ascii="Times New Roman" w:hAnsi="Times New Roman" w:cs="Times New Roman"/>
          <w:b/>
          <w:bCs/>
          <w:sz w:val="24"/>
          <w:szCs w:val="24"/>
        </w:rPr>
      </w:pPr>
      <w:bookmarkStart w:id="4" w:name="_Toc196913795"/>
      <w:r w:rsidRPr="00025401">
        <w:rPr>
          <w:rFonts w:ascii="Times New Roman" w:hAnsi="Times New Roman" w:cs="Times New Roman"/>
          <w:b/>
          <w:bCs/>
          <w:sz w:val="24"/>
          <w:szCs w:val="24"/>
        </w:rPr>
        <w:t>CONCLUSÃO</w:t>
      </w:r>
      <w:bookmarkEnd w:id="4"/>
    </w:p>
    <w:p w14:paraId="18E62579" w14:textId="56528144"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Com base na revisão integrativa realizada, pode-se concluir que a CELAC representa um esforço regional significativo de construção de uma nova arquitetura institucional na América Latina e Caribe, fundamentada em princípios de soberania, pluralidade e integração solidária (Castro, 2015; Pereira, 2017). Apesar de suas limitações estruturais, a CELAC tem demonstrado maior legitimidade e capacidade de articulação frente a desafios regionais, especialmente quando comparada à OEA (Hamerski, 2018).</w:t>
      </w:r>
    </w:p>
    <w:p w14:paraId="5038471B"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Os resultados indicam que, nos três eixos analisados — integração regional, mediação de conflitos e garantia da soberania —, a CELAC tem se mostrado mais alinhada aos interesses dos Estados latino-americanos. Isso se expressa tanto em sua composição exclusivamente regional quanto na forma como conduz suas declarações e ações diplomáticas (Jung, 2015).</w:t>
      </w:r>
    </w:p>
    <w:p w14:paraId="1A0CC0D6"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 xml:space="preserve">A OEA, por outro lado, tem enfrentado crescente desgaste e questionamentos internos quanto à sua parcialidade e à sua vinculação com a política externa dos Estados Unidos. Sua </w:t>
      </w:r>
      <w:r w:rsidRPr="00AF255F">
        <w:rPr>
          <w:rFonts w:ascii="Times New Roman" w:hAnsi="Times New Roman" w:cs="Times New Roman"/>
          <w:sz w:val="24"/>
          <w:szCs w:val="24"/>
        </w:rPr>
        <w:lastRenderedPageBreak/>
        <w:t>postura em crises recentes, como a da Venezuela e da Bolívia, expôs limitações em atuar como mediadora neutra e confiável (Lima, 2013; Luigi Júnior, 2017).</w:t>
      </w:r>
    </w:p>
    <w:p w14:paraId="764E860A"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 análise revela que o regionalismo latino-americano está em processo de reconstrução, buscando modelos mais autônomos e representativos. A CELAC, nesse sentido, pode ser entendida como uma inovação institucional com potencial para protagonizar a integração do continente de maneira mais equitativa e cooperativa (Castro, 2015; Lima, 2013).</w:t>
      </w:r>
    </w:p>
    <w:p w14:paraId="3D792598"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Contudo, é fundamental reconhecer que o fortalecimento da CELAC dependerá da continuidade do apoio político de seus membros, do desenvolvimento de mecanismos institucionais mais estáveis e da construção de consensos em meio à diversidade política da região. O futuro da integração latino-americana está intrinsecamente ligado à capacidade de organismos como a CELAC de se consolidarem.</w:t>
      </w:r>
    </w:p>
    <w:p w14:paraId="6BA40AB6"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Este estudo contribui para o debate sobre a governança regional na América Latina ao oferecer uma análise crítica baseada em evidências, indicando caminhos possíveis para o aprimoramento das políticas de cooperação intergovernamental. Também reforça a necessidade de repensar o papel das instituições multilaterais tradicionais à luz das novas demandas regionais (Hamerski, 2018).</w:t>
      </w:r>
    </w:p>
    <w:p w14:paraId="0F3BE7CC"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Como limitação, reconhece-se que o estudo não incorporou entrevistas com diplomatas ou análise direta de documentos não publicados, o que poderia ampliar a compreensão sobre os bastidores das decisões políticas. Isso sugere a importância de investigações futuras com abordagem qualitativa ou documental mais profunda.</w:t>
      </w:r>
    </w:p>
    <w:p w14:paraId="0838445F" w14:textId="77777777" w:rsidR="00AF255F" w:rsidRPr="00AF255F"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A revisão integrativa aqui apresentada é relevante tanto para pesquisadores da área de Relações Internacionais quanto para formuladores de políticas públicas. Compreender os limites e possibilidades das organizações regionais é essencial para fortalecer a diplomacia e a integração no hemisfério sul.</w:t>
      </w:r>
    </w:p>
    <w:p w14:paraId="25F4C9CC" w14:textId="737B254A" w:rsidR="00336BA2" w:rsidRPr="00336BA2" w:rsidRDefault="00AF255F" w:rsidP="00AF255F">
      <w:pPr>
        <w:spacing w:after="0" w:line="360" w:lineRule="auto"/>
        <w:ind w:firstLine="709"/>
        <w:jc w:val="both"/>
        <w:rPr>
          <w:rFonts w:ascii="Times New Roman" w:hAnsi="Times New Roman" w:cs="Times New Roman"/>
          <w:sz w:val="24"/>
          <w:szCs w:val="24"/>
        </w:rPr>
      </w:pPr>
      <w:r w:rsidRPr="00AF255F">
        <w:rPr>
          <w:rFonts w:ascii="Times New Roman" w:hAnsi="Times New Roman" w:cs="Times New Roman"/>
          <w:sz w:val="24"/>
          <w:szCs w:val="24"/>
        </w:rPr>
        <w:t>Recomenda-se, por fim, que os países latino-americanos invistam em uma agenda comum de fortalecimento da CELAC, com ênfase na institucionalização progressiva, na criação de um fundo regional para políticas conjuntas e na promoção de uma identidade latino-americana baseada na solidariedade e na justiça social.</w:t>
      </w:r>
    </w:p>
    <w:p w14:paraId="7D9D58CF" w14:textId="3492EF69" w:rsidR="00336BA2" w:rsidRPr="00336BA2" w:rsidRDefault="00336BA2" w:rsidP="00025401">
      <w:pPr>
        <w:spacing w:after="0" w:line="360" w:lineRule="auto"/>
        <w:jc w:val="both"/>
        <w:rPr>
          <w:rFonts w:ascii="Times New Roman" w:hAnsi="Times New Roman" w:cs="Times New Roman"/>
          <w:sz w:val="24"/>
          <w:szCs w:val="24"/>
        </w:rPr>
      </w:pPr>
      <w:r w:rsidRPr="00336BA2">
        <w:rPr>
          <w:rFonts w:ascii="Times New Roman" w:hAnsi="Times New Roman" w:cs="Times New Roman"/>
          <w:sz w:val="24"/>
          <w:szCs w:val="24"/>
        </w:rPr>
        <w:br w:type="page"/>
      </w:r>
    </w:p>
    <w:p w14:paraId="2FF93692" w14:textId="77777777" w:rsidR="00731168" w:rsidRDefault="00731168" w:rsidP="0073116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REFERÊNCIAS</w:t>
      </w:r>
    </w:p>
    <w:p w14:paraId="3525A08F" w14:textId="57E305F0" w:rsidR="00731168" w:rsidRP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CASTRO, Nils. </w:t>
      </w:r>
      <w:r w:rsidRPr="00731168">
        <w:rPr>
          <w:rFonts w:ascii="Times New Roman" w:eastAsia="Times New Roman" w:hAnsi="Times New Roman" w:cs="Times New Roman"/>
          <w:b/>
          <w:bCs/>
          <w:kern w:val="0"/>
          <w:sz w:val="24"/>
          <w:szCs w:val="24"/>
          <w:lang w:eastAsia="pt-BR"/>
          <w14:ligatures w14:val="none"/>
        </w:rPr>
        <w:t>América Latina e Caribe: integração emancipadora ou neocolonial.</w:t>
      </w:r>
      <w:r w:rsidRPr="00731168">
        <w:rPr>
          <w:rFonts w:ascii="Times New Roman" w:eastAsia="Times New Roman" w:hAnsi="Times New Roman" w:cs="Times New Roman"/>
          <w:kern w:val="0"/>
          <w:sz w:val="24"/>
          <w:szCs w:val="24"/>
          <w:lang w:eastAsia="pt-BR"/>
          <w14:ligatures w14:val="none"/>
        </w:rPr>
        <w:t xml:space="preserve"> Tradução de Wladimir Pomar. São Paulo: Fundação Perseu Abramo, 2015. 198 p. Disponível em: https://fpabramo.org.br/editora/wp-content/uploads/sites/17/2017/05/America-Latina-Nils-web.pdf. Acesso em: 02 abr. 2025.​ </w:t>
      </w:r>
    </w:p>
    <w:p w14:paraId="7F8D652A" w14:textId="1878DBA7" w:rsidR="00731168" w:rsidRP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GONÇALVES, Felipe Teixeira. </w:t>
      </w:r>
      <w:r w:rsidRPr="00731168">
        <w:rPr>
          <w:rFonts w:ascii="Times New Roman" w:eastAsia="Times New Roman" w:hAnsi="Times New Roman" w:cs="Times New Roman"/>
          <w:b/>
          <w:bCs/>
          <w:kern w:val="0"/>
          <w:sz w:val="24"/>
          <w:szCs w:val="24"/>
          <w:lang w:eastAsia="pt-BR"/>
          <w14:ligatures w14:val="none"/>
        </w:rPr>
        <w:t>A CELAC, o SELA e a agenda do Brasil para a América Latina e Caribe.</w:t>
      </w:r>
      <w:r w:rsidRPr="00731168">
        <w:rPr>
          <w:rFonts w:ascii="Times New Roman" w:eastAsia="Times New Roman" w:hAnsi="Times New Roman" w:cs="Times New Roman"/>
          <w:kern w:val="0"/>
          <w:sz w:val="24"/>
          <w:szCs w:val="24"/>
          <w:lang w:eastAsia="pt-BR"/>
          <w14:ligatures w14:val="none"/>
        </w:rPr>
        <w:t xml:space="preserve"> </w:t>
      </w:r>
      <w:r w:rsidRPr="00731168">
        <w:rPr>
          <w:rFonts w:ascii="Times New Roman" w:eastAsia="Times New Roman" w:hAnsi="Times New Roman" w:cs="Times New Roman"/>
          <w:i/>
          <w:iCs/>
          <w:kern w:val="0"/>
          <w:sz w:val="24"/>
          <w:szCs w:val="24"/>
          <w:lang w:eastAsia="pt-BR"/>
          <w14:ligatures w14:val="none"/>
        </w:rPr>
        <w:t>Boletim de Economia e Política Internacional</w:t>
      </w:r>
      <w:r w:rsidRPr="00731168">
        <w:rPr>
          <w:rFonts w:ascii="Times New Roman" w:eastAsia="Times New Roman" w:hAnsi="Times New Roman" w:cs="Times New Roman"/>
          <w:kern w:val="0"/>
          <w:sz w:val="24"/>
          <w:szCs w:val="24"/>
          <w:lang w:eastAsia="pt-BR"/>
          <w14:ligatures w14:val="none"/>
        </w:rPr>
        <w:t xml:space="preserve">, n. 8, p. 1–20, 2013. Disponível em: </w:t>
      </w:r>
      <w:hyperlink r:id="rId10" w:tgtFrame="_new" w:history="1">
        <w:r w:rsidRPr="00731168">
          <w:rPr>
            <w:rFonts w:ascii="Times New Roman" w:eastAsia="Times New Roman" w:hAnsi="Times New Roman" w:cs="Times New Roman"/>
            <w:kern w:val="0"/>
            <w:sz w:val="24"/>
            <w:szCs w:val="24"/>
            <w:lang w:eastAsia="pt-BR"/>
            <w14:ligatures w14:val="none"/>
          </w:rPr>
          <w:t>https://repositorio.ipea.gov.br/bitstream/11058/3352/5/bepi_08_Celac.pdf</w:t>
        </w:r>
      </w:hyperlink>
      <w:r w:rsidRPr="00731168">
        <w:rPr>
          <w:rFonts w:ascii="Times New Roman" w:eastAsia="Times New Roman" w:hAnsi="Times New Roman" w:cs="Times New Roman"/>
          <w:kern w:val="0"/>
          <w:sz w:val="24"/>
          <w:szCs w:val="24"/>
          <w:lang w:eastAsia="pt-BR"/>
          <w14:ligatures w14:val="none"/>
        </w:rPr>
        <w:t xml:space="preserve">. Acesso em: 28 abr. 2025. </w:t>
      </w:r>
    </w:p>
    <w:p w14:paraId="6E6EE694" w14:textId="3E2B337B" w:rsidR="00731168" w:rsidRP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GRANATO, Leonardo; BATISTA, Ian Rebouças. </w:t>
      </w:r>
      <w:r w:rsidRPr="00731168">
        <w:rPr>
          <w:rFonts w:ascii="Times New Roman" w:eastAsia="Times New Roman" w:hAnsi="Times New Roman" w:cs="Times New Roman"/>
          <w:b/>
          <w:bCs/>
          <w:kern w:val="0"/>
          <w:sz w:val="24"/>
          <w:szCs w:val="24"/>
          <w:lang w:eastAsia="pt-BR"/>
          <w14:ligatures w14:val="none"/>
        </w:rPr>
        <w:t>Estado, autonomia e integração regional na América Latina.</w:t>
      </w:r>
      <w:r w:rsidRPr="00731168">
        <w:rPr>
          <w:rFonts w:ascii="Times New Roman" w:eastAsia="Times New Roman" w:hAnsi="Times New Roman" w:cs="Times New Roman"/>
          <w:kern w:val="0"/>
          <w:sz w:val="24"/>
          <w:szCs w:val="24"/>
          <w:lang w:eastAsia="pt-BR"/>
          <w14:ligatures w14:val="none"/>
        </w:rPr>
        <w:t xml:space="preserve"> </w:t>
      </w:r>
      <w:r w:rsidRPr="00731168">
        <w:rPr>
          <w:rFonts w:ascii="Times New Roman" w:eastAsia="Times New Roman" w:hAnsi="Times New Roman" w:cs="Times New Roman"/>
          <w:i/>
          <w:iCs/>
          <w:kern w:val="0"/>
          <w:sz w:val="24"/>
          <w:szCs w:val="24"/>
          <w:lang w:eastAsia="pt-BR"/>
          <w14:ligatures w14:val="none"/>
        </w:rPr>
        <w:t>Latinoamérica. Revista de Estudios Latinoamericanos</w:t>
      </w:r>
      <w:r w:rsidRPr="00731168">
        <w:rPr>
          <w:rFonts w:ascii="Times New Roman" w:eastAsia="Times New Roman" w:hAnsi="Times New Roman" w:cs="Times New Roman"/>
          <w:kern w:val="0"/>
          <w:sz w:val="24"/>
          <w:szCs w:val="24"/>
          <w:lang w:eastAsia="pt-BR"/>
          <w14:ligatures w14:val="none"/>
        </w:rPr>
        <w:t xml:space="preserve">, n. 66, p. 261–285, 2018. Disponível em: </w:t>
      </w:r>
      <w:hyperlink r:id="rId11" w:tgtFrame="_new" w:history="1">
        <w:r w:rsidRPr="00731168">
          <w:rPr>
            <w:rFonts w:ascii="Times New Roman" w:eastAsia="Times New Roman" w:hAnsi="Times New Roman" w:cs="Times New Roman"/>
            <w:kern w:val="0"/>
            <w:sz w:val="24"/>
            <w:szCs w:val="24"/>
            <w:lang w:eastAsia="pt-BR"/>
            <w14:ligatures w14:val="none"/>
          </w:rPr>
          <w:t>https://www.scielo.org.mx/scielo.php?pid=S1665-85742018000100261&amp;script=sci_arttext</w:t>
        </w:r>
      </w:hyperlink>
      <w:r w:rsidRPr="00731168">
        <w:rPr>
          <w:rFonts w:ascii="Times New Roman" w:eastAsia="Times New Roman" w:hAnsi="Times New Roman" w:cs="Times New Roman"/>
          <w:kern w:val="0"/>
          <w:sz w:val="24"/>
          <w:szCs w:val="24"/>
          <w:lang w:eastAsia="pt-BR"/>
          <w14:ligatures w14:val="none"/>
        </w:rPr>
        <w:t xml:space="preserve">. Acesso em: 25 mar. 2025.​ </w:t>
      </w:r>
    </w:p>
    <w:p w14:paraId="2F90B261" w14:textId="5CF68B62" w:rsidR="00731168" w:rsidRP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HAMERSKI, Bruna. </w:t>
      </w:r>
      <w:r w:rsidRPr="00731168">
        <w:rPr>
          <w:rFonts w:ascii="Times New Roman" w:eastAsia="Times New Roman" w:hAnsi="Times New Roman" w:cs="Times New Roman"/>
          <w:b/>
          <w:bCs/>
          <w:kern w:val="0"/>
          <w:sz w:val="24"/>
          <w:szCs w:val="24"/>
          <w:lang w:eastAsia="pt-BR"/>
          <w14:ligatures w14:val="none"/>
        </w:rPr>
        <w:t xml:space="preserve">A estrutura institucional dos principais blocos latino-americanos e seus impactos na integração regional. </w:t>
      </w:r>
      <w:r w:rsidRPr="00731168">
        <w:rPr>
          <w:rFonts w:ascii="Times New Roman" w:eastAsia="Times New Roman" w:hAnsi="Times New Roman" w:cs="Times New Roman"/>
          <w:i/>
          <w:iCs/>
          <w:kern w:val="0"/>
          <w:sz w:val="24"/>
          <w:szCs w:val="24"/>
          <w:lang w:eastAsia="pt-BR"/>
          <w14:ligatures w14:val="none"/>
        </w:rPr>
        <w:t>Interlegere: Revista de Estudos Legislativos e Políticos</w:t>
      </w:r>
      <w:r w:rsidRPr="00731168">
        <w:rPr>
          <w:rFonts w:ascii="Times New Roman" w:eastAsia="Times New Roman" w:hAnsi="Times New Roman" w:cs="Times New Roman"/>
          <w:kern w:val="0"/>
          <w:sz w:val="24"/>
          <w:szCs w:val="24"/>
          <w:lang w:eastAsia="pt-BR"/>
          <w14:ligatures w14:val="none"/>
        </w:rPr>
        <w:t xml:space="preserve">, v. 1, n. 1, p. 1–20, 2018. Disponível em: </w:t>
      </w:r>
      <w:hyperlink r:id="rId12" w:tgtFrame="_new" w:history="1">
        <w:r w:rsidRPr="00731168">
          <w:rPr>
            <w:rFonts w:ascii="Times New Roman" w:eastAsia="Times New Roman" w:hAnsi="Times New Roman" w:cs="Times New Roman"/>
            <w:kern w:val="0"/>
            <w:sz w:val="24"/>
            <w:szCs w:val="24"/>
            <w:lang w:eastAsia="pt-BR"/>
            <w14:ligatures w14:val="none"/>
          </w:rPr>
          <w:t>https://periodicos.ufrn.br/interlegere/article/view/27916</w:t>
        </w:r>
      </w:hyperlink>
      <w:r w:rsidRPr="00731168">
        <w:rPr>
          <w:rFonts w:ascii="Times New Roman" w:eastAsia="Times New Roman" w:hAnsi="Times New Roman" w:cs="Times New Roman"/>
          <w:kern w:val="0"/>
          <w:sz w:val="24"/>
          <w:szCs w:val="24"/>
          <w:lang w:eastAsia="pt-BR"/>
          <w14:ligatures w14:val="none"/>
        </w:rPr>
        <w:t xml:space="preserve">. Acesso em: 30 abr. 2025.​ </w:t>
      </w:r>
    </w:p>
    <w:p w14:paraId="5D17FB65" w14:textId="43DFCF1E" w:rsidR="00731168" w:rsidRP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JUNG, João Henrique Salles. </w:t>
      </w:r>
      <w:r w:rsidRPr="00731168">
        <w:rPr>
          <w:rFonts w:ascii="Times New Roman" w:eastAsia="Times New Roman" w:hAnsi="Times New Roman" w:cs="Times New Roman"/>
          <w:b/>
          <w:bCs/>
          <w:kern w:val="0"/>
          <w:sz w:val="24"/>
          <w:szCs w:val="24"/>
          <w:lang w:eastAsia="pt-BR"/>
          <w14:ligatures w14:val="none"/>
        </w:rPr>
        <w:t>O papel da CELAC no processo de integração latino-americano e na inserção internacional do Brasil.</w:t>
      </w:r>
      <w:r w:rsidRPr="00731168">
        <w:rPr>
          <w:rFonts w:ascii="Times New Roman" w:eastAsia="Times New Roman" w:hAnsi="Times New Roman" w:cs="Times New Roman"/>
          <w:kern w:val="0"/>
          <w:sz w:val="24"/>
          <w:szCs w:val="24"/>
          <w:lang w:eastAsia="pt-BR"/>
          <w14:ligatures w14:val="none"/>
        </w:rPr>
        <w:t xml:space="preserve"> </w:t>
      </w:r>
      <w:r w:rsidRPr="00731168">
        <w:rPr>
          <w:rFonts w:ascii="Times New Roman" w:eastAsia="Times New Roman" w:hAnsi="Times New Roman" w:cs="Times New Roman"/>
          <w:i/>
          <w:iCs/>
          <w:kern w:val="0"/>
          <w:sz w:val="24"/>
          <w:szCs w:val="24"/>
          <w:lang w:eastAsia="pt-BR"/>
          <w14:ligatures w14:val="none"/>
        </w:rPr>
        <w:t>Revista de Iniciação Científica em Relações Internacionais</w:t>
      </w:r>
      <w:r w:rsidRPr="00731168">
        <w:rPr>
          <w:rFonts w:ascii="Times New Roman" w:eastAsia="Times New Roman" w:hAnsi="Times New Roman" w:cs="Times New Roman"/>
          <w:kern w:val="0"/>
          <w:sz w:val="24"/>
          <w:szCs w:val="24"/>
          <w:lang w:eastAsia="pt-BR"/>
          <w14:ligatures w14:val="none"/>
        </w:rPr>
        <w:t xml:space="preserve">, v. 5, n. 9, p. 27–56, 2015. Disponível em: </w:t>
      </w:r>
      <w:hyperlink r:id="rId13" w:tgtFrame="_new" w:history="1">
        <w:r w:rsidRPr="00731168">
          <w:rPr>
            <w:rFonts w:ascii="Times New Roman" w:eastAsia="Times New Roman" w:hAnsi="Times New Roman" w:cs="Times New Roman"/>
            <w:kern w:val="0"/>
            <w:sz w:val="24"/>
            <w:szCs w:val="24"/>
            <w:lang w:eastAsia="pt-BR"/>
            <w14:ligatures w14:val="none"/>
          </w:rPr>
          <w:t>https://periodicos.ufpb.br/ojs/index.php/ricri/article/view/30948/19223</w:t>
        </w:r>
      </w:hyperlink>
      <w:r w:rsidRPr="00731168">
        <w:rPr>
          <w:rFonts w:ascii="Times New Roman" w:eastAsia="Times New Roman" w:hAnsi="Times New Roman" w:cs="Times New Roman"/>
          <w:kern w:val="0"/>
          <w:sz w:val="24"/>
          <w:szCs w:val="24"/>
          <w:lang w:eastAsia="pt-BR"/>
          <w14:ligatures w14:val="none"/>
        </w:rPr>
        <w:t xml:space="preserve">. Acesso em: 30 abr. 2025.​ </w:t>
      </w:r>
    </w:p>
    <w:p w14:paraId="7C142874" w14:textId="689EFD83" w:rsidR="00731168" w:rsidRP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LIMA, Maria Regina Soares de. </w:t>
      </w:r>
      <w:r w:rsidRPr="00731168">
        <w:rPr>
          <w:rFonts w:ascii="Times New Roman" w:eastAsia="Times New Roman" w:hAnsi="Times New Roman" w:cs="Times New Roman"/>
          <w:b/>
          <w:bCs/>
          <w:kern w:val="0"/>
          <w:sz w:val="24"/>
          <w:szCs w:val="24"/>
          <w:lang w:eastAsia="pt-BR"/>
          <w14:ligatures w14:val="none"/>
        </w:rPr>
        <w:t xml:space="preserve">Relações interamericanas: a nova agenda sul-americana e o Brasil. </w:t>
      </w:r>
      <w:r w:rsidRPr="00731168">
        <w:rPr>
          <w:rFonts w:ascii="Times New Roman" w:eastAsia="Times New Roman" w:hAnsi="Times New Roman" w:cs="Times New Roman"/>
          <w:i/>
          <w:iCs/>
          <w:kern w:val="0"/>
          <w:sz w:val="24"/>
          <w:szCs w:val="24"/>
          <w:lang w:eastAsia="pt-BR"/>
          <w14:ligatures w14:val="none"/>
        </w:rPr>
        <w:t>Lua Nova: Revista de Cultura e Política</w:t>
      </w:r>
      <w:r w:rsidRPr="00731168">
        <w:rPr>
          <w:rFonts w:ascii="Times New Roman" w:eastAsia="Times New Roman" w:hAnsi="Times New Roman" w:cs="Times New Roman"/>
          <w:kern w:val="0"/>
          <w:sz w:val="24"/>
          <w:szCs w:val="24"/>
          <w:lang w:eastAsia="pt-BR"/>
          <w14:ligatures w14:val="none"/>
        </w:rPr>
        <w:t xml:space="preserve">, n. 90, p. 167–201, 2013. Disponível em: </w:t>
      </w:r>
      <w:hyperlink r:id="rId14" w:tgtFrame="_new" w:history="1">
        <w:r w:rsidRPr="00731168">
          <w:rPr>
            <w:rFonts w:ascii="Times New Roman" w:eastAsia="Times New Roman" w:hAnsi="Times New Roman" w:cs="Times New Roman"/>
            <w:kern w:val="0"/>
            <w:sz w:val="24"/>
            <w:szCs w:val="24"/>
            <w:lang w:eastAsia="pt-BR"/>
            <w14:ligatures w14:val="none"/>
          </w:rPr>
          <w:t>https://www.scielo.br/j/ln/a/pPJm99WYYKtBMZV5JxbyPTk/?format=pdf&amp;lang=pt</w:t>
        </w:r>
      </w:hyperlink>
      <w:r w:rsidRPr="00731168">
        <w:rPr>
          <w:rFonts w:ascii="Times New Roman" w:eastAsia="Times New Roman" w:hAnsi="Times New Roman" w:cs="Times New Roman"/>
          <w:kern w:val="0"/>
          <w:sz w:val="24"/>
          <w:szCs w:val="24"/>
          <w:lang w:eastAsia="pt-BR"/>
          <w14:ligatures w14:val="none"/>
        </w:rPr>
        <w:t>. Acesso em: 29 abr. 2025.</w:t>
      </w:r>
    </w:p>
    <w:p w14:paraId="2C60F762" w14:textId="367D1EF5" w:rsidR="00731168" w:rsidRDefault="00731168" w:rsidP="00731168">
      <w:pPr>
        <w:spacing w:before="240" w:after="0" w:line="240" w:lineRule="auto"/>
        <w:rPr>
          <w:rFonts w:ascii="Times New Roman" w:eastAsia="Times New Roman" w:hAnsi="Times New Roman" w:cs="Times New Roman"/>
          <w:kern w:val="0"/>
          <w:sz w:val="24"/>
          <w:szCs w:val="24"/>
          <w:lang w:eastAsia="pt-BR"/>
          <w14:ligatures w14:val="none"/>
        </w:rPr>
      </w:pPr>
      <w:r w:rsidRPr="00731168">
        <w:rPr>
          <w:rFonts w:ascii="Times New Roman" w:eastAsia="Times New Roman" w:hAnsi="Times New Roman" w:cs="Times New Roman"/>
          <w:kern w:val="0"/>
          <w:sz w:val="24"/>
          <w:szCs w:val="24"/>
          <w:lang w:eastAsia="pt-BR"/>
          <w14:ligatures w14:val="none"/>
        </w:rPr>
        <w:t xml:space="preserve">LUIGI JÚNIOR, Ricardo Abrate. </w:t>
      </w:r>
      <w:r w:rsidRPr="00731168">
        <w:rPr>
          <w:rFonts w:ascii="Times New Roman" w:eastAsia="Times New Roman" w:hAnsi="Times New Roman" w:cs="Times New Roman"/>
          <w:b/>
          <w:bCs/>
          <w:kern w:val="0"/>
          <w:sz w:val="24"/>
          <w:szCs w:val="24"/>
          <w:lang w:eastAsia="pt-BR"/>
          <w14:ligatures w14:val="none"/>
        </w:rPr>
        <w:t>A integração regional na América do Sul: a efetividade da União das Nações Sul-Americanas (UNASUL).</w:t>
      </w:r>
      <w:r w:rsidRPr="00731168">
        <w:rPr>
          <w:rFonts w:ascii="Times New Roman" w:eastAsia="Times New Roman" w:hAnsi="Times New Roman" w:cs="Times New Roman"/>
          <w:kern w:val="0"/>
          <w:sz w:val="24"/>
          <w:szCs w:val="24"/>
          <w:lang w:eastAsia="pt-BR"/>
          <w14:ligatures w14:val="none"/>
        </w:rPr>
        <w:t xml:space="preserve"> 2017. Tese (Doutorado em Geografia) – Universidade Estadual de Campinas, Campinas, 2017. Disponível em: </w:t>
      </w:r>
      <w:hyperlink r:id="rId15" w:tgtFrame="_new" w:history="1">
        <w:r w:rsidRPr="00731168">
          <w:rPr>
            <w:rFonts w:ascii="Times New Roman" w:eastAsia="Times New Roman" w:hAnsi="Times New Roman" w:cs="Times New Roman"/>
            <w:kern w:val="0"/>
            <w:sz w:val="24"/>
            <w:szCs w:val="24"/>
            <w:lang w:eastAsia="pt-BR"/>
            <w14:ligatures w14:val="none"/>
          </w:rPr>
          <w:t>https://www.ige.unicamp.br/lagere-gri/wp-content/uploads/sites/59/2022/05/LuigiJunior_RicardoAbrate_D.pdf</w:t>
        </w:r>
      </w:hyperlink>
      <w:r w:rsidRPr="00731168">
        <w:rPr>
          <w:rFonts w:ascii="Times New Roman" w:eastAsia="Times New Roman" w:hAnsi="Times New Roman" w:cs="Times New Roman"/>
          <w:kern w:val="0"/>
          <w:sz w:val="24"/>
          <w:szCs w:val="24"/>
          <w:lang w:eastAsia="pt-BR"/>
          <w14:ligatures w14:val="none"/>
        </w:rPr>
        <w:t>. Acesso em: 02 abr. 2025</w:t>
      </w:r>
      <w:r w:rsidR="006B309F">
        <w:rPr>
          <w:rFonts w:ascii="Times New Roman" w:eastAsia="Times New Roman" w:hAnsi="Times New Roman" w:cs="Times New Roman"/>
          <w:kern w:val="0"/>
          <w:sz w:val="24"/>
          <w:szCs w:val="24"/>
          <w:lang w:eastAsia="pt-BR"/>
          <w14:ligatures w14:val="none"/>
        </w:rPr>
        <w:t>.</w:t>
      </w:r>
    </w:p>
    <w:p w14:paraId="52F192DF" w14:textId="77777777" w:rsidR="006B309F" w:rsidRPr="006B309F" w:rsidRDefault="006B309F" w:rsidP="006B309F">
      <w:pPr>
        <w:spacing w:before="240" w:after="0" w:line="240" w:lineRule="auto"/>
        <w:rPr>
          <w:rFonts w:ascii="Times New Roman" w:eastAsia="Times New Roman" w:hAnsi="Times New Roman" w:cs="Times New Roman"/>
          <w:kern w:val="0"/>
          <w:sz w:val="24"/>
          <w:szCs w:val="24"/>
          <w:lang w:eastAsia="pt-BR"/>
          <w14:ligatures w14:val="none"/>
        </w:rPr>
      </w:pPr>
      <w:r w:rsidRPr="006B309F">
        <w:rPr>
          <w:rFonts w:ascii="Times New Roman" w:eastAsia="Times New Roman" w:hAnsi="Times New Roman" w:cs="Times New Roman"/>
          <w:kern w:val="0"/>
          <w:sz w:val="24"/>
          <w:szCs w:val="24"/>
          <w:lang w:eastAsia="pt-BR"/>
          <w14:ligatures w14:val="none"/>
        </w:rPr>
        <w:t xml:space="preserve">PAGE, Matthew J. et al. </w:t>
      </w:r>
      <w:r w:rsidRPr="006B309F">
        <w:rPr>
          <w:rFonts w:ascii="Times New Roman" w:eastAsia="Times New Roman" w:hAnsi="Times New Roman" w:cs="Times New Roman"/>
          <w:i/>
          <w:iCs/>
          <w:kern w:val="0"/>
          <w:sz w:val="24"/>
          <w:szCs w:val="24"/>
          <w:lang w:eastAsia="pt-BR"/>
          <w14:ligatures w14:val="none"/>
        </w:rPr>
        <w:t xml:space="preserve">The PRISMA 2020 </w:t>
      </w:r>
      <w:r w:rsidRPr="006B309F">
        <w:rPr>
          <w:rFonts w:ascii="Times New Roman" w:eastAsia="Times New Roman" w:hAnsi="Times New Roman" w:cs="Times New Roman"/>
          <w:b/>
          <w:bCs/>
          <w:i/>
          <w:iCs/>
          <w:kern w:val="0"/>
          <w:sz w:val="24"/>
          <w:szCs w:val="24"/>
          <w:lang w:eastAsia="pt-BR"/>
          <w14:ligatures w14:val="none"/>
        </w:rPr>
        <w:t>statement: an updated guideline for reporting systematic reviews</w:t>
      </w:r>
      <w:r w:rsidRPr="006B309F">
        <w:rPr>
          <w:rFonts w:ascii="Times New Roman" w:eastAsia="Times New Roman" w:hAnsi="Times New Roman" w:cs="Times New Roman"/>
          <w:b/>
          <w:bCs/>
          <w:kern w:val="0"/>
          <w:sz w:val="24"/>
          <w:szCs w:val="24"/>
          <w:lang w:eastAsia="pt-BR"/>
          <w14:ligatures w14:val="none"/>
        </w:rPr>
        <w:t>.</w:t>
      </w:r>
      <w:r w:rsidRPr="006B309F">
        <w:rPr>
          <w:rFonts w:ascii="Times New Roman" w:eastAsia="Times New Roman" w:hAnsi="Times New Roman" w:cs="Times New Roman"/>
          <w:kern w:val="0"/>
          <w:sz w:val="24"/>
          <w:szCs w:val="24"/>
          <w:lang w:eastAsia="pt-BR"/>
          <w14:ligatures w14:val="none"/>
        </w:rPr>
        <w:t xml:space="preserve"> BMJ, [s.l.], v. 372, n. 71, p. 1–9, 2021. Disponível em: https://www.bmj.com/content/372/bmj.n71. Acesso em: 30 abr. 2025.</w:t>
      </w:r>
    </w:p>
    <w:p w14:paraId="446E9462" w14:textId="3AFFDDA7" w:rsidR="00731168" w:rsidRPr="00731168" w:rsidRDefault="00731168" w:rsidP="00731168">
      <w:pPr>
        <w:spacing w:before="240" w:after="0" w:line="240" w:lineRule="auto"/>
        <w:rPr>
          <w:rFonts w:ascii="Times New Roman" w:hAnsi="Times New Roman" w:cs="Times New Roman"/>
          <w:b/>
          <w:bCs/>
          <w:sz w:val="24"/>
          <w:szCs w:val="24"/>
        </w:rPr>
      </w:pPr>
      <w:r w:rsidRPr="00731168">
        <w:rPr>
          <w:rFonts w:ascii="Times New Roman" w:eastAsia="Times New Roman" w:hAnsi="Times New Roman" w:cs="Times New Roman"/>
          <w:kern w:val="0"/>
          <w:sz w:val="24"/>
          <w:szCs w:val="24"/>
          <w:lang w:eastAsia="pt-BR"/>
          <w14:ligatures w14:val="none"/>
        </w:rPr>
        <w:t xml:space="preserve">PEREIRA, Francisco Denes. </w:t>
      </w:r>
      <w:r w:rsidRPr="00731168">
        <w:rPr>
          <w:rFonts w:ascii="Times New Roman" w:eastAsia="Times New Roman" w:hAnsi="Times New Roman" w:cs="Times New Roman"/>
          <w:b/>
          <w:bCs/>
          <w:kern w:val="0"/>
          <w:sz w:val="24"/>
          <w:szCs w:val="24"/>
          <w:lang w:eastAsia="pt-BR"/>
          <w14:ligatures w14:val="none"/>
        </w:rPr>
        <w:t>O lugar da América Latina nas relações sul-sul: o papel da Comunidade de Estados Latino-Americanos e Caribenhos (CELAC) na integração latino-americana.</w:t>
      </w:r>
      <w:r w:rsidRPr="00731168">
        <w:rPr>
          <w:rFonts w:ascii="Times New Roman" w:eastAsia="Times New Roman" w:hAnsi="Times New Roman" w:cs="Times New Roman"/>
          <w:kern w:val="0"/>
          <w:sz w:val="24"/>
          <w:szCs w:val="24"/>
          <w:lang w:eastAsia="pt-BR"/>
          <w14:ligatures w14:val="none"/>
        </w:rPr>
        <w:t xml:space="preserve"> </w:t>
      </w:r>
      <w:r w:rsidRPr="00731168">
        <w:rPr>
          <w:rFonts w:ascii="Times New Roman" w:eastAsia="Times New Roman" w:hAnsi="Times New Roman" w:cs="Times New Roman"/>
          <w:i/>
          <w:iCs/>
          <w:kern w:val="0"/>
          <w:sz w:val="24"/>
          <w:szCs w:val="24"/>
          <w:lang w:eastAsia="pt-BR"/>
          <w14:ligatures w14:val="none"/>
        </w:rPr>
        <w:t>Prolam/USP</w:t>
      </w:r>
      <w:r w:rsidRPr="00731168">
        <w:rPr>
          <w:rFonts w:ascii="Times New Roman" w:eastAsia="Times New Roman" w:hAnsi="Times New Roman" w:cs="Times New Roman"/>
          <w:kern w:val="0"/>
          <w:sz w:val="24"/>
          <w:szCs w:val="24"/>
          <w:lang w:eastAsia="pt-BR"/>
          <w14:ligatures w14:val="none"/>
        </w:rPr>
        <w:t xml:space="preserve">, v. 16, n. 31, p. 5–29, 2017. Disponível em: </w:t>
      </w:r>
      <w:hyperlink r:id="rId16" w:tgtFrame="_new" w:history="1">
        <w:r w:rsidRPr="00731168">
          <w:rPr>
            <w:rFonts w:ascii="Times New Roman" w:eastAsia="Times New Roman" w:hAnsi="Times New Roman" w:cs="Times New Roman"/>
            <w:kern w:val="0"/>
            <w:sz w:val="24"/>
            <w:szCs w:val="24"/>
            <w:lang w:eastAsia="pt-BR"/>
            <w14:ligatures w14:val="none"/>
          </w:rPr>
          <w:t>https://www.revistas.usp.br/prolam/article/view/115232</w:t>
        </w:r>
      </w:hyperlink>
      <w:r w:rsidRPr="00731168">
        <w:rPr>
          <w:rFonts w:ascii="Times New Roman" w:eastAsia="Times New Roman" w:hAnsi="Times New Roman" w:cs="Times New Roman"/>
          <w:kern w:val="0"/>
          <w:sz w:val="24"/>
          <w:szCs w:val="24"/>
          <w:lang w:eastAsia="pt-BR"/>
          <w14:ligatures w14:val="none"/>
        </w:rPr>
        <w:t>. Acesso em: 30 abr. 2025.​</w:t>
      </w:r>
    </w:p>
    <w:p w14:paraId="25CA5B9E" w14:textId="77777777" w:rsidR="00731168" w:rsidRDefault="00731168" w:rsidP="0002540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br w:type="page"/>
      </w:r>
    </w:p>
    <w:p w14:paraId="03F75D39" w14:textId="3338D183" w:rsidR="00336BA2" w:rsidRDefault="00336BA2" w:rsidP="00025401">
      <w:pPr>
        <w:spacing w:after="0" w:line="360" w:lineRule="auto"/>
        <w:jc w:val="center"/>
        <w:rPr>
          <w:rFonts w:ascii="Times New Roman" w:hAnsi="Times New Roman" w:cs="Times New Roman"/>
          <w:b/>
          <w:bCs/>
          <w:sz w:val="24"/>
          <w:szCs w:val="24"/>
        </w:rPr>
      </w:pPr>
      <w:r w:rsidRPr="00025401">
        <w:rPr>
          <w:rFonts w:ascii="Times New Roman" w:hAnsi="Times New Roman" w:cs="Times New Roman"/>
          <w:b/>
          <w:bCs/>
          <w:sz w:val="24"/>
          <w:szCs w:val="24"/>
        </w:rPr>
        <w:lastRenderedPageBreak/>
        <w:t>Anexo</w:t>
      </w:r>
      <w:r w:rsidR="00FC061D">
        <w:rPr>
          <w:rFonts w:ascii="Times New Roman" w:hAnsi="Times New Roman" w:cs="Times New Roman"/>
          <w:b/>
          <w:bCs/>
          <w:sz w:val="24"/>
          <w:szCs w:val="24"/>
        </w:rPr>
        <w:t xml:space="preserve"> I</w:t>
      </w:r>
      <w:r w:rsidRPr="00025401">
        <w:rPr>
          <w:rFonts w:ascii="Times New Roman" w:hAnsi="Times New Roman" w:cs="Times New Roman"/>
          <w:b/>
          <w:bCs/>
          <w:sz w:val="24"/>
          <w:szCs w:val="24"/>
        </w:rPr>
        <w:t xml:space="preserve"> – </w:t>
      </w:r>
      <w:r w:rsidR="00FC061D" w:rsidRPr="00025401">
        <w:rPr>
          <w:rFonts w:ascii="Times New Roman" w:hAnsi="Times New Roman" w:cs="Times New Roman"/>
          <w:b/>
          <w:bCs/>
          <w:sz w:val="24"/>
          <w:szCs w:val="24"/>
        </w:rPr>
        <w:t xml:space="preserve">análise </w:t>
      </w:r>
      <w:r w:rsidR="00FC061D">
        <w:rPr>
          <w:rFonts w:ascii="Times New Roman" w:hAnsi="Times New Roman" w:cs="Times New Roman"/>
          <w:b/>
          <w:bCs/>
          <w:sz w:val="24"/>
          <w:szCs w:val="24"/>
        </w:rPr>
        <w:t xml:space="preserve">crítica </w:t>
      </w:r>
      <w:r w:rsidR="00FC061D" w:rsidRPr="00025401">
        <w:rPr>
          <w:rFonts w:ascii="Times New Roman" w:hAnsi="Times New Roman" w:cs="Times New Roman"/>
          <w:b/>
          <w:bCs/>
          <w:sz w:val="24"/>
          <w:szCs w:val="24"/>
        </w:rPr>
        <w:t>detalhada dos artigos selecionados</w:t>
      </w:r>
    </w:p>
    <w:p w14:paraId="40DD4680" w14:textId="0A8D4E7B" w:rsidR="00025401" w:rsidRPr="00025401" w:rsidRDefault="00025401" w:rsidP="003C553C">
      <w:pPr>
        <w:spacing w:before="240"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t>Integração Regional na América Latina: A UNASUL no Contexto de Ascensão e Queda dos Governos de Esquerda</w:t>
      </w:r>
    </w:p>
    <w:p w14:paraId="03E674B2"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Este texto é fundamental para a pesquisa, pois oferece subsídios teóricos e práticos sobre a integração regional. A UNASUL é analisada como um modelo pós-liberal, com foco em diversas dimensões (política, social, energética), e serve de referência para compreender a proposta da CELAC.</w:t>
      </w:r>
    </w:p>
    <w:p w14:paraId="0F019897"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Em termos de mediação, o artigo exemplifica a atuação eficaz da UNASUL em momentos de crise, como o impeachment de Dilma Rousseff e a crise venezuelana, contrastando com a polarização promovida pela OEA. Também reforça a função da CELAC e da UNASUL como blocos contra-hegemônicos, defensores da autodeterminação. Assim, fortalece a hipótese central do projeto ao evidenciar que a CELAC pode se mostrar mais legítima e pragmática do que a OEA.</w:t>
      </w:r>
    </w:p>
    <w:p w14:paraId="15A56A9C" w14:textId="1D28F718" w:rsidR="00025401" w:rsidRPr="00025401" w:rsidRDefault="00025401" w:rsidP="00025401">
      <w:pPr>
        <w:spacing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t>Nils Castro: América Latina e Caribe – Integração Emancipadora ou Neocolonial</w:t>
      </w:r>
    </w:p>
    <w:p w14:paraId="05F7A79C"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Essa obra é uma referência essencial para o projeto, oferecendo uma análise crítica da OEA como instrumento de hegemonia norte-americana e destacando o potencial emancipador da CELAC.</w:t>
      </w:r>
    </w:p>
    <w:p w14:paraId="7183DF3B"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O autor contrapõe dois modelos de integração: o emancipador (CELAC, UNASUL, ALBA) e o neocolonial (OEA, Aliança do Pacífico). Mostra como a CELAC favorece a cooperação solidária e o desenvolvimento interno. Analisa ainda a falha da OEA em mediar conflitos e seu apoio a intervenções, ao passo que destaca ações eficazes da CELAC na defesa da soberania. O livro fundamenta teórica e empiricamente a hipótese da pesquisa e foi um dos motivadores da escolha do tema.</w:t>
      </w:r>
    </w:p>
    <w:p w14:paraId="0D0332C7" w14:textId="479C1B46" w:rsidR="00025401" w:rsidRPr="00025401" w:rsidRDefault="00025401" w:rsidP="003C553C">
      <w:pPr>
        <w:spacing w:before="240"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t>Relações Interamericanas: A Nova Agenda Sul-americana e o Brasil</w:t>
      </w:r>
    </w:p>
    <w:p w14:paraId="4EBFA354"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Este artigo contribui diretamente com os três eixos do projeto. Mostra como a OEA, marcada por influência estadunidense, perdeu relevância após a rejeição à ALCA. Em contraponto, a CELAC e a UNASUL se destacam por agendas voltadas ao desenvolvimento autônomo e cooperação sem ingerência externa.</w:t>
      </w:r>
    </w:p>
    <w:p w14:paraId="2A6C55B3"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A autora também destaca a importância de estruturas flexíveis como a da CELAC e analisa a atuação da organização em mediações, como nos conflitos envolvendo Colômbia, Equador, Venezuela e Bolívia. Quanto à soberania, sublinha a diferença entre a postura intervencionista da OEA e a inclusão de Cuba pela CELAC desde sua fundação.</w:t>
      </w:r>
    </w:p>
    <w:p w14:paraId="115F6A48" w14:textId="4ACF382D" w:rsidR="00025401" w:rsidRPr="00025401" w:rsidRDefault="00025401" w:rsidP="003C553C">
      <w:pPr>
        <w:spacing w:before="240"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lastRenderedPageBreak/>
        <w:t>O papel da CELAC no processo de integração latino-americano e na inserção internacional do Brasil</w:t>
      </w:r>
    </w:p>
    <w:p w14:paraId="147CF7EB"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Este texto traz dados concretos e documentos oficiais que embasam a superioridade da CELAC sobre a OEA. Destaca a Declaração de Caracas (2011), ações voltadas à erradicação da fome, infraestrutura regional e o fato de a CELAC representar a terceira maior economia mundial como bloco.</w:t>
      </w:r>
    </w:p>
    <w:p w14:paraId="3A3D4255"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Aponta a criação de um Mecanismo de Consulta Urgente da CELAC, além do apoio conjunto à Argentina nas Malvinas e a Cuba contra o embargo dos EUA. Ressalta também a defesa da diversidade e da soberania por meio de consensos, contrastando com a OEA, que impõe condicionalidades. O artigo reforça a tese de que a CELAC tem maior legitimidade e eficácia.</w:t>
      </w:r>
    </w:p>
    <w:p w14:paraId="6FC488F2" w14:textId="0AAAF7D5" w:rsidR="00025401" w:rsidRPr="00025401" w:rsidRDefault="00025401" w:rsidP="003C553C">
      <w:pPr>
        <w:spacing w:before="240"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t>A CELAC, o SELA e a agenda do Brasil para a América Latina e Caribe</w:t>
      </w:r>
    </w:p>
    <w:p w14:paraId="61C6AA9E"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O artigo analisa a transição da política externa brasileira para uma abordagem latino-americana e caribenha mais ampla, com destaque para o papel estratégico da CELAC.</w:t>
      </w:r>
    </w:p>
    <w:p w14:paraId="2AC8707D"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Mostra que, embora o SELA tenha perdido relevância, a CELAC surge como novo marco da cooperação regional. A análise ajuda a entender como a CELAC consolida o protagonismo do Brasil e promove articulações em diversas áreas, como saúde e energia. Embora não compare diretamente CELAC e OEA, o texto foi incluído por sua importância para a compreensão institucional da CELAC.</w:t>
      </w:r>
    </w:p>
    <w:p w14:paraId="44426203" w14:textId="5BF265EB" w:rsidR="00025401" w:rsidRPr="00025401" w:rsidRDefault="00025401" w:rsidP="003C553C">
      <w:pPr>
        <w:spacing w:before="240"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t>A estrutura institucional dos principais blocos latino-americanos e seus impactos na Integração Regional</w:t>
      </w:r>
    </w:p>
    <w:p w14:paraId="41B6F205"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Artigo técnico essencial para a fundamentação do projeto. Analisa a CELAC como bloco flexível, focado no diálogo político e livre de burocracias rígidas e ingerência externa, ao contrário da OEA.</w:t>
      </w:r>
    </w:p>
    <w:p w14:paraId="2934CB90"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Demonstra que essa estrutura favorece tanto a integração quanto a mediação de conflitos com agilidade. Utiliza a Teoria da Dependência como base e evidencia que, mesmo sem institucionalização forte, a CELAC avança em agendas práticas e tem maior legitimidade regional do que a OEA, que enfrenta crises internas e desgaste político.</w:t>
      </w:r>
    </w:p>
    <w:p w14:paraId="574D1B9D" w14:textId="7D3CC368" w:rsidR="00025401" w:rsidRPr="00025401" w:rsidRDefault="00025401" w:rsidP="003C553C">
      <w:pPr>
        <w:spacing w:before="240" w:after="0" w:line="360" w:lineRule="auto"/>
        <w:jc w:val="both"/>
        <w:rPr>
          <w:rFonts w:ascii="Times New Roman" w:hAnsi="Times New Roman" w:cs="Times New Roman"/>
          <w:b/>
          <w:bCs/>
          <w:sz w:val="24"/>
          <w:szCs w:val="24"/>
        </w:rPr>
      </w:pPr>
      <w:r w:rsidRPr="00025401">
        <w:rPr>
          <w:rFonts w:ascii="Times New Roman" w:hAnsi="Times New Roman" w:cs="Times New Roman"/>
          <w:b/>
          <w:bCs/>
          <w:sz w:val="24"/>
          <w:szCs w:val="24"/>
        </w:rPr>
        <w:t>O lugar da América Latina nas Relações Sul-Sul: O papel da CELAC na Integração Latino-Americana</w:t>
      </w:r>
    </w:p>
    <w:p w14:paraId="4429357E"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 xml:space="preserve">Este artigo reforça a CELAC como alternativa autônoma à OEA, destacando sua origem na CALC e sua exclusão de potências externas. Aponta a CELAC como promotora de uma </w:t>
      </w:r>
      <w:r w:rsidRPr="00025401">
        <w:rPr>
          <w:rFonts w:ascii="Times New Roman" w:hAnsi="Times New Roman" w:cs="Times New Roman"/>
          <w:sz w:val="24"/>
          <w:szCs w:val="24"/>
        </w:rPr>
        <w:lastRenderedPageBreak/>
        <w:t>agenda pós-neoliberal centrada no desenvolvimento social, na infraestrutura e na cooperação política.</w:t>
      </w:r>
    </w:p>
    <w:p w14:paraId="2944898D" w14:textId="77777777" w:rsidR="00025401" w:rsidRPr="00025401" w:rsidRDefault="00025401" w:rsidP="00025401">
      <w:pPr>
        <w:spacing w:after="0" w:line="360" w:lineRule="auto"/>
        <w:ind w:firstLine="709"/>
        <w:jc w:val="both"/>
        <w:rPr>
          <w:rFonts w:ascii="Times New Roman" w:hAnsi="Times New Roman" w:cs="Times New Roman"/>
          <w:sz w:val="24"/>
          <w:szCs w:val="24"/>
        </w:rPr>
      </w:pPr>
      <w:r w:rsidRPr="00025401">
        <w:rPr>
          <w:rFonts w:ascii="Times New Roman" w:hAnsi="Times New Roman" w:cs="Times New Roman"/>
          <w:sz w:val="24"/>
          <w:szCs w:val="24"/>
        </w:rPr>
        <w:t>A análise de casos como a crise Colômbia-Venezuela e o apoio às Malvinas e a Cuba evidenciam a atuação mais firme da CELAC em defesa da soberania. O texto é rico em dados comparativos e confirma a CELAC como fórum mais legítimo e eficaz para a América Latina e o Caribe.</w:t>
      </w:r>
    </w:p>
    <w:sectPr w:rsidR="00025401" w:rsidRPr="00025401" w:rsidSect="00AF255F">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B6A9" w14:textId="77777777" w:rsidR="0070195C" w:rsidRDefault="0070195C" w:rsidP="006B309F">
      <w:pPr>
        <w:spacing w:after="0" w:line="240" w:lineRule="auto"/>
      </w:pPr>
      <w:r>
        <w:separator/>
      </w:r>
    </w:p>
  </w:endnote>
  <w:endnote w:type="continuationSeparator" w:id="0">
    <w:p w14:paraId="635CD039" w14:textId="77777777" w:rsidR="0070195C" w:rsidRDefault="0070195C" w:rsidP="006B3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96778"/>
      <w:docPartObj>
        <w:docPartGallery w:val="Page Numbers (Bottom of Page)"/>
        <w:docPartUnique/>
      </w:docPartObj>
    </w:sdtPr>
    <w:sdtContent>
      <w:p w14:paraId="1D58710F" w14:textId="5291C2AB" w:rsidR="006B309F" w:rsidRDefault="006B309F">
        <w:pPr>
          <w:pStyle w:val="Rodap"/>
          <w:jc w:val="right"/>
        </w:pPr>
        <w:r w:rsidRPr="00AF255F">
          <w:rPr>
            <w:rFonts w:ascii="Times New Roman" w:hAnsi="Times New Roman" w:cs="Times New Roman"/>
            <w:sz w:val="24"/>
            <w:szCs w:val="24"/>
          </w:rPr>
          <w:fldChar w:fldCharType="begin"/>
        </w:r>
        <w:r w:rsidRPr="00AF255F">
          <w:rPr>
            <w:rFonts w:ascii="Times New Roman" w:hAnsi="Times New Roman" w:cs="Times New Roman"/>
            <w:sz w:val="24"/>
            <w:szCs w:val="24"/>
          </w:rPr>
          <w:instrText>PAGE   \* MERGEFORMAT</w:instrText>
        </w:r>
        <w:r w:rsidRPr="00AF255F">
          <w:rPr>
            <w:rFonts w:ascii="Times New Roman" w:hAnsi="Times New Roman" w:cs="Times New Roman"/>
            <w:sz w:val="24"/>
            <w:szCs w:val="24"/>
          </w:rPr>
          <w:fldChar w:fldCharType="separate"/>
        </w:r>
        <w:r w:rsidRPr="00AF255F">
          <w:rPr>
            <w:rFonts w:ascii="Times New Roman" w:hAnsi="Times New Roman" w:cs="Times New Roman"/>
            <w:sz w:val="24"/>
            <w:szCs w:val="24"/>
          </w:rPr>
          <w:t>2</w:t>
        </w:r>
        <w:r w:rsidRPr="00AF255F">
          <w:rPr>
            <w:rFonts w:ascii="Times New Roman" w:hAnsi="Times New Roman" w:cs="Times New Roman"/>
            <w:sz w:val="24"/>
            <w:szCs w:val="24"/>
          </w:rPr>
          <w:fldChar w:fldCharType="end"/>
        </w:r>
      </w:p>
    </w:sdtContent>
  </w:sdt>
  <w:p w14:paraId="7F40A9BB" w14:textId="77777777" w:rsidR="006B309F" w:rsidRDefault="006B309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3E0A" w14:textId="77777777" w:rsidR="0070195C" w:rsidRDefault="0070195C" w:rsidP="006B309F">
      <w:pPr>
        <w:spacing w:after="0" w:line="240" w:lineRule="auto"/>
      </w:pPr>
      <w:r>
        <w:separator/>
      </w:r>
    </w:p>
  </w:footnote>
  <w:footnote w:type="continuationSeparator" w:id="0">
    <w:p w14:paraId="7B92790B" w14:textId="77777777" w:rsidR="0070195C" w:rsidRDefault="0070195C" w:rsidP="006B3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14B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B758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1B0312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2BD7582"/>
    <w:multiLevelType w:val="hybridMultilevel"/>
    <w:tmpl w:val="79DA09E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D7A6CC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DB4052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6983451">
    <w:abstractNumId w:val="3"/>
  </w:num>
  <w:num w:numId="2" w16cid:durableId="257910764">
    <w:abstractNumId w:val="1"/>
  </w:num>
  <w:num w:numId="3" w16cid:durableId="2097941899">
    <w:abstractNumId w:val="2"/>
  </w:num>
  <w:num w:numId="4" w16cid:durableId="463038563">
    <w:abstractNumId w:val="4"/>
  </w:num>
  <w:num w:numId="5" w16cid:durableId="1166244592">
    <w:abstractNumId w:val="0"/>
  </w:num>
  <w:num w:numId="6" w16cid:durableId="1857305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BA2"/>
    <w:rsid w:val="00025401"/>
    <w:rsid w:val="000E088C"/>
    <w:rsid w:val="00115CA6"/>
    <w:rsid w:val="001D15C6"/>
    <w:rsid w:val="001E7D65"/>
    <w:rsid w:val="00336BA2"/>
    <w:rsid w:val="003833F4"/>
    <w:rsid w:val="003C553C"/>
    <w:rsid w:val="005B6DBB"/>
    <w:rsid w:val="006119E8"/>
    <w:rsid w:val="00642F2D"/>
    <w:rsid w:val="006B309F"/>
    <w:rsid w:val="0070195C"/>
    <w:rsid w:val="00731168"/>
    <w:rsid w:val="00743C83"/>
    <w:rsid w:val="0086356B"/>
    <w:rsid w:val="00A4503A"/>
    <w:rsid w:val="00AF255F"/>
    <w:rsid w:val="00B80ADB"/>
    <w:rsid w:val="00C414D2"/>
    <w:rsid w:val="00CE00A5"/>
    <w:rsid w:val="00E53CC7"/>
    <w:rsid w:val="00F017BE"/>
    <w:rsid w:val="00F57696"/>
    <w:rsid w:val="00FC06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7600"/>
  <w15:chartTrackingRefBased/>
  <w15:docId w15:val="{FE4D1CB1-2788-4770-B00A-1DB1239F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6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6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6B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6B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6B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6B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6B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6B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6B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6B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6B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6B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6B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6B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6B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6B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6B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6BA2"/>
    <w:rPr>
      <w:rFonts w:eastAsiaTheme="majorEastAsia" w:cstheme="majorBidi"/>
      <w:color w:val="272727" w:themeColor="text1" w:themeTint="D8"/>
    </w:rPr>
  </w:style>
  <w:style w:type="paragraph" w:styleId="Ttulo">
    <w:name w:val="Title"/>
    <w:basedOn w:val="Normal"/>
    <w:next w:val="Normal"/>
    <w:link w:val="TtuloChar"/>
    <w:uiPriority w:val="10"/>
    <w:qFormat/>
    <w:rsid w:val="00336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6B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6B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6B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6BA2"/>
    <w:pPr>
      <w:spacing w:before="160"/>
      <w:jc w:val="center"/>
    </w:pPr>
    <w:rPr>
      <w:i/>
      <w:iCs/>
      <w:color w:val="404040" w:themeColor="text1" w:themeTint="BF"/>
    </w:rPr>
  </w:style>
  <w:style w:type="character" w:customStyle="1" w:styleId="CitaoChar">
    <w:name w:val="Citação Char"/>
    <w:basedOn w:val="Fontepargpadro"/>
    <w:link w:val="Citao"/>
    <w:uiPriority w:val="29"/>
    <w:rsid w:val="00336BA2"/>
    <w:rPr>
      <w:i/>
      <w:iCs/>
      <w:color w:val="404040" w:themeColor="text1" w:themeTint="BF"/>
    </w:rPr>
  </w:style>
  <w:style w:type="paragraph" w:styleId="PargrafodaLista">
    <w:name w:val="List Paragraph"/>
    <w:basedOn w:val="Normal"/>
    <w:uiPriority w:val="34"/>
    <w:qFormat/>
    <w:rsid w:val="00336BA2"/>
    <w:pPr>
      <w:ind w:left="720"/>
      <w:contextualSpacing/>
    </w:pPr>
  </w:style>
  <w:style w:type="character" w:styleId="nfaseIntensa">
    <w:name w:val="Intense Emphasis"/>
    <w:basedOn w:val="Fontepargpadro"/>
    <w:uiPriority w:val="21"/>
    <w:qFormat/>
    <w:rsid w:val="00336BA2"/>
    <w:rPr>
      <w:i/>
      <w:iCs/>
      <w:color w:val="0F4761" w:themeColor="accent1" w:themeShade="BF"/>
    </w:rPr>
  </w:style>
  <w:style w:type="paragraph" w:styleId="CitaoIntensa">
    <w:name w:val="Intense Quote"/>
    <w:basedOn w:val="Normal"/>
    <w:next w:val="Normal"/>
    <w:link w:val="CitaoIntensaChar"/>
    <w:uiPriority w:val="30"/>
    <w:qFormat/>
    <w:rsid w:val="00336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6BA2"/>
    <w:rPr>
      <w:i/>
      <w:iCs/>
      <w:color w:val="0F4761" w:themeColor="accent1" w:themeShade="BF"/>
    </w:rPr>
  </w:style>
  <w:style w:type="character" w:styleId="RefernciaIntensa">
    <w:name w:val="Intense Reference"/>
    <w:basedOn w:val="Fontepargpadro"/>
    <w:uiPriority w:val="32"/>
    <w:qFormat/>
    <w:rsid w:val="00336BA2"/>
    <w:rPr>
      <w:b/>
      <w:bCs/>
      <w:smallCaps/>
      <w:color w:val="0F4761" w:themeColor="accent1" w:themeShade="BF"/>
      <w:spacing w:val="5"/>
    </w:rPr>
  </w:style>
  <w:style w:type="table" w:styleId="Tabelacomgrade">
    <w:name w:val="Table Grid"/>
    <w:basedOn w:val="Tabelanormal"/>
    <w:uiPriority w:val="59"/>
    <w:rsid w:val="001D15C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1D15C6"/>
    <w:pPr>
      <w:spacing w:after="200" w:line="240" w:lineRule="auto"/>
    </w:pPr>
    <w:rPr>
      <w:i/>
      <w:iCs/>
      <w:color w:val="0E2841" w:themeColor="text2"/>
      <w:sz w:val="18"/>
      <w:szCs w:val="18"/>
    </w:rPr>
  </w:style>
  <w:style w:type="character" w:styleId="Hyperlink">
    <w:name w:val="Hyperlink"/>
    <w:basedOn w:val="Fontepargpadro"/>
    <w:uiPriority w:val="99"/>
    <w:unhideWhenUsed/>
    <w:rsid w:val="00731168"/>
    <w:rPr>
      <w:color w:val="467886" w:themeColor="hyperlink"/>
      <w:u w:val="single"/>
    </w:rPr>
  </w:style>
  <w:style w:type="character" w:styleId="MenoPendente">
    <w:name w:val="Unresolved Mention"/>
    <w:basedOn w:val="Fontepargpadro"/>
    <w:uiPriority w:val="99"/>
    <w:semiHidden/>
    <w:unhideWhenUsed/>
    <w:rsid w:val="00731168"/>
    <w:rPr>
      <w:color w:val="605E5C"/>
      <w:shd w:val="clear" w:color="auto" w:fill="E1DFDD"/>
    </w:rPr>
  </w:style>
  <w:style w:type="paragraph" w:styleId="Cabealho">
    <w:name w:val="header"/>
    <w:basedOn w:val="Normal"/>
    <w:link w:val="CabealhoChar"/>
    <w:uiPriority w:val="99"/>
    <w:unhideWhenUsed/>
    <w:rsid w:val="006B309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B309F"/>
  </w:style>
  <w:style w:type="paragraph" w:styleId="Rodap">
    <w:name w:val="footer"/>
    <w:basedOn w:val="Normal"/>
    <w:link w:val="RodapChar"/>
    <w:uiPriority w:val="99"/>
    <w:unhideWhenUsed/>
    <w:rsid w:val="006B309F"/>
    <w:pPr>
      <w:tabs>
        <w:tab w:val="center" w:pos="4252"/>
        <w:tab w:val="right" w:pos="8504"/>
      </w:tabs>
      <w:spacing w:after="0" w:line="240" w:lineRule="auto"/>
    </w:pPr>
  </w:style>
  <w:style w:type="character" w:customStyle="1" w:styleId="RodapChar">
    <w:name w:val="Rodapé Char"/>
    <w:basedOn w:val="Fontepargpadro"/>
    <w:link w:val="Rodap"/>
    <w:uiPriority w:val="99"/>
    <w:rsid w:val="006B309F"/>
  </w:style>
  <w:style w:type="paragraph" w:styleId="CabealhodoSumrio">
    <w:name w:val="TOC Heading"/>
    <w:basedOn w:val="Ttulo1"/>
    <w:next w:val="Normal"/>
    <w:uiPriority w:val="39"/>
    <w:unhideWhenUsed/>
    <w:qFormat/>
    <w:rsid w:val="003C553C"/>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3C553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63">
      <w:bodyDiv w:val="1"/>
      <w:marLeft w:val="0"/>
      <w:marRight w:val="0"/>
      <w:marTop w:val="0"/>
      <w:marBottom w:val="0"/>
      <w:divBdr>
        <w:top w:val="none" w:sz="0" w:space="0" w:color="auto"/>
        <w:left w:val="none" w:sz="0" w:space="0" w:color="auto"/>
        <w:bottom w:val="none" w:sz="0" w:space="0" w:color="auto"/>
        <w:right w:val="none" w:sz="0" w:space="0" w:color="auto"/>
      </w:divBdr>
    </w:div>
    <w:div w:id="70587487">
      <w:bodyDiv w:val="1"/>
      <w:marLeft w:val="0"/>
      <w:marRight w:val="0"/>
      <w:marTop w:val="0"/>
      <w:marBottom w:val="0"/>
      <w:divBdr>
        <w:top w:val="none" w:sz="0" w:space="0" w:color="auto"/>
        <w:left w:val="none" w:sz="0" w:space="0" w:color="auto"/>
        <w:bottom w:val="none" w:sz="0" w:space="0" w:color="auto"/>
        <w:right w:val="none" w:sz="0" w:space="0" w:color="auto"/>
      </w:divBdr>
    </w:div>
    <w:div w:id="127668202">
      <w:bodyDiv w:val="1"/>
      <w:marLeft w:val="0"/>
      <w:marRight w:val="0"/>
      <w:marTop w:val="0"/>
      <w:marBottom w:val="0"/>
      <w:divBdr>
        <w:top w:val="none" w:sz="0" w:space="0" w:color="auto"/>
        <w:left w:val="none" w:sz="0" w:space="0" w:color="auto"/>
        <w:bottom w:val="none" w:sz="0" w:space="0" w:color="auto"/>
        <w:right w:val="none" w:sz="0" w:space="0" w:color="auto"/>
      </w:divBdr>
    </w:div>
    <w:div w:id="136915793">
      <w:bodyDiv w:val="1"/>
      <w:marLeft w:val="0"/>
      <w:marRight w:val="0"/>
      <w:marTop w:val="0"/>
      <w:marBottom w:val="0"/>
      <w:divBdr>
        <w:top w:val="none" w:sz="0" w:space="0" w:color="auto"/>
        <w:left w:val="none" w:sz="0" w:space="0" w:color="auto"/>
        <w:bottom w:val="none" w:sz="0" w:space="0" w:color="auto"/>
        <w:right w:val="none" w:sz="0" w:space="0" w:color="auto"/>
      </w:divBdr>
    </w:div>
    <w:div w:id="233127320">
      <w:bodyDiv w:val="1"/>
      <w:marLeft w:val="0"/>
      <w:marRight w:val="0"/>
      <w:marTop w:val="0"/>
      <w:marBottom w:val="0"/>
      <w:divBdr>
        <w:top w:val="none" w:sz="0" w:space="0" w:color="auto"/>
        <w:left w:val="none" w:sz="0" w:space="0" w:color="auto"/>
        <w:bottom w:val="none" w:sz="0" w:space="0" w:color="auto"/>
        <w:right w:val="none" w:sz="0" w:space="0" w:color="auto"/>
      </w:divBdr>
    </w:div>
    <w:div w:id="357632608">
      <w:bodyDiv w:val="1"/>
      <w:marLeft w:val="0"/>
      <w:marRight w:val="0"/>
      <w:marTop w:val="0"/>
      <w:marBottom w:val="0"/>
      <w:divBdr>
        <w:top w:val="none" w:sz="0" w:space="0" w:color="auto"/>
        <w:left w:val="none" w:sz="0" w:space="0" w:color="auto"/>
        <w:bottom w:val="none" w:sz="0" w:space="0" w:color="auto"/>
        <w:right w:val="none" w:sz="0" w:space="0" w:color="auto"/>
      </w:divBdr>
    </w:div>
    <w:div w:id="436338855">
      <w:bodyDiv w:val="1"/>
      <w:marLeft w:val="0"/>
      <w:marRight w:val="0"/>
      <w:marTop w:val="0"/>
      <w:marBottom w:val="0"/>
      <w:divBdr>
        <w:top w:val="none" w:sz="0" w:space="0" w:color="auto"/>
        <w:left w:val="none" w:sz="0" w:space="0" w:color="auto"/>
        <w:bottom w:val="none" w:sz="0" w:space="0" w:color="auto"/>
        <w:right w:val="none" w:sz="0" w:space="0" w:color="auto"/>
      </w:divBdr>
    </w:div>
    <w:div w:id="561137520">
      <w:bodyDiv w:val="1"/>
      <w:marLeft w:val="0"/>
      <w:marRight w:val="0"/>
      <w:marTop w:val="0"/>
      <w:marBottom w:val="0"/>
      <w:divBdr>
        <w:top w:val="none" w:sz="0" w:space="0" w:color="auto"/>
        <w:left w:val="none" w:sz="0" w:space="0" w:color="auto"/>
        <w:bottom w:val="none" w:sz="0" w:space="0" w:color="auto"/>
        <w:right w:val="none" w:sz="0" w:space="0" w:color="auto"/>
      </w:divBdr>
    </w:div>
    <w:div w:id="561331521">
      <w:bodyDiv w:val="1"/>
      <w:marLeft w:val="0"/>
      <w:marRight w:val="0"/>
      <w:marTop w:val="0"/>
      <w:marBottom w:val="0"/>
      <w:divBdr>
        <w:top w:val="none" w:sz="0" w:space="0" w:color="auto"/>
        <w:left w:val="none" w:sz="0" w:space="0" w:color="auto"/>
        <w:bottom w:val="none" w:sz="0" w:space="0" w:color="auto"/>
        <w:right w:val="none" w:sz="0" w:space="0" w:color="auto"/>
      </w:divBdr>
    </w:div>
    <w:div w:id="703018137">
      <w:bodyDiv w:val="1"/>
      <w:marLeft w:val="0"/>
      <w:marRight w:val="0"/>
      <w:marTop w:val="0"/>
      <w:marBottom w:val="0"/>
      <w:divBdr>
        <w:top w:val="none" w:sz="0" w:space="0" w:color="auto"/>
        <w:left w:val="none" w:sz="0" w:space="0" w:color="auto"/>
        <w:bottom w:val="none" w:sz="0" w:space="0" w:color="auto"/>
        <w:right w:val="none" w:sz="0" w:space="0" w:color="auto"/>
      </w:divBdr>
    </w:div>
    <w:div w:id="749154226">
      <w:bodyDiv w:val="1"/>
      <w:marLeft w:val="0"/>
      <w:marRight w:val="0"/>
      <w:marTop w:val="0"/>
      <w:marBottom w:val="0"/>
      <w:divBdr>
        <w:top w:val="none" w:sz="0" w:space="0" w:color="auto"/>
        <w:left w:val="none" w:sz="0" w:space="0" w:color="auto"/>
        <w:bottom w:val="none" w:sz="0" w:space="0" w:color="auto"/>
        <w:right w:val="none" w:sz="0" w:space="0" w:color="auto"/>
      </w:divBdr>
    </w:div>
    <w:div w:id="819158158">
      <w:bodyDiv w:val="1"/>
      <w:marLeft w:val="0"/>
      <w:marRight w:val="0"/>
      <w:marTop w:val="0"/>
      <w:marBottom w:val="0"/>
      <w:divBdr>
        <w:top w:val="none" w:sz="0" w:space="0" w:color="auto"/>
        <w:left w:val="none" w:sz="0" w:space="0" w:color="auto"/>
        <w:bottom w:val="none" w:sz="0" w:space="0" w:color="auto"/>
        <w:right w:val="none" w:sz="0" w:space="0" w:color="auto"/>
      </w:divBdr>
    </w:div>
    <w:div w:id="859926385">
      <w:bodyDiv w:val="1"/>
      <w:marLeft w:val="0"/>
      <w:marRight w:val="0"/>
      <w:marTop w:val="0"/>
      <w:marBottom w:val="0"/>
      <w:divBdr>
        <w:top w:val="none" w:sz="0" w:space="0" w:color="auto"/>
        <w:left w:val="none" w:sz="0" w:space="0" w:color="auto"/>
        <w:bottom w:val="none" w:sz="0" w:space="0" w:color="auto"/>
        <w:right w:val="none" w:sz="0" w:space="0" w:color="auto"/>
      </w:divBdr>
    </w:div>
    <w:div w:id="880284885">
      <w:bodyDiv w:val="1"/>
      <w:marLeft w:val="0"/>
      <w:marRight w:val="0"/>
      <w:marTop w:val="0"/>
      <w:marBottom w:val="0"/>
      <w:divBdr>
        <w:top w:val="none" w:sz="0" w:space="0" w:color="auto"/>
        <w:left w:val="none" w:sz="0" w:space="0" w:color="auto"/>
        <w:bottom w:val="none" w:sz="0" w:space="0" w:color="auto"/>
        <w:right w:val="none" w:sz="0" w:space="0" w:color="auto"/>
      </w:divBdr>
    </w:div>
    <w:div w:id="955983278">
      <w:bodyDiv w:val="1"/>
      <w:marLeft w:val="0"/>
      <w:marRight w:val="0"/>
      <w:marTop w:val="0"/>
      <w:marBottom w:val="0"/>
      <w:divBdr>
        <w:top w:val="none" w:sz="0" w:space="0" w:color="auto"/>
        <w:left w:val="none" w:sz="0" w:space="0" w:color="auto"/>
        <w:bottom w:val="none" w:sz="0" w:space="0" w:color="auto"/>
        <w:right w:val="none" w:sz="0" w:space="0" w:color="auto"/>
      </w:divBdr>
    </w:div>
    <w:div w:id="1021318972">
      <w:bodyDiv w:val="1"/>
      <w:marLeft w:val="0"/>
      <w:marRight w:val="0"/>
      <w:marTop w:val="0"/>
      <w:marBottom w:val="0"/>
      <w:divBdr>
        <w:top w:val="none" w:sz="0" w:space="0" w:color="auto"/>
        <w:left w:val="none" w:sz="0" w:space="0" w:color="auto"/>
        <w:bottom w:val="none" w:sz="0" w:space="0" w:color="auto"/>
        <w:right w:val="none" w:sz="0" w:space="0" w:color="auto"/>
      </w:divBdr>
    </w:div>
    <w:div w:id="1103917048">
      <w:bodyDiv w:val="1"/>
      <w:marLeft w:val="0"/>
      <w:marRight w:val="0"/>
      <w:marTop w:val="0"/>
      <w:marBottom w:val="0"/>
      <w:divBdr>
        <w:top w:val="none" w:sz="0" w:space="0" w:color="auto"/>
        <w:left w:val="none" w:sz="0" w:space="0" w:color="auto"/>
        <w:bottom w:val="none" w:sz="0" w:space="0" w:color="auto"/>
        <w:right w:val="none" w:sz="0" w:space="0" w:color="auto"/>
      </w:divBdr>
    </w:div>
    <w:div w:id="1124273725">
      <w:bodyDiv w:val="1"/>
      <w:marLeft w:val="0"/>
      <w:marRight w:val="0"/>
      <w:marTop w:val="0"/>
      <w:marBottom w:val="0"/>
      <w:divBdr>
        <w:top w:val="none" w:sz="0" w:space="0" w:color="auto"/>
        <w:left w:val="none" w:sz="0" w:space="0" w:color="auto"/>
        <w:bottom w:val="none" w:sz="0" w:space="0" w:color="auto"/>
        <w:right w:val="none" w:sz="0" w:space="0" w:color="auto"/>
      </w:divBdr>
    </w:div>
    <w:div w:id="1224607869">
      <w:bodyDiv w:val="1"/>
      <w:marLeft w:val="0"/>
      <w:marRight w:val="0"/>
      <w:marTop w:val="0"/>
      <w:marBottom w:val="0"/>
      <w:divBdr>
        <w:top w:val="none" w:sz="0" w:space="0" w:color="auto"/>
        <w:left w:val="none" w:sz="0" w:space="0" w:color="auto"/>
        <w:bottom w:val="none" w:sz="0" w:space="0" w:color="auto"/>
        <w:right w:val="none" w:sz="0" w:space="0" w:color="auto"/>
      </w:divBdr>
    </w:div>
    <w:div w:id="1293054792">
      <w:bodyDiv w:val="1"/>
      <w:marLeft w:val="0"/>
      <w:marRight w:val="0"/>
      <w:marTop w:val="0"/>
      <w:marBottom w:val="0"/>
      <w:divBdr>
        <w:top w:val="none" w:sz="0" w:space="0" w:color="auto"/>
        <w:left w:val="none" w:sz="0" w:space="0" w:color="auto"/>
        <w:bottom w:val="none" w:sz="0" w:space="0" w:color="auto"/>
        <w:right w:val="none" w:sz="0" w:space="0" w:color="auto"/>
      </w:divBdr>
    </w:div>
    <w:div w:id="1400591765">
      <w:bodyDiv w:val="1"/>
      <w:marLeft w:val="0"/>
      <w:marRight w:val="0"/>
      <w:marTop w:val="0"/>
      <w:marBottom w:val="0"/>
      <w:divBdr>
        <w:top w:val="none" w:sz="0" w:space="0" w:color="auto"/>
        <w:left w:val="none" w:sz="0" w:space="0" w:color="auto"/>
        <w:bottom w:val="none" w:sz="0" w:space="0" w:color="auto"/>
        <w:right w:val="none" w:sz="0" w:space="0" w:color="auto"/>
      </w:divBdr>
    </w:div>
    <w:div w:id="1473015191">
      <w:bodyDiv w:val="1"/>
      <w:marLeft w:val="0"/>
      <w:marRight w:val="0"/>
      <w:marTop w:val="0"/>
      <w:marBottom w:val="0"/>
      <w:divBdr>
        <w:top w:val="none" w:sz="0" w:space="0" w:color="auto"/>
        <w:left w:val="none" w:sz="0" w:space="0" w:color="auto"/>
        <w:bottom w:val="none" w:sz="0" w:space="0" w:color="auto"/>
        <w:right w:val="none" w:sz="0" w:space="0" w:color="auto"/>
      </w:divBdr>
    </w:div>
    <w:div w:id="1481844577">
      <w:bodyDiv w:val="1"/>
      <w:marLeft w:val="0"/>
      <w:marRight w:val="0"/>
      <w:marTop w:val="0"/>
      <w:marBottom w:val="0"/>
      <w:divBdr>
        <w:top w:val="none" w:sz="0" w:space="0" w:color="auto"/>
        <w:left w:val="none" w:sz="0" w:space="0" w:color="auto"/>
        <w:bottom w:val="none" w:sz="0" w:space="0" w:color="auto"/>
        <w:right w:val="none" w:sz="0" w:space="0" w:color="auto"/>
      </w:divBdr>
    </w:div>
    <w:div w:id="1683586753">
      <w:bodyDiv w:val="1"/>
      <w:marLeft w:val="0"/>
      <w:marRight w:val="0"/>
      <w:marTop w:val="0"/>
      <w:marBottom w:val="0"/>
      <w:divBdr>
        <w:top w:val="none" w:sz="0" w:space="0" w:color="auto"/>
        <w:left w:val="none" w:sz="0" w:space="0" w:color="auto"/>
        <w:bottom w:val="none" w:sz="0" w:space="0" w:color="auto"/>
        <w:right w:val="none" w:sz="0" w:space="0" w:color="auto"/>
      </w:divBdr>
    </w:div>
    <w:div w:id="1721052640">
      <w:bodyDiv w:val="1"/>
      <w:marLeft w:val="0"/>
      <w:marRight w:val="0"/>
      <w:marTop w:val="0"/>
      <w:marBottom w:val="0"/>
      <w:divBdr>
        <w:top w:val="none" w:sz="0" w:space="0" w:color="auto"/>
        <w:left w:val="none" w:sz="0" w:space="0" w:color="auto"/>
        <w:bottom w:val="none" w:sz="0" w:space="0" w:color="auto"/>
        <w:right w:val="none" w:sz="0" w:space="0" w:color="auto"/>
      </w:divBdr>
    </w:div>
    <w:div w:id="1854681786">
      <w:bodyDiv w:val="1"/>
      <w:marLeft w:val="0"/>
      <w:marRight w:val="0"/>
      <w:marTop w:val="0"/>
      <w:marBottom w:val="0"/>
      <w:divBdr>
        <w:top w:val="none" w:sz="0" w:space="0" w:color="auto"/>
        <w:left w:val="none" w:sz="0" w:space="0" w:color="auto"/>
        <w:bottom w:val="none" w:sz="0" w:space="0" w:color="auto"/>
        <w:right w:val="none" w:sz="0" w:space="0" w:color="auto"/>
      </w:divBdr>
    </w:div>
    <w:div w:id="2030640050">
      <w:bodyDiv w:val="1"/>
      <w:marLeft w:val="0"/>
      <w:marRight w:val="0"/>
      <w:marTop w:val="0"/>
      <w:marBottom w:val="0"/>
      <w:divBdr>
        <w:top w:val="none" w:sz="0" w:space="0" w:color="auto"/>
        <w:left w:val="none" w:sz="0" w:space="0" w:color="auto"/>
        <w:bottom w:val="none" w:sz="0" w:space="0" w:color="auto"/>
        <w:right w:val="none" w:sz="0" w:space="0" w:color="auto"/>
      </w:divBdr>
    </w:div>
    <w:div w:id="209928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eriodicos.ufpb.br/ojs/index.php/ricri/article/view/30948/1922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riodicos.ufrn.br/interlegere/article/view/2791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vistas.usp.br/prolam/article/view/1152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lo.org.mx/scielo.php?pid=S1665-85742018000100261&amp;script=sci_arttext" TargetMode="External"/><Relationship Id="rId5" Type="http://schemas.openxmlformats.org/officeDocument/2006/relationships/webSettings" Target="webSettings.xml"/><Relationship Id="rId15" Type="http://schemas.openxmlformats.org/officeDocument/2006/relationships/hyperlink" Target="https://www.ige.unicamp.br/lagere-gri/wp-content/uploads/sites/59/2022/05/LuigiJunior_RicardoAbrate_D.pdf" TargetMode="External"/><Relationship Id="rId10" Type="http://schemas.openxmlformats.org/officeDocument/2006/relationships/hyperlink" Target="https://repositorio.ipea.gov.br/bitstream/11058/3352/5/bepi_08_Celac.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cielo.br/j/ln/a/pPJm99WYYKtBMZV5JxbyPTk/?format=pdf&amp;lang=p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9317A-464D-41E8-84C1-9C7A9AAAB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5316</Words>
  <Characters>28709</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Karolline Soares Alves</dc:creator>
  <cp:keywords/>
  <dc:description/>
  <cp:lastModifiedBy>Pedro henrichs</cp:lastModifiedBy>
  <cp:revision>3</cp:revision>
  <cp:lastPrinted>2025-05-08T20:13:00Z</cp:lastPrinted>
  <dcterms:created xsi:type="dcterms:W3CDTF">2025-05-08T20:13:00Z</dcterms:created>
  <dcterms:modified xsi:type="dcterms:W3CDTF">2025-05-08T20:13:00Z</dcterms:modified>
</cp:coreProperties>
</file>