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88D3" w14:textId="77777777" w:rsidR="00F946FF" w:rsidRPr="00F946FF" w:rsidRDefault="00F946FF" w:rsidP="00F946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O Aparelhamento Político e o Uso de </w:t>
      </w:r>
      <w:proofErr w:type="spellStart"/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Lawfare</w:t>
      </w:r>
      <w:proofErr w:type="spellEnd"/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nas Eleições do Equador: Uma Análise Profunda</w:t>
      </w:r>
    </w:p>
    <w:p w14:paraId="19EBEECE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eleições presidenciais de 2025 no Equador têm sido marcadas por uma série de eventos que levantam preocupações sobre a imparcialidade e a integridade do processo democrático. O governo liderado por Daniel Noboa enfrenta acusações de aparelhamento político, uso de recursos públicos para fins eleitorais e perseguição judicial contra opositores. Este artigo analisa detalhadamente os acontecimentos recentes, que demonstram como essas práticas podem comprometer a justiça, liberdade e transparência das eleições.</w:t>
      </w:r>
    </w:p>
    <w:p w14:paraId="0B351ABF" w14:textId="77777777" w:rsidR="00F946FF" w:rsidRPr="00F946FF" w:rsidRDefault="00F946FF" w:rsidP="00F946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O Uso de </w:t>
      </w:r>
      <w:proofErr w:type="spellStart"/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Lawfare</w:t>
      </w:r>
      <w:proofErr w:type="spellEnd"/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Como Ferramenta Política</w:t>
      </w:r>
    </w:p>
    <w:p w14:paraId="0F4FD6EC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 </w:t>
      </w:r>
      <w:proofErr w:type="spellStart"/>
      <w:r w:rsidRPr="00F946FF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lawfare</w:t>
      </w:r>
      <w:proofErr w:type="spellEnd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ou uso estratégico do sistema judicial para perseguir adversários políticos, tem sido uma característica marcante do atual cenário político equatoriano. Diversos casos recentes ilustram essa prática:</w:t>
      </w:r>
    </w:p>
    <w:p w14:paraId="04F4E4CB" w14:textId="77777777" w:rsidR="00F946FF" w:rsidRPr="00F946FF" w:rsidRDefault="00F946FF" w:rsidP="00F946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Prisão Preventiva do Prefeito de Guayaquil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Em 9 de abril, o Ministério Público solicitou a prisão preventiva do prefeito Aquiles Álvarez, sob acusações relacionadas ao caso "Triple A". No entanto, críticos apontam que o processo carece de justificativas legais sólidas e parece ser motivado politicamente. Álvarez é uma figura importante da oposição, e sua prisão em meio ao período eleitoral levanta suspeitas sobre o uso do sistema judicial como ferramenta para silenciar adversários.</w:t>
      </w:r>
    </w:p>
    <w:p w14:paraId="41F9F70B" w14:textId="77777777" w:rsidR="00F946FF" w:rsidRPr="00F946FF" w:rsidRDefault="00F946FF" w:rsidP="00F946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Cassação do Prefeito de Quito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 xml:space="preserve">O Tribunal Contencioso Eleitoral (TCE) reabriu um processo contra </w:t>
      </w:r>
      <w:proofErr w:type="spellStart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Pabel</w:t>
      </w:r>
      <w:proofErr w:type="spellEnd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Muñoz</w:t>
      </w:r>
      <w:proofErr w:type="spellEnd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prefeito de Quito, baseado em uma infração eleitoral já julgada em 2023, pela qual ele havia </w:t>
      </w:r>
      <w:proofErr w:type="gramStart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pago</w:t>
      </w:r>
      <w:proofErr w:type="gramEnd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multa. Essa ação levanta dúvidas sobre a imparcialidade do TCE e reforça a percepção de perseguição política contra líderes opositores.</w:t>
      </w:r>
    </w:p>
    <w:p w14:paraId="2D873CC9" w14:textId="77777777" w:rsidR="00F946FF" w:rsidRPr="00F946FF" w:rsidRDefault="00F946FF" w:rsidP="00F946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Destituição da Vice-Presidente Verónica Abad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vice-presidente foi destituída sob alegação de abandono de suas funções por três dias. Essa decisão viola claramente a Constituição equatoriana, que estabelece que apenas a Assembleia Nacional pode julgar presidentes e vice-presidentes. Além disso, sua destituição impede que ela assuma o cargo caso Noboa se licenciasse para concorrer à reeleição, consolidando ainda mais o controle político do atual governo.</w:t>
      </w:r>
    </w:p>
    <w:p w14:paraId="3833B20D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Esses casos exemplificam como o sistema judicial tem sido utilizado para desestabilizar lideranças opositoras e fortalecer o poder do governo.</w:t>
      </w:r>
    </w:p>
    <w:p w14:paraId="32427E0E" w14:textId="77777777" w:rsidR="00F946FF" w:rsidRPr="00F946FF" w:rsidRDefault="00F946FF" w:rsidP="00F946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Uso Eleitoral de Recursos Públicos: Uma Estratégia Calculada</w:t>
      </w:r>
    </w:p>
    <w:p w14:paraId="3BEAB70D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Outro aspecto preocupante é o uso ostensivo de recursos públicos para fins eleitorais. Desde janeiro de 2025, o governo Noboa tem anunciado uma série de decretos executivos que concedem benefícios financeiros significativos à população:</w:t>
      </w:r>
    </w:p>
    <w:p w14:paraId="367D5101" w14:textId="77777777" w:rsidR="00F946FF" w:rsidRPr="00F946FF" w:rsidRDefault="00F946FF" w:rsidP="00F946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Decretos Próximos às Eleições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Em março, às vésperas da eleição, foram emitidos decretos executivos que criaram programas e incentivos financeiros:</w:t>
      </w:r>
    </w:p>
    <w:p w14:paraId="009960B2" w14:textId="77777777" w:rsidR="00F946FF" w:rsidRPr="00F946FF" w:rsidRDefault="00F946FF" w:rsidP="00F946F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Decreto 576: Programa de incentivo ao empreendedorismo com bônus de US$ 1.000.</w:t>
      </w:r>
    </w:p>
    <w:p w14:paraId="171F2B2A" w14:textId="77777777" w:rsidR="00F946FF" w:rsidRPr="00F946FF" w:rsidRDefault="00F946FF" w:rsidP="00F946F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Decreto 583: Expansão dos bônus para empreendedores.</w:t>
      </w:r>
    </w:p>
    <w:p w14:paraId="21C79AF7" w14:textId="77777777" w:rsidR="00F946FF" w:rsidRPr="00F946FF" w:rsidRDefault="00F946FF" w:rsidP="00F946F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Decretos 584 e 585: Compensações econômicas de US$ 500 para membros das Forças Armadas e da Polícia Nacional.</w:t>
      </w:r>
    </w:p>
    <w:p w14:paraId="0190B742" w14:textId="77777777" w:rsidR="00F946FF" w:rsidRPr="00F946FF" w:rsidRDefault="00F946FF" w:rsidP="00F946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Gastos Públicos Elevados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Desde o início do ano, Noboa anunciou 14 decretos relacionados a benefícios sociais e incentivos econômicos, totalizando US$ 518 milhões em custos ao Estado. Esses gastos coincidem com o período eleitoral, levantando suspeitas sobre sua finalidade.</w:t>
      </w:r>
    </w:p>
    <w:p w14:paraId="27D31FAE" w14:textId="77777777" w:rsidR="00F946FF" w:rsidRPr="00F946FF" w:rsidRDefault="00F946FF" w:rsidP="00F946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Corte nos Repasses às Prefeituras Opositoras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Além dos benefícios direcionados à população, o governo federal tem atrasado ou cortado repasses constitucionais para prefeituras controladas pela oposição. Enquanto isso, aliados políticos recebem os fundos regularmente, criando um ambiente desigual e prejudicando as administrações locais opositoras.</w:t>
      </w:r>
    </w:p>
    <w:p w14:paraId="697316FC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Essas ações demonstram um uso estratégico dos recursos públicos para influenciar diretamente os resultados eleitorais.</w:t>
      </w:r>
    </w:p>
    <w:p w14:paraId="7F45BB27" w14:textId="77777777" w:rsidR="00F946FF" w:rsidRPr="00F946FF" w:rsidRDefault="00F946FF" w:rsidP="00F946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Estado de Exceção: Controle Social Disfarçado</w:t>
      </w:r>
    </w:p>
    <w:p w14:paraId="3129BFCE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estado de exceção declarado pelo governo Noboa em várias províncias também levanta preocupações sobre seu impacto nas eleições:</w:t>
      </w:r>
    </w:p>
    <w:p w14:paraId="29B0063F" w14:textId="77777777" w:rsidR="00F946FF" w:rsidRPr="00F946FF" w:rsidRDefault="00F946FF" w:rsidP="00F946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Suspensão de Direitos Fundamentais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O decreto executivo suspende direitos como liberdade de reunião e trânsito em várias regiões do país. Embora justificado pela "grave comoção interna", críticos apontam que essas medidas restringem direitos fundamentais em um momento crucial para a democracia.</w:t>
      </w:r>
    </w:p>
    <w:p w14:paraId="60EC7281" w14:textId="77777777" w:rsidR="00F946FF" w:rsidRPr="00F946FF" w:rsidRDefault="00F946FF" w:rsidP="00F946F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Mobilização das Forças Armadas e Polícia Nacional</w:t>
      </w: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mobilização das forças de segurança durante o estado de exceção pode ser interpretada como uma tentativa de criar um ambiente intimidatório para os eleitores e opositores políticos.</w:t>
      </w:r>
    </w:p>
    <w:p w14:paraId="69F1B3F9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Essas medidas reforçam a percepção de controle social exercido pelo governo durante o período eleitoral.</w:t>
      </w:r>
    </w:p>
    <w:p w14:paraId="789253FC" w14:textId="77777777" w:rsidR="00F946FF" w:rsidRPr="00F946FF" w:rsidRDefault="00F946FF" w:rsidP="00F946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Narrativa Oficial: A Retórica Antidemocrática</w:t>
      </w:r>
    </w:p>
    <w:p w14:paraId="20ACE668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Além das ações concretas, o discurso oficial também contribui para minar a confiança no processo eleitoral:</w:t>
      </w:r>
    </w:p>
    <w:p w14:paraId="240FE100" w14:textId="77777777" w:rsidR="00F946FF" w:rsidRPr="00F946FF" w:rsidRDefault="00F946FF" w:rsidP="00F946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Noboa declarou publicamente que não reconheceria os resultados caso perdesse as eleições, sugerindo fraude como única explicação possível para uma eventual derrota.</w:t>
      </w:r>
    </w:p>
    <w:p w14:paraId="10377FD7" w14:textId="77777777" w:rsidR="00F946FF" w:rsidRPr="00F946FF" w:rsidRDefault="00F946FF" w:rsidP="00F946F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Essa retórica polarizadora não apenas deslegitima as instituições eleitorais como também cria um ambiente político tenso e hostil.</w:t>
      </w:r>
    </w:p>
    <w:p w14:paraId="3C300F7B" w14:textId="77777777" w:rsidR="00F946FF" w:rsidRPr="00F946FF" w:rsidRDefault="00F946FF" w:rsidP="00F946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Preocupação Internacional: Um Alerta Global</w:t>
      </w:r>
    </w:p>
    <w:p w14:paraId="1ACEBA40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comunidade internacional tem acompanhado com preocupação os eventos no Equador:</w:t>
      </w:r>
    </w:p>
    <w:p w14:paraId="07CBF78E" w14:textId="77777777" w:rsidR="00F946FF" w:rsidRPr="00F946FF" w:rsidRDefault="00F946FF" w:rsidP="00F946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Organizações como COPPPAL, União Europeia (UE), Mercosul e OEA expressaram estranheza diante das manobras políticas realizadas pelo governo.</w:t>
      </w:r>
    </w:p>
    <w:p w14:paraId="36E4AEF2" w14:textId="77777777" w:rsidR="00F946FF" w:rsidRPr="00F946FF" w:rsidRDefault="00F946FF" w:rsidP="00F946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Delegados internacionais foram impedidos de atuar como observadores nas eleições em última hora, levantando dúvidas sobre a transparência do processo.</w:t>
      </w:r>
    </w:p>
    <w:p w14:paraId="7E1841C4" w14:textId="77777777" w:rsidR="00F946FF" w:rsidRPr="00F946FF" w:rsidRDefault="00F946FF" w:rsidP="00F946F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Jornais internacionais têm publicado críticas contundentes ao cenário político equatoriano, enquanto políticos estrangeiros presentes no país relataram dificuldades em obter credenciais para monitorar as eleições.</w:t>
      </w:r>
    </w:p>
    <w:p w14:paraId="03A003D4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Esses eventos chamam atenção global para as irregularidades no processo eleitoral equatoriano.</w:t>
      </w:r>
    </w:p>
    <w:p w14:paraId="2CBF86A7" w14:textId="480E9695" w:rsidR="00F946FF" w:rsidRPr="00F946FF" w:rsidRDefault="00F946FF" w:rsidP="00F946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Eleições Marcadas por Desigualdade</w:t>
      </w:r>
    </w:p>
    <w:p w14:paraId="4A9D75B5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Embora não se possa afirmar categoricamente que há fraude nas eleições equatorianas, os eventos descritos indicam um cenário onde as condições não são justas nem democráticas. O uso sistemático do sistema judicial contra adversários políticos (</w:t>
      </w:r>
      <w:proofErr w:type="spellStart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lawfare</w:t>
      </w:r>
      <w:proofErr w:type="spellEnd"/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), o desvio estratégico dos recursos públicos para fins eleitorais e as restrições impostas por estados de exceção criam um ambiente desfavorável à competição política saudável.</w:t>
      </w:r>
    </w:p>
    <w:p w14:paraId="15B96DB5" w14:textId="77777777" w:rsidR="00F946FF" w:rsidRPr="00F946FF" w:rsidRDefault="00F946FF" w:rsidP="00F946F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F946FF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Além disso, a retórica oficial antidemocrática e as preocupações internacionais reforçam a percepção de que as eleições estão longe de ser transparentes ou livres. O Equador enfrenta um momento crítico em sua história democrática, exigindo atenção tanto nacional quanto internacional para garantir que os princípios democráticos sejam preservados.</w:t>
      </w:r>
    </w:p>
    <w:p w14:paraId="760FBEC6" w14:textId="060FD4C6" w:rsidR="00FF3143" w:rsidRPr="00902A66" w:rsidRDefault="006537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02A66">
        <w:rPr>
          <w:rFonts w:ascii="Times New Roman" w:hAnsi="Times New Roman" w:cs="Times New Roman"/>
          <w:b/>
          <w:bCs/>
          <w:sz w:val="36"/>
          <w:szCs w:val="36"/>
        </w:rPr>
        <w:t>Finalizando</w:t>
      </w:r>
    </w:p>
    <w:p w14:paraId="3B5C910C" w14:textId="5A972B8F" w:rsidR="00902A66" w:rsidRPr="00902A66" w:rsidRDefault="00902A66" w:rsidP="00902A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902A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Dois fatos ocorridos no dia da eleição chamaram especialmente a atenção e geraram grande preocupação. O primeiro foi a presença ostensiva das Forças Armadas, equipadas com armamento pesado, nos locais de votação e também nas coletivas do Conselho Nacional Eleitoral (CNE), criando um ambiente de intimidação incomum para um processo democrático.</w:t>
      </w:r>
      <w:r w:rsidR="001E41D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r w:rsidRPr="00902A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segundo aspecto diz respeito ao resultado das urnas: apesar das alianças políticas firmadas por </w:t>
      </w:r>
      <w:proofErr w:type="spellStart"/>
      <w:r w:rsidRPr="00902A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Luisa</w:t>
      </w:r>
      <w:proofErr w:type="spellEnd"/>
      <w:r w:rsidRPr="00902A6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González no segundo turno, esse apoio não se refletiu em votos, resultando em uma vantagem inesperada para Daniel Noboa, o que levantou questionamentos sobre a normalidade e a transparência do pleito.    </w:t>
      </w:r>
    </w:p>
    <w:p w14:paraId="34109E3B" w14:textId="77777777" w:rsidR="008C74FA" w:rsidRPr="008C74FA" w:rsidRDefault="008C74FA" w:rsidP="008C74FA">
      <w:pPr>
        <w:pStyle w:val="s3"/>
        <w:spacing w:before="75" w:beforeAutospacing="0" w:after="75" w:afterAutospacing="0" w:line="216" w:lineRule="atLeast"/>
        <w:rPr>
          <w:rFonts w:ascii="-webkit-standard" w:hAnsi="-webkit-standard"/>
          <w:color w:val="000000"/>
        </w:rPr>
      </w:pPr>
      <w:r w:rsidRPr="008C74FA">
        <w:rPr>
          <w:rStyle w:val="s6"/>
          <w:rFonts w:eastAsiaTheme="majorEastAsia"/>
          <w:color w:val="2A2426"/>
        </w:rPr>
        <w:t>Pedro Henrichs</w:t>
      </w:r>
    </w:p>
    <w:p w14:paraId="7C930CEE" w14:textId="77777777" w:rsidR="008C74FA" w:rsidRPr="008C74FA" w:rsidRDefault="008C74FA" w:rsidP="008C74FA">
      <w:pPr>
        <w:pStyle w:val="s3"/>
        <w:spacing w:before="75" w:beforeAutospacing="0" w:after="75" w:afterAutospacing="0" w:line="216" w:lineRule="atLeast"/>
        <w:rPr>
          <w:rFonts w:ascii="-webkit-standard" w:hAnsi="-webkit-standard"/>
          <w:color w:val="000000"/>
        </w:rPr>
      </w:pPr>
      <w:r w:rsidRPr="008C74FA">
        <w:rPr>
          <w:rStyle w:val="s6"/>
          <w:rFonts w:eastAsiaTheme="majorEastAsia"/>
          <w:color w:val="2A2426"/>
        </w:rPr>
        <w:t xml:space="preserve">Mestrando em Relações Internacionais no IDP (Instituto Brasileiro de ensino Desenvolvimento e Pesquisa), gestor Público, CEO da Henrichs Consultoria, Sec. </w:t>
      </w:r>
      <w:r w:rsidRPr="008C74FA">
        <w:rPr>
          <w:rStyle w:val="s6"/>
          <w:rFonts w:eastAsiaTheme="majorEastAsia"/>
          <w:color w:val="2A2426"/>
        </w:rPr>
        <w:lastRenderedPageBreak/>
        <w:t>Executivo Regenera Brasil, Ex-presidente do Fórum de Juventude dos BRICS,</w:t>
      </w:r>
      <w:r w:rsidRPr="008C74FA">
        <w:rPr>
          <w:rStyle w:val="apple-converted-space"/>
          <w:rFonts w:eastAsiaTheme="majorEastAsia"/>
          <w:color w:val="2A2426"/>
        </w:rPr>
        <w:t> </w:t>
      </w:r>
      <w:r w:rsidRPr="008C74FA">
        <w:rPr>
          <w:rStyle w:val="s6"/>
          <w:rFonts w:eastAsiaTheme="majorEastAsia"/>
          <w:color w:val="2A2426"/>
        </w:rPr>
        <w:t>Observador eleitoral há 15 anos, 18 países na América, 4 países na Europa, 1 na África, e 3 na Ásia.</w:t>
      </w:r>
    </w:p>
    <w:p w14:paraId="591148FC" w14:textId="77777777" w:rsidR="00902A66" w:rsidRDefault="00902A66"/>
    <w:sectPr w:rsidR="00902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C80"/>
    <w:multiLevelType w:val="multilevel"/>
    <w:tmpl w:val="673A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73D63"/>
    <w:multiLevelType w:val="multilevel"/>
    <w:tmpl w:val="9E1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F5E82"/>
    <w:multiLevelType w:val="multilevel"/>
    <w:tmpl w:val="D54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23D34"/>
    <w:multiLevelType w:val="multilevel"/>
    <w:tmpl w:val="4A9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B4031"/>
    <w:multiLevelType w:val="multilevel"/>
    <w:tmpl w:val="BD2E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E04F9"/>
    <w:multiLevelType w:val="multilevel"/>
    <w:tmpl w:val="D63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7112E"/>
    <w:multiLevelType w:val="multilevel"/>
    <w:tmpl w:val="9D76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8668">
    <w:abstractNumId w:val="4"/>
  </w:num>
  <w:num w:numId="2" w16cid:durableId="663627203">
    <w:abstractNumId w:val="1"/>
  </w:num>
  <w:num w:numId="3" w16cid:durableId="1087776364">
    <w:abstractNumId w:val="5"/>
  </w:num>
  <w:num w:numId="4" w16cid:durableId="462384997">
    <w:abstractNumId w:val="2"/>
  </w:num>
  <w:num w:numId="5" w16cid:durableId="1427311372">
    <w:abstractNumId w:val="3"/>
  </w:num>
  <w:num w:numId="6" w16cid:durableId="1749693288">
    <w:abstractNumId w:val="6"/>
  </w:num>
  <w:num w:numId="7" w16cid:durableId="109080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FF"/>
    <w:rsid w:val="0002291B"/>
    <w:rsid w:val="000D19CA"/>
    <w:rsid w:val="001E41DD"/>
    <w:rsid w:val="003102A3"/>
    <w:rsid w:val="00385DB3"/>
    <w:rsid w:val="003F744E"/>
    <w:rsid w:val="0045242A"/>
    <w:rsid w:val="0065372F"/>
    <w:rsid w:val="00691904"/>
    <w:rsid w:val="008C74FA"/>
    <w:rsid w:val="00902A66"/>
    <w:rsid w:val="00986CED"/>
    <w:rsid w:val="00A225DC"/>
    <w:rsid w:val="00D856BC"/>
    <w:rsid w:val="00F946FF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2F76"/>
  <w15:chartTrackingRefBased/>
  <w15:docId w15:val="{8F8E9DB1-3992-B84B-B8A2-CF5C3031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9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94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4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46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46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46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46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94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94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46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46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46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46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46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46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46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6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4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46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46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46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4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46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46FF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F946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946FF"/>
    <w:rPr>
      <w:b/>
      <w:bCs/>
    </w:rPr>
  </w:style>
  <w:style w:type="character" w:customStyle="1" w:styleId="apple-converted-space">
    <w:name w:val="apple-converted-space"/>
    <w:basedOn w:val="Fontepargpadro"/>
    <w:rsid w:val="00F946FF"/>
  </w:style>
  <w:style w:type="character" w:styleId="nfase">
    <w:name w:val="Emphasis"/>
    <w:basedOn w:val="Fontepargpadro"/>
    <w:uiPriority w:val="20"/>
    <w:qFormat/>
    <w:rsid w:val="00F946FF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F946F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946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overbg-super">
    <w:name w:val="hover:bg-super"/>
    <w:basedOn w:val="Fontepargpadro"/>
    <w:rsid w:val="00902A66"/>
  </w:style>
  <w:style w:type="character" w:customStyle="1" w:styleId="whitespace-nowrap">
    <w:name w:val="whitespace-nowrap"/>
    <w:basedOn w:val="Fontepargpadro"/>
    <w:rsid w:val="00902A66"/>
  </w:style>
  <w:style w:type="paragraph" w:customStyle="1" w:styleId="s3">
    <w:name w:val="s3"/>
    <w:basedOn w:val="Normal"/>
    <w:rsid w:val="008C74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6">
    <w:name w:val="s6"/>
    <w:basedOn w:val="Fontepargpadro"/>
    <w:rsid w:val="008C7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7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1176</Words>
  <Characters>6353</Characters>
  <Application>Microsoft Office Word</Application>
  <DocSecurity>0</DocSecurity>
  <Lines>52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12</cp:revision>
  <dcterms:created xsi:type="dcterms:W3CDTF">2025-04-13T15:22:00Z</dcterms:created>
  <dcterms:modified xsi:type="dcterms:W3CDTF">2025-04-24T13:36:00Z</dcterms:modified>
</cp:coreProperties>
</file>