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10716" w14:textId="78289CEB" w:rsidR="006D4AF3" w:rsidRPr="006D4AF3" w:rsidRDefault="006D4AF3" w:rsidP="006D4AF3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</w:p>
    <w:p w14:paraId="46DA5711" w14:textId="77777777" w:rsidR="006D4AF3" w:rsidRPr="006D4AF3" w:rsidRDefault="006D4AF3" w:rsidP="006D4AF3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</w:pPr>
      <w:r w:rsidRPr="006D4AF3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Das Raízes do Nacionalismo ao Enfrentamento Global no Século XXI</w:t>
      </w:r>
    </w:p>
    <w:p w14:paraId="414AF686" w14:textId="77777777" w:rsidR="006D4AF3" w:rsidRPr="006D4AF3" w:rsidRDefault="006D4AF3" w:rsidP="006D4AF3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6D4AF3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Por Pedro Henrichs</w:t>
      </w:r>
    </w:p>
    <w:p w14:paraId="73E05A3A" w14:textId="77777777" w:rsidR="006D4AF3" w:rsidRPr="006D4AF3" w:rsidRDefault="006D4AF3" w:rsidP="006D4AF3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6D4AF3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Para compreender o papel fundamental do Irã na política internacional contemporânea, é imperativo abandonar leituras simplificadas que reduzem o país a um “regime radical” ou a um ator meramente irracional. O Irã moderno é o resultado de uma sequência de eventos históricos profundamente traumáticos: golpes arquitetados externamente, revoluções internas de massa, guerras devastadoras e décadas de um isolamento econômico severo. A política iraniana atual não pode ser compreendida sem considerar essas experiências acumuladas ao longo de mais de setenta anos. Cada decisão estratégica tomada por Teerã carrega a memória viva de intervenções estrangeiras que moldaram a percepção de ameaça do Estado iraniano.</w:t>
      </w:r>
    </w:p>
    <w:p w14:paraId="00F26453" w14:textId="44449056" w:rsidR="006D4AF3" w:rsidRPr="006D4AF3" w:rsidRDefault="006D4AF3" w:rsidP="006D4AF3">
      <w:pPr>
        <w:spacing w:after="100" w:afterAutospacing="1" w:line="240" w:lineRule="auto"/>
        <w:outlineLvl w:val="2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6D4AF3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O Golpe de 1953 e a Soberania Interrompida</w:t>
      </w:r>
    </w:p>
    <w:p w14:paraId="6DFF845D" w14:textId="77777777" w:rsidR="006D4AF3" w:rsidRPr="006D4AF3" w:rsidRDefault="006D4AF3" w:rsidP="006D4AF3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6D4AF3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O primeiro grande ponto de inflexão da história contemporânea iraniana ocorreu em agosto de 1953. O primeiro-ministro democraticamente eleito, Mohammad </w:t>
      </w:r>
      <w:proofErr w:type="spellStart"/>
      <w:r w:rsidRPr="006D4AF3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Mossadegh</w:t>
      </w:r>
      <w:proofErr w:type="spellEnd"/>
      <w:r w:rsidRPr="006D4AF3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, foi derrubado por um golpe de Estado orquestrado pela CIA (Estados Unidos) e pelo MI6 (Reino Unido). </w:t>
      </w:r>
      <w:proofErr w:type="spellStart"/>
      <w:r w:rsidRPr="006D4AF3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Mossadegh</w:t>
      </w:r>
      <w:proofErr w:type="spellEnd"/>
      <w:r w:rsidRPr="006D4AF3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havia tomado uma decisão soberana que, à época, foi considerada inaceitável pelas potências ocidentais: a nacionalização da indústria petrolífera iraniana, então sob o controle da </w:t>
      </w:r>
      <w:r w:rsidRPr="006D4AF3">
        <w:rPr>
          <w:rFonts w:ascii="Arial" w:eastAsia="Times New Roman" w:hAnsi="Arial" w:cs="Arial"/>
          <w:i/>
          <w:iCs/>
          <w:color w:val="000000"/>
          <w:kern w:val="0"/>
          <w:lang w:eastAsia="pt-BR"/>
          <w14:ligatures w14:val="none"/>
        </w:rPr>
        <w:t>Anglo-</w:t>
      </w:r>
      <w:proofErr w:type="spellStart"/>
      <w:r w:rsidRPr="006D4AF3">
        <w:rPr>
          <w:rFonts w:ascii="Arial" w:eastAsia="Times New Roman" w:hAnsi="Arial" w:cs="Arial"/>
          <w:i/>
          <w:iCs/>
          <w:color w:val="000000"/>
          <w:kern w:val="0"/>
          <w:lang w:eastAsia="pt-BR"/>
          <w14:ligatures w14:val="none"/>
        </w:rPr>
        <w:t>Iranian</w:t>
      </w:r>
      <w:proofErr w:type="spellEnd"/>
      <w:r w:rsidRPr="006D4AF3">
        <w:rPr>
          <w:rFonts w:ascii="Arial" w:eastAsia="Times New Roman" w:hAnsi="Arial" w:cs="Arial"/>
          <w:i/>
          <w:iCs/>
          <w:color w:val="000000"/>
          <w:kern w:val="0"/>
          <w:lang w:eastAsia="pt-BR"/>
          <w14:ligatures w14:val="none"/>
        </w:rPr>
        <w:t xml:space="preserve"> </w:t>
      </w:r>
      <w:proofErr w:type="spellStart"/>
      <w:r w:rsidRPr="006D4AF3">
        <w:rPr>
          <w:rFonts w:ascii="Arial" w:eastAsia="Times New Roman" w:hAnsi="Arial" w:cs="Arial"/>
          <w:i/>
          <w:iCs/>
          <w:color w:val="000000"/>
          <w:kern w:val="0"/>
          <w:lang w:eastAsia="pt-BR"/>
          <w14:ligatures w14:val="none"/>
        </w:rPr>
        <w:t>Oil</w:t>
      </w:r>
      <w:proofErr w:type="spellEnd"/>
      <w:r w:rsidRPr="006D4AF3">
        <w:rPr>
          <w:rFonts w:ascii="Arial" w:eastAsia="Times New Roman" w:hAnsi="Arial" w:cs="Arial"/>
          <w:i/>
          <w:iCs/>
          <w:color w:val="000000"/>
          <w:kern w:val="0"/>
          <w:lang w:eastAsia="pt-BR"/>
          <w14:ligatures w14:val="none"/>
        </w:rPr>
        <w:t xml:space="preserve"> </w:t>
      </w:r>
      <w:proofErr w:type="spellStart"/>
      <w:r w:rsidRPr="006D4AF3">
        <w:rPr>
          <w:rFonts w:ascii="Arial" w:eastAsia="Times New Roman" w:hAnsi="Arial" w:cs="Arial"/>
          <w:i/>
          <w:iCs/>
          <w:color w:val="000000"/>
          <w:kern w:val="0"/>
          <w:lang w:eastAsia="pt-BR"/>
          <w14:ligatures w14:val="none"/>
        </w:rPr>
        <w:t>Company</w:t>
      </w:r>
      <w:proofErr w:type="spellEnd"/>
      <w:r w:rsidRPr="006D4AF3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.</w:t>
      </w:r>
    </w:p>
    <w:p w14:paraId="7E85D72C" w14:textId="77777777" w:rsidR="006D4AF3" w:rsidRPr="006D4AF3" w:rsidRDefault="006D4AF3" w:rsidP="006D4AF3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6D4AF3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Para Londres e Washington, este ato representava não apenas uma perda econômica, mas um precedente perigoso em plena Guerra Fria. A resposta foi a Operação Ajax. O golpe destituiu </w:t>
      </w:r>
      <w:proofErr w:type="spellStart"/>
      <w:r w:rsidRPr="006D4AF3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Mossadegh</w:t>
      </w:r>
      <w:proofErr w:type="spellEnd"/>
      <w:r w:rsidRPr="006D4AF3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e consolidou o poder absoluto do Xá Mohammad Reza </w:t>
      </w:r>
      <w:proofErr w:type="spellStart"/>
      <w:r w:rsidRPr="006D4AF3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Pahlavi</w:t>
      </w:r>
      <w:proofErr w:type="spellEnd"/>
      <w:r w:rsidRPr="006D4AF3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. Para muitos iranianos, 1953 marca o momento em que a democracia foi sacrificada em prol do petróleo e dos interesses geopolíticos ocidentais, alimentando um sentimento anti-imperialista que ecoa até hoje. Este trauma fundamentou a tese de que qualquer abertura democrática poderia ser manipulada por inteligências estrangeiras.</w:t>
      </w:r>
    </w:p>
    <w:p w14:paraId="6F9CB43C" w14:textId="15620717" w:rsidR="006D4AF3" w:rsidRPr="006D4AF3" w:rsidRDefault="006D4AF3" w:rsidP="006D4AF3">
      <w:pPr>
        <w:spacing w:after="100" w:afterAutospacing="1" w:line="240" w:lineRule="auto"/>
        <w:outlineLvl w:val="2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6D4AF3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A Revolução de 1979 e o Surgimento da República Islâmica</w:t>
      </w:r>
    </w:p>
    <w:p w14:paraId="69BB485F" w14:textId="77777777" w:rsidR="006D4AF3" w:rsidRPr="006D4AF3" w:rsidRDefault="006D4AF3" w:rsidP="006D4AF3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6D4AF3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Após décadas de um governo autocrático e pró-ocidental do Xá, marcado por uma modernização acelerada e, muitas vezes, violenta através da polícia secreta (SAVAK), o descontentamento popular atingiu o ápice em 1979. A Revolução Iraniana não foi apenas um movimento religioso, mas uma coalizão ampla de islâmicos, esquerdistas e liberais unidos contra a tirania e a dependência externa.</w:t>
      </w:r>
    </w:p>
    <w:p w14:paraId="50D457FA" w14:textId="77777777" w:rsidR="006D4AF3" w:rsidRPr="006D4AF3" w:rsidRDefault="006D4AF3" w:rsidP="006D4AF3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6D4AF3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Com o retorno do </w:t>
      </w:r>
      <w:r w:rsidRPr="006D4AF3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Ayatollah Ruhollah Khomeini</w:t>
      </w:r>
      <w:r w:rsidRPr="006D4AF3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 do exílio em Paris, o Irã transmutou-se de uma monarquia secular em uma República Islâmica. Este evento redefiniu o equilíbrio de poder no Oriente Médio. O país passou de principal aliado americano na região para seu maior adversário. A Crise dos Reféns (1979-1981), com o cerco à embaixada americana em Teerã, selou o rompimento diplomático total. A partir </w:t>
      </w:r>
      <w:proofErr w:type="gramStart"/>
      <w:r w:rsidRPr="006D4AF3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dali, o</w:t>
      </w:r>
      <w:proofErr w:type="gramEnd"/>
      <w:r w:rsidRPr="006D4AF3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Irã não era apenas um país </w:t>
      </w:r>
      <w:r w:rsidRPr="006D4AF3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lastRenderedPageBreak/>
        <w:t>soberano, mas um símbolo de resistência à hegemonia ocidental, alterando para sempre a dinâmica do Golfo Pérsico.</w:t>
      </w:r>
    </w:p>
    <w:p w14:paraId="7D3FE822" w14:textId="39233C1C" w:rsidR="006D4AF3" w:rsidRPr="006D4AF3" w:rsidRDefault="006D4AF3" w:rsidP="006D4AF3">
      <w:pPr>
        <w:spacing w:after="100" w:afterAutospacing="1" w:line="240" w:lineRule="auto"/>
        <w:outlineLvl w:val="2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6D4AF3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A "Defesa Sagrada": O Impacto da Guerra Irã-Iraque</w:t>
      </w:r>
    </w:p>
    <w:p w14:paraId="17B96A26" w14:textId="77777777" w:rsidR="006D4AF3" w:rsidRPr="006D4AF3" w:rsidRDefault="006D4AF3" w:rsidP="006D4AF3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6D4AF3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Apenas um ano após a revolução, em setembro de 1980, o Iraque de Saddam Hussein invadiu o Irã, aproveitando-se da aparente fragilidade institucional do novo regime. O que se seguiu foi uma das guerras mais longas e sangrentas do século XX, com cerca de um milhão de mortos e o uso extensivo de armas químicas contra iranianos.</w:t>
      </w:r>
    </w:p>
    <w:p w14:paraId="3F29E8C8" w14:textId="654D1CD0" w:rsidR="006D4AF3" w:rsidRPr="006D4AF3" w:rsidRDefault="006D4AF3" w:rsidP="006D4AF3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6D4AF3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Durante este conflito, o Irã viu-se isolado, enquanto o Iraque recebia apoio logístico e financeiro de diversas potências ocidentais e árabes. Esta experiência consolidou a mentalidade de "defesa sagrada" e a convicção de que o país só poderia contar consigo mesmo. A criação da Guarda Revolucionária (IRGC) e o desenvolvimento de uma indústria de defesa própria</w:t>
      </w:r>
      <w:r w:rsidR="00382FDB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,</w:t>
      </w:r>
      <w:r w:rsidRPr="006D4AF3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focada em mísseis e drones</w:t>
      </w:r>
      <w:r w:rsidR="00382FDB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,</w:t>
      </w:r>
      <w:r w:rsidRPr="006D4AF3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nasceram deste isolamento forçado. Para o Irã, a guerra não foi apenas um conflito de fronteira, mas um teste de sobrevivência para a própria Revolução.</w:t>
      </w:r>
    </w:p>
    <w:p w14:paraId="45D4043E" w14:textId="5AC240D7" w:rsidR="006D4AF3" w:rsidRPr="006D4AF3" w:rsidRDefault="006D4AF3" w:rsidP="006D4AF3">
      <w:pPr>
        <w:spacing w:after="100" w:afterAutospacing="1" w:line="240" w:lineRule="auto"/>
        <w:outlineLvl w:val="2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6D4AF3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A Era de Ali Khamenei e a Profundidade Estratégica</w:t>
      </w:r>
    </w:p>
    <w:p w14:paraId="71B39237" w14:textId="5D27E2C0" w:rsidR="006D4AF3" w:rsidRPr="006D4AF3" w:rsidRDefault="006D4AF3" w:rsidP="006D4AF3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6D4AF3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Após a morte de Khomeini em 1989, o cargo de Líder Supremo foi assumido por </w:t>
      </w:r>
      <w:r w:rsidRPr="006D4AF3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Ali Khamenei</w:t>
      </w:r>
      <w:r w:rsidRPr="006D4AF3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. Sob seu comando, o Irã desenvolveu a doutrina da "profundidade estratégica". Incapaz de competir em gastos militares convencionais com os EUA ou Israel, Teerã passou a investir em uma rede de aliados regionais</w:t>
      </w:r>
      <w:r w:rsidR="00382FDB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,</w:t>
      </w:r>
      <w:r w:rsidRPr="006D4AF3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o chamado "Eixo de Resistência".</w:t>
      </w:r>
    </w:p>
    <w:p w14:paraId="10FD4411" w14:textId="77777777" w:rsidR="006D4AF3" w:rsidRPr="006D4AF3" w:rsidRDefault="006D4AF3" w:rsidP="006D4AF3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6D4AF3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Isso inclui o apoio ao Hezbollah no Líbano, milícias no Iraque, o governo de Bashar al-Assad na Síria e os Houthis no Iêmen. Esta rede funciona como uma zona de dissuasão, permitindo ao Irã projetar poder e responder a ameaças longe de suas fronteiras. Paralelamente, o programa nuclear iraniano tornou-se o maior ponto de atrito global. Embora Teerã afirme que o programa possui fins civis, para o Ocidente e Israel, ele representa uma ameaça existencial. A retirada unilateral de Donald Trump do acordo nuclear (JCPOA) em 2018 intensificou a política de "pressão máxima", empurrando o Irã para uma postura ainda mais defensiva e resiliente.</w:t>
      </w:r>
    </w:p>
    <w:p w14:paraId="5F28EBDB" w14:textId="5E32D2C3" w:rsidR="006D4AF3" w:rsidRPr="006D4AF3" w:rsidRDefault="006D4AF3" w:rsidP="006D4AF3">
      <w:pPr>
        <w:spacing w:after="100" w:afterAutospacing="1" w:line="240" w:lineRule="auto"/>
        <w:outlineLvl w:val="2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6D4AF3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O Impacto das Sanções e a Economia de Resistência</w:t>
      </w:r>
    </w:p>
    <w:p w14:paraId="3FED2CCA" w14:textId="77777777" w:rsidR="006D4AF3" w:rsidRPr="006D4AF3" w:rsidRDefault="006D4AF3" w:rsidP="006D4AF3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6D4AF3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Aprofundando a análise sobre o isolamento iraniano, é crucial observar como as sanções econômicas moldaram a vida cotidiana e a psique nacional. O que Washington denomina como "pressão máxima" traduz-se, no terreno, em uma asfixia financeira que atinge desde o acesso a medicamentos essenciais até a modernização da infraestrutura civil. No entanto, em vez de colapsar, o Estado iraniano desenvolveu o que chama de </w:t>
      </w:r>
      <w:r w:rsidRPr="006D4AF3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"Economia de Resistência"</w:t>
      </w:r>
      <w:r w:rsidRPr="006D4AF3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.</w:t>
      </w:r>
    </w:p>
    <w:p w14:paraId="08DC215F" w14:textId="2DC717AE" w:rsidR="006D4AF3" w:rsidRPr="006D4AF3" w:rsidRDefault="006D4AF3" w:rsidP="006D4AF3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6D4AF3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Este modelo busca a autossuficiência através da substituição de importações e do fortalecimento de laços comerciais com potências que desafiam a hegemonia do dólar, como a China e a Rússia. O custo social, contudo, é </w:t>
      </w:r>
      <w:r w:rsidRPr="006D4AF3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lastRenderedPageBreak/>
        <w:t>imenso: a inflação persistente e a desvalorização da moeda corroem o poder de compra da classe média, criando uma tensão interna latente. Para o governo, no entanto, essas dificuldades são apresentadas como o preço necessário da independência nacional</w:t>
      </w:r>
      <w:r w:rsidR="00382FDB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,</w:t>
      </w:r>
      <w:r w:rsidRPr="006D4AF3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uma narrativa que ressoa com a memória dos abusos da era do Xá e do golpe de 1953. Assim, a economia não é apenas uma questão de números, mas um campo de batalha ideológico onde a resiliência é testada diariamente.</w:t>
      </w:r>
    </w:p>
    <w:p w14:paraId="7FF8E0C5" w14:textId="49E43FF5" w:rsidR="006D4AF3" w:rsidRPr="006D4AF3" w:rsidRDefault="006D4AF3" w:rsidP="006D4AF3">
      <w:pPr>
        <w:spacing w:after="100" w:afterAutospacing="1" w:line="240" w:lineRule="auto"/>
        <w:outlineLvl w:val="2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6D4AF3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O Peso da História no Tabuleiro de 2026</w:t>
      </w:r>
    </w:p>
    <w:p w14:paraId="09D3ECAA" w14:textId="77777777" w:rsidR="006D4AF3" w:rsidRPr="006D4AF3" w:rsidRDefault="006D4AF3" w:rsidP="006D4AF3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6D4AF3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O Irã contemporâneo é o produto de uma história marcada pela resistência e pela adaptação ao cerco. O golpe de 1953 alimentou uma desconfiança profunda; a revolução de 1979 redefiniu a identidade política; e a guerra com o Iraque forjou a musculatura militar do país.</w:t>
      </w:r>
    </w:p>
    <w:p w14:paraId="222AFC6B" w14:textId="77777777" w:rsidR="006D4AF3" w:rsidRPr="006D4AF3" w:rsidRDefault="006D4AF3" w:rsidP="006D4AF3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6D4AF3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Ao chegar em 2026, com a morte de figuras centrais e a escalada de ataques diretos, o Irã enfrenta seu maior desafio desde a fundação da República Islâmica. Sem este contexto histórico, as ações iranianas correm o risco de serem interpretadas apenas como ideologia. Na verdade, elas são o resultado de um cálculo estratégico baseado na memória de um Estado que aprendeu que a soberania é mantida sob constante pressão. Compreender essa trajetória é o único caminho para qualquer análise séria sobre as tensões que hoje definem o destino do Oriente Médio.</w:t>
      </w:r>
    </w:p>
    <w:p w14:paraId="6622535C" w14:textId="62BC9839" w:rsidR="006D4AF3" w:rsidRPr="006D4AF3" w:rsidRDefault="006D4AF3" w:rsidP="006D4AF3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</w:p>
    <w:p w14:paraId="4DE4DCFE" w14:textId="77777777" w:rsidR="006D4AF3" w:rsidRPr="006D4AF3" w:rsidRDefault="006D4AF3" w:rsidP="006D4AF3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  <w:r w:rsidRPr="006D4AF3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Pedro Henrichs</w:t>
      </w:r>
    </w:p>
    <w:p w14:paraId="5FFEDDAE" w14:textId="77777777" w:rsidR="006D4AF3" w:rsidRPr="006D4AF3" w:rsidRDefault="006D4AF3" w:rsidP="006D4AF3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  <w:r w:rsidRPr="006D4AF3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Mestrando em Relações Internacionais e Ciência Política no IDP, Gestor Público e CEO da Henrichs Consultoria. Atua como observador eleitoral há 15 anos em 26 países.</w:t>
      </w:r>
    </w:p>
    <w:p w14:paraId="07FAD8E3" w14:textId="01DC4389" w:rsidR="00277640" w:rsidRPr="006D4AF3" w:rsidRDefault="00277640" w:rsidP="006D4AF3"/>
    <w:sectPr w:rsidR="00277640" w:rsidRPr="006D4AF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AF3"/>
    <w:rsid w:val="00277640"/>
    <w:rsid w:val="00382FDB"/>
    <w:rsid w:val="006D4AF3"/>
    <w:rsid w:val="00912337"/>
    <w:rsid w:val="00B41486"/>
    <w:rsid w:val="00C72C63"/>
    <w:rsid w:val="00DF2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C58931"/>
  <w15:chartTrackingRefBased/>
  <w15:docId w15:val="{46D363C0-A1E4-454B-AC25-A8DE89E44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D4A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D4A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6D4A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D4A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D4A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D4A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D4A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D4A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D4A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D4A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D4A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6D4A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D4AF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D4AF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D4A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D4AF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D4A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D4A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D4A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D4A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D4A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D4A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D4A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D4AF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D4AF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D4AF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D4A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D4AF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D4AF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D4A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apple-converted-space">
    <w:name w:val="apple-converted-space"/>
    <w:basedOn w:val="Fontepargpadro"/>
    <w:rsid w:val="006D4AF3"/>
  </w:style>
  <w:style w:type="character" w:customStyle="1" w:styleId="citation-1374">
    <w:name w:val="citation-1374"/>
    <w:basedOn w:val="Fontepargpadro"/>
    <w:rsid w:val="006D4A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1273</Words>
  <Characters>5793</Characters>
  <Application>Microsoft Office Word</Application>
  <DocSecurity>0</DocSecurity>
  <Lines>125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henrichs</dc:creator>
  <cp:keywords/>
  <dc:description/>
  <cp:lastModifiedBy>Pedro henrichs</cp:lastModifiedBy>
  <cp:revision>2</cp:revision>
  <dcterms:created xsi:type="dcterms:W3CDTF">2026-03-05T21:02:00Z</dcterms:created>
  <dcterms:modified xsi:type="dcterms:W3CDTF">2026-03-05T21:17:00Z</dcterms:modified>
</cp:coreProperties>
</file>