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6821" w:rsidRPr="005D5C77" w:rsidRDefault="001F3190" w:rsidP="000F564A">
      <w:pPr>
        <w:pStyle w:val="Ttulo"/>
        <w:spacing w:line="360" w:lineRule="auto"/>
        <w:ind w:firstLine="1134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t>GOVERNANÇA CLIMÁTICA E POLÍTICAS PÚBLICAS AMBIENTAIS EM BELÉM (PA)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t>Pedro – Mestrando em Ciência Política (IDP)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t>Resumo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Belém, capital do Pará e futura sede da COP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30, enfrenta desafios estruturais de saneamento, gestão de riscos hidrometeorológicos e mitigação de emissões. Este artigo apresenta uma análise ESG integrada, utilizando dados do Sistema Nacional de Informações sobre Saneamento (SNIS, 2022) e do Inventário Municipal de GEE (2023), para propor eixos estratégicos de governança climática entre 2025 e 2030.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Palavras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chave: Belém; governança climática; políticas ambientais; ESG.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t>1 Introdução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Imaginem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Belém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como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 um laboratório vivo da transição socioecológica da Amazônia urbana.” Com essa provocação, inicio este estudo que busca alinhar teoria e prática na formulação de políticas públicas ambientais. Segundo o IPCC (2022), a cidade está em zona de alto risco hidrometeorológico; simultaneamente, apenas 19,9 % da população dispõe de coleta de esgoto (SNIS, 2022). A contradição entre urgência ambiental e baixa capacidade estatal inspira a pergunta de pesquisa: como estruturar uma governança climática capaz de entregar resultados concretos até 2030?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t>2 Metodologia</w:t>
      </w:r>
    </w:p>
    <w:p w:rsidR="00CF6821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Utilizou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se método quali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quantitativo: (i) análise documental de 18 instrumentos normativos municipais, estaduais e federais; (ii) síntese de indicadores ESG (SNIS, 2022; Inventário de GEE, 2023); e (iii) entrevistas semiestruturadas com nove gestores públicos realizadas entre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abril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 e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junho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 de 2025.</w:t>
      </w:r>
    </w:p>
    <w:p w:rsidR="000F564A" w:rsidRDefault="000F564A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0F564A" w:rsidRPr="005D5C77" w:rsidRDefault="000F564A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3 Resultados e Discussão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>
            <wp:extent cx="5029200" cy="3013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emission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821" w:rsidRPr="005D5C77" w:rsidRDefault="001F3190" w:rsidP="000F564A">
      <w:pPr>
        <w:pStyle w:val="Legenda"/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Figura 2 – Emissões de GEE por setor – Belém 2023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• Ambiente — O Inventário de 2023 aponta 1,68 MtCO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₂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e, dos quais 53 % provêm do transporte rodoviário privado. A supressão anual de manguezal urbano atinge 20 ha (Brito &amp; Oliveira, 2021).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• Social — 41 % dos domicílios localizam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se em áreas de risco de alagamento; mulheres chefes de família têm 1,7 vez mais probabilidade de sofrer perda de renda após eventos extremos (ICLEI, 2024).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• Governança — A Secretaria Municipal de Meio Ambiente opera com 0,9 % do orçamento total (LOA 2024) e carece de lei climática específica.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Projeções indicam que, sem intervenção, os custos anuais com inundações podem chegar a R$ 270 milhões em 2030 (FAPESPA, 2025).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t>4 Proposta de Intervenção 2025</w:t>
      </w:r>
      <w:r w:rsidRPr="005D5C77">
        <w:rPr>
          <w:rFonts w:ascii="Cambria Math" w:hAnsi="Cambria Math" w:cs="Cambria Math"/>
          <w:b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t>2030</w:t>
      </w:r>
    </w:p>
    <w:p w:rsidR="005A7198" w:rsidRDefault="001F3190" w:rsidP="005A7198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5A7198">
        <w:rPr>
          <w:rFonts w:ascii="Arial" w:hAnsi="Arial" w:cs="Arial"/>
          <w:color w:val="000000" w:themeColor="text1"/>
          <w:sz w:val="24"/>
          <w:szCs w:val="24"/>
        </w:rPr>
        <w:t>Comitê</w:t>
      </w:r>
      <w:proofErr w:type="spellEnd"/>
      <w:r w:rsidRPr="005A7198">
        <w:rPr>
          <w:rFonts w:ascii="Arial" w:hAnsi="Arial" w:cs="Arial"/>
          <w:color w:val="000000" w:themeColor="text1"/>
          <w:sz w:val="24"/>
          <w:szCs w:val="24"/>
        </w:rPr>
        <w:t xml:space="preserve"> Municipal de </w:t>
      </w:r>
      <w:proofErr w:type="spellStart"/>
      <w:r w:rsidRPr="005A7198">
        <w:rPr>
          <w:rFonts w:ascii="Arial" w:hAnsi="Arial" w:cs="Arial"/>
          <w:color w:val="000000" w:themeColor="text1"/>
          <w:sz w:val="24"/>
          <w:szCs w:val="24"/>
        </w:rPr>
        <w:t>Governança</w:t>
      </w:r>
      <w:proofErr w:type="spellEnd"/>
      <w:r w:rsidRPr="005A7198">
        <w:rPr>
          <w:rFonts w:ascii="Arial" w:hAnsi="Arial" w:cs="Arial"/>
          <w:color w:val="000000" w:themeColor="text1"/>
          <w:sz w:val="24"/>
          <w:szCs w:val="24"/>
        </w:rPr>
        <w:t xml:space="preserve"> Climática, com assentos paritários para sociedade civil e setor produtivo, regulamentado em até 90 dias.</w:t>
      </w:r>
      <w:r w:rsidRPr="005A7198">
        <w:rPr>
          <w:rFonts w:ascii="Arial" w:hAnsi="Arial" w:cs="Arial"/>
          <w:color w:val="000000" w:themeColor="text1"/>
          <w:sz w:val="24"/>
          <w:szCs w:val="24"/>
        </w:rPr>
        <w:br/>
      </w:r>
      <w:r w:rsidRPr="005A7198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b) Revisão do Plano Diretor Urbano para incorporar meta de </w:t>
      </w:r>
      <w:proofErr w:type="spellStart"/>
      <w:r w:rsidRPr="005A7198">
        <w:rPr>
          <w:rFonts w:ascii="Arial" w:hAnsi="Arial" w:cs="Arial"/>
          <w:color w:val="000000" w:themeColor="text1"/>
          <w:sz w:val="24"/>
          <w:szCs w:val="24"/>
        </w:rPr>
        <w:t>neutralidade</w:t>
      </w:r>
      <w:proofErr w:type="spellEnd"/>
      <w:r w:rsidRPr="005A7198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proofErr w:type="spellStart"/>
      <w:r w:rsidRPr="005A7198">
        <w:rPr>
          <w:rFonts w:ascii="Arial" w:hAnsi="Arial" w:cs="Arial"/>
          <w:color w:val="000000" w:themeColor="text1"/>
          <w:sz w:val="24"/>
          <w:szCs w:val="24"/>
        </w:rPr>
        <w:t>carbono</w:t>
      </w:r>
      <w:proofErr w:type="spellEnd"/>
      <w:r w:rsidRPr="005A719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5A7198">
        <w:rPr>
          <w:rFonts w:ascii="Arial" w:hAnsi="Arial" w:cs="Arial"/>
          <w:color w:val="000000" w:themeColor="text1"/>
          <w:sz w:val="24"/>
          <w:szCs w:val="24"/>
        </w:rPr>
        <w:t>até</w:t>
      </w:r>
      <w:proofErr w:type="spellEnd"/>
      <w:r w:rsidRPr="005A7198">
        <w:rPr>
          <w:rFonts w:ascii="Arial" w:hAnsi="Arial" w:cs="Arial"/>
          <w:color w:val="000000" w:themeColor="text1"/>
          <w:sz w:val="24"/>
          <w:szCs w:val="24"/>
        </w:rPr>
        <w:t xml:space="preserve"> 2050.</w:t>
      </w:r>
    </w:p>
    <w:p w:rsidR="005A7198" w:rsidRPr="005A7198" w:rsidRDefault="001F3190" w:rsidP="005A7198">
      <w:pPr>
        <w:pStyle w:val="PargrafodaLista"/>
        <w:spacing w:line="360" w:lineRule="auto"/>
        <w:ind w:left="149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A7198">
        <w:rPr>
          <w:rFonts w:ascii="Arial" w:hAnsi="Arial" w:cs="Arial"/>
          <w:color w:val="000000" w:themeColor="text1"/>
          <w:sz w:val="24"/>
          <w:szCs w:val="24"/>
        </w:rPr>
        <w:br/>
        <w:t xml:space="preserve">c) Criação do Fundo Municipal de Resiliência, com receitas de títulos verdes estaduais e repasses do Fundo Verde para o </w:t>
      </w:r>
      <w:proofErr w:type="spellStart"/>
      <w:r w:rsidRPr="005A7198">
        <w:rPr>
          <w:rFonts w:ascii="Arial" w:hAnsi="Arial" w:cs="Arial"/>
          <w:color w:val="000000" w:themeColor="text1"/>
          <w:sz w:val="24"/>
          <w:szCs w:val="24"/>
        </w:rPr>
        <w:t>Clima</w:t>
      </w:r>
      <w:proofErr w:type="spellEnd"/>
      <w:r w:rsidRPr="005A7198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CF6821" w:rsidRPr="005A7198" w:rsidRDefault="001F3190" w:rsidP="005A7198">
      <w:pPr>
        <w:pStyle w:val="PargrafodaLista"/>
        <w:spacing w:line="360" w:lineRule="auto"/>
        <w:ind w:left="149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A7198">
        <w:rPr>
          <w:rFonts w:ascii="Arial" w:hAnsi="Arial" w:cs="Arial"/>
          <w:color w:val="000000" w:themeColor="text1"/>
          <w:sz w:val="24"/>
          <w:szCs w:val="24"/>
        </w:rPr>
        <w:br/>
        <w:t>d) Instalação de 30 km de corredores verdes drenantes em áreas críticas, reduzindo em 15 % a profundidade média de alagamentos segundo modelagem hidráulica (UFPA, 2025).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t>5 Considerações Finais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Os resultados evidenciam que a lacuna de governabilidade pode ser superada por meio de instrumentos de responsabilização e financiamento inovador. A COP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30 oferece janela política para legitimar </w:t>
      </w:r>
      <w:proofErr w:type="gramStart"/>
      <w:r w:rsidRPr="005D5C77">
        <w:rPr>
          <w:rFonts w:ascii="Arial" w:hAnsi="Arial" w:cs="Arial"/>
          <w:color w:val="000000" w:themeColor="text1"/>
          <w:sz w:val="24"/>
          <w:szCs w:val="24"/>
        </w:rPr>
        <w:t>a</w:t>
      </w:r>
      <w:proofErr w:type="gram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 agenda e atrair recursos internacionais.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t>Referências</w:t>
      </w:r>
    </w:p>
    <w:p w:rsidR="00CF6821" w:rsidRPr="005D5C77" w:rsidRDefault="001F3190" w:rsidP="005A719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BRITO, D.; OLIVEIRA, T. Dinâmica do mangue urbano em Belém.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Revista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Amazônica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>, v. 12, p. 45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62, 2021.</w:t>
      </w:r>
    </w:p>
    <w:p w:rsidR="00CF6821" w:rsidRPr="005D5C77" w:rsidRDefault="001F3190" w:rsidP="005A719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FAPESPA. Moradia e Saneamento Básico no Pará. Nota Técnica </w:t>
      </w:r>
      <w:proofErr w:type="gramStart"/>
      <w:r w:rsidRPr="005D5C77">
        <w:rPr>
          <w:rFonts w:ascii="Arial" w:hAnsi="Arial" w:cs="Arial"/>
          <w:color w:val="000000" w:themeColor="text1"/>
          <w:sz w:val="24"/>
          <w:szCs w:val="24"/>
        </w:rPr>
        <w:t>n.º</w:t>
      </w:r>
      <w:proofErr w:type="gramEnd"/>
      <w:r w:rsidRPr="005D5C77">
        <w:rPr>
          <w:rFonts w:ascii="Arial" w:hAnsi="Arial" w:cs="Arial"/>
          <w:color w:val="000000" w:themeColor="text1"/>
          <w:sz w:val="24"/>
          <w:szCs w:val="24"/>
        </w:rPr>
        <w:t> 11, jun. 2025.</w:t>
      </w:r>
    </w:p>
    <w:p w:rsidR="00CF6821" w:rsidRPr="005D5C77" w:rsidRDefault="001F3190" w:rsidP="005A719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ICLEI. Diagnóstico de Vulnerabilidade Social de Belém. Relatório Técnico, 2024.</w:t>
      </w:r>
    </w:p>
    <w:p w:rsidR="00CF6821" w:rsidRPr="005D5C77" w:rsidRDefault="001F3190" w:rsidP="005A719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IPCC. Sixth Assessment Report. Geneva: IPCC, 2022.</w:t>
      </w:r>
    </w:p>
    <w:p w:rsidR="00CF6821" w:rsidRPr="005D5C77" w:rsidRDefault="001F3190" w:rsidP="005A719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SNIS. Sistema Nacional de Informações sobre Saneamento. Brasília: MCID, 2022.</w:t>
      </w:r>
    </w:p>
    <w:p w:rsidR="00CF6821" w:rsidRPr="005D5C77" w:rsidRDefault="001F3190" w:rsidP="005A719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UFPA. Modelagem hidráulica da Bacia do Tucunduba. Belém: LabHidro, 2025.</w:t>
      </w:r>
    </w:p>
    <w:p w:rsidR="00CF6821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br/>
      </w:r>
    </w:p>
    <w:p w:rsidR="005A7198" w:rsidRPr="005D5C77" w:rsidRDefault="005A7198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CF6821" w:rsidRPr="005A7198" w:rsidRDefault="001F3190" w:rsidP="005A7198">
      <w:pPr>
        <w:pStyle w:val="Ttulo"/>
        <w:spacing w:line="360" w:lineRule="auto"/>
        <w:ind w:firstLine="1134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5A7198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A COP30 COMO VETOR DE TRANSFORMAÇÃO E RESPONSABILIDADE MULTINÍVEL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Diogo José Andrade Romão – Mestrando em Ciência Política (IDP)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t>Resumo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Este artigo examina a COP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30, a ser realizada em Belém em novembro de 2025, como janela de oportunidade para reconfigurar a governança climática federativa brasileira. Utiliza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se o modelo das múltiplas correntes de Kingdon e análise de responsabilidade multinível para mapear competências, riscos e instrumentos de financiamento. Dados da Fundação Getulio Vargas (FGV) estimam 40 mil visitantes, exigindo investimentos de R$ 140 milhões apenas no setor de turismo (BNDES, 2024).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Palavras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chave: COP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30; governabilidade; financiamento climático; Amazônia.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t>1 Introdução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0" w:name="_GoBack"/>
      <w:bookmarkEnd w:id="0"/>
      <w:r w:rsidRPr="005D5C77">
        <w:rPr>
          <w:rFonts w:ascii="Arial" w:hAnsi="Arial" w:cs="Arial"/>
          <w:color w:val="000000" w:themeColor="text1"/>
          <w:sz w:val="24"/>
          <w:szCs w:val="24"/>
        </w:rPr>
        <w:t>Belém, aprendemos que conferências produzem narrativas; legados exigem sistemas.” Ao acompanhar o SB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60 em junho de 2024, observei que o Brasil consolidou reputação progressista, mas carece de mecanismos de execução pós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evento. A COP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30, marcada para 6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17 novembro de 2025 (UNFCCC, 2024), abre janela para alinhar metas climáticas nacionais e ações subnacionais.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t>2 Metodologia</w:t>
      </w:r>
    </w:p>
    <w:p w:rsidR="00CF6821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Foram analisados 26 documentos oficiais (portarias, planos, decretos) nas esferas federal, estadual e municipal, além de 12 entrevistas com diplomatas e gestores realizadas de março a maio de 2025. A matriz de responsabilidade multinível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foi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adaptada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Hooghe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 &amp; Marks (2003).</w:t>
      </w:r>
    </w:p>
    <w:p w:rsidR="005A7198" w:rsidRDefault="005A7198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5A7198" w:rsidRPr="005D5C77" w:rsidRDefault="005A7198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3 Resultados e Discussão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>
            <wp:extent cx="5029200" cy="3013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emission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821" w:rsidRPr="005D5C77" w:rsidRDefault="001F3190" w:rsidP="000F564A">
      <w:pPr>
        <w:pStyle w:val="Legenda"/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Figura 2 – Emissões de GEE por setor – Belém 2023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Tabela 1 sintetiza competências e entregáveis chave: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br/>
        <w:t>• União — Portaria para títulos soberanos verdes; risco de desacreditação caso não avance.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br/>
        <w:t>• Pará — Decreto de crédito de carbono jurisdicional; risco de ‘desmatamento legal’.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br/>
        <w:t>• Belém — Lei de Governança Climática e Relatório ESG 2025; risco de greenwashing.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FGV (2024) projeta que 40 mil visitantes gerem R$ 250 milhões em receitas diretas. Para acolher o evento, o BNDES aprovou R$ 140 milhões em crédito destinado a MPMEs do turismo (AGÊNCIA GOV, 2024).</w:t>
      </w:r>
    </w:p>
    <w:p w:rsidR="00CF6821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Quanto aos riscos, análise SWOT aponta fragmentação federativa (I=4, P=3) e exclusão social (I=3, P=4) como mais críticos. Salvaguardas propostas incluem cláusulas de corresponsabilidade nos convênios e assentos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paritários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 para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povos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tradicionais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 no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Comitê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 COP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30+3.</w:t>
      </w:r>
    </w:p>
    <w:p w:rsidR="005A7198" w:rsidRDefault="005A7198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5A7198" w:rsidRPr="005D5C77" w:rsidRDefault="005A7198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4 Instrumentos de Implementação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>
            <wp:extent cx="5029200" cy="37360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organogram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821" w:rsidRPr="005D5C77" w:rsidRDefault="001F3190" w:rsidP="000F564A">
      <w:pPr>
        <w:pStyle w:val="Legenda"/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Figura 1 – Organograma da Mesa Tripartite de Governança COP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30</w:t>
      </w:r>
    </w:p>
    <w:p w:rsidR="00CF6821" w:rsidRPr="005A7198" w:rsidRDefault="001F3190" w:rsidP="005A7198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A7198">
        <w:rPr>
          <w:rFonts w:ascii="Arial" w:hAnsi="Arial" w:cs="Arial"/>
          <w:color w:val="000000" w:themeColor="text1"/>
          <w:sz w:val="24"/>
          <w:szCs w:val="24"/>
        </w:rPr>
        <w:t xml:space="preserve">Mesa Tripartite </w:t>
      </w:r>
      <w:proofErr w:type="spellStart"/>
      <w:r w:rsidRPr="005A7198">
        <w:rPr>
          <w:rFonts w:ascii="Arial" w:hAnsi="Arial" w:cs="Arial"/>
          <w:color w:val="000000" w:themeColor="text1"/>
          <w:sz w:val="24"/>
          <w:szCs w:val="24"/>
        </w:rPr>
        <w:t>União</w:t>
      </w:r>
      <w:proofErr w:type="spellEnd"/>
      <w:r w:rsidRPr="005A7198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A7198">
        <w:rPr>
          <w:rFonts w:ascii="Arial" w:hAnsi="Arial" w:cs="Arial"/>
          <w:color w:val="000000" w:themeColor="text1"/>
          <w:sz w:val="24"/>
          <w:szCs w:val="24"/>
        </w:rPr>
        <w:t>Pará</w:t>
      </w:r>
      <w:r w:rsidRPr="005A7198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proofErr w:type="spellStart"/>
      <w:r w:rsidRPr="005A7198">
        <w:rPr>
          <w:rFonts w:ascii="Arial" w:hAnsi="Arial" w:cs="Arial"/>
          <w:color w:val="000000" w:themeColor="text1"/>
          <w:sz w:val="24"/>
          <w:szCs w:val="24"/>
        </w:rPr>
        <w:t>Belém</w:t>
      </w:r>
      <w:proofErr w:type="spellEnd"/>
      <w:r w:rsidRPr="005A7198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proofErr w:type="spellStart"/>
      <w:r w:rsidRPr="005A7198">
        <w:rPr>
          <w:rFonts w:ascii="Arial" w:hAnsi="Arial" w:cs="Arial"/>
          <w:color w:val="000000" w:themeColor="text1"/>
          <w:sz w:val="24"/>
          <w:szCs w:val="24"/>
        </w:rPr>
        <w:t>reuniões</w:t>
      </w:r>
      <w:proofErr w:type="spellEnd"/>
      <w:r w:rsidRPr="005A719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5A7198">
        <w:rPr>
          <w:rFonts w:ascii="Arial" w:hAnsi="Arial" w:cs="Arial"/>
          <w:color w:val="000000" w:themeColor="text1"/>
          <w:sz w:val="24"/>
          <w:szCs w:val="24"/>
        </w:rPr>
        <w:t>bimestrais</w:t>
      </w:r>
      <w:proofErr w:type="spellEnd"/>
      <w:r w:rsidRPr="005A7198">
        <w:rPr>
          <w:rFonts w:ascii="Arial" w:hAnsi="Arial" w:cs="Arial"/>
          <w:color w:val="000000" w:themeColor="text1"/>
          <w:sz w:val="24"/>
          <w:szCs w:val="24"/>
        </w:rPr>
        <w:t xml:space="preserve"> para resolução de conflitos.</w:t>
      </w:r>
      <w:r w:rsidRPr="005A7198">
        <w:rPr>
          <w:rFonts w:ascii="Arial" w:hAnsi="Arial" w:cs="Arial"/>
          <w:color w:val="000000" w:themeColor="text1"/>
          <w:sz w:val="24"/>
          <w:szCs w:val="24"/>
        </w:rPr>
        <w:br/>
        <w:t>b) SC</w:t>
      </w:r>
      <w:r w:rsidRPr="005A7198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A7198">
        <w:rPr>
          <w:rFonts w:ascii="Arial" w:hAnsi="Arial" w:cs="Arial"/>
          <w:color w:val="000000" w:themeColor="text1"/>
          <w:sz w:val="24"/>
          <w:szCs w:val="24"/>
        </w:rPr>
        <w:t>NDCs: Contribuições Nacionalmente Determinadas para estados e municípios.</w:t>
      </w:r>
      <w:r w:rsidRPr="005A7198">
        <w:rPr>
          <w:rFonts w:ascii="Arial" w:hAnsi="Arial" w:cs="Arial"/>
          <w:color w:val="000000" w:themeColor="text1"/>
          <w:sz w:val="24"/>
          <w:szCs w:val="24"/>
        </w:rPr>
        <w:br/>
        <w:t>c) Sistema de Transparência Climática da Amazônia Urbana: integração geodados + painéis de risco.</w:t>
      </w:r>
      <w:r w:rsidRPr="005A7198">
        <w:rPr>
          <w:rFonts w:ascii="Arial" w:hAnsi="Arial" w:cs="Arial"/>
          <w:color w:val="000000" w:themeColor="text1"/>
          <w:sz w:val="24"/>
          <w:szCs w:val="24"/>
        </w:rPr>
        <w:br/>
        <w:t xml:space="preserve">d) Blended Finance Facility (BID + BNDES): </w:t>
      </w:r>
      <w:proofErr w:type="spellStart"/>
      <w:r w:rsidRPr="005A7198">
        <w:rPr>
          <w:rFonts w:ascii="Arial" w:hAnsi="Arial" w:cs="Arial"/>
          <w:color w:val="000000" w:themeColor="text1"/>
          <w:sz w:val="24"/>
          <w:szCs w:val="24"/>
        </w:rPr>
        <w:t>carteira</w:t>
      </w:r>
      <w:proofErr w:type="spellEnd"/>
      <w:r w:rsidRPr="005A7198">
        <w:rPr>
          <w:rFonts w:ascii="Arial" w:hAnsi="Arial" w:cs="Arial"/>
          <w:color w:val="000000" w:themeColor="text1"/>
          <w:sz w:val="24"/>
          <w:szCs w:val="24"/>
        </w:rPr>
        <w:t xml:space="preserve"> de US$ 300 mi </w:t>
      </w:r>
      <w:proofErr w:type="spellStart"/>
      <w:r w:rsidRPr="005A7198">
        <w:rPr>
          <w:rFonts w:ascii="Arial" w:hAnsi="Arial" w:cs="Arial"/>
          <w:color w:val="000000" w:themeColor="text1"/>
          <w:sz w:val="24"/>
          <w:szCs w:val="24"/>
        </w:rPr>
        <w:t>em</w:t>
      </w:r>
      <w:proofErr w:type="spellEnd"/>
      <w:r w:rsidRPr="005A719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5A7198">
        <w:rPr>
          <w:rFonts w:ascii="Arial" w:hAnsi="Arial" w:cs="Arial"/>
          <w:color w:val="000000" w:themeColor="text1"/>
          <w:sz w:val="24"/>
          <w:szCs w:val="24"/>
        </w:rPr>
        <w:t>energia</w:t>
      </w:r>
      <w:proofErr w:type="spellEnd"/>
      <w:r w:rsidRPr="005A7198">
        <w:rPr>
          <w:rFonts w:ascii="Arial" w:hAnsi="Arial" w:cs="Arial"/>
          <w:color w:val="000000" w:themeColor="text1"/>
          <w:sz w:val="24"/>
          <w:szCs w:val="24"/>
        </w:rPr>
        <w:t xml:space="preserve"> solar </w:t>
      </w:r>
      <w:proofErr w:type="spellStart"/>
      <w:r w:rsidRPr="005A7198">
        <w:rPr>
          <w:rFonts w:ascii="Arial" w:hAnsi="Arial" w:cs="Arial"/>
          <w:color w:val="000000" w:themeColor="text1"/>
          <w:sz w:val="24"/>
          <w:szCs w:val="24"/>
        </w:rPr>
        <w:t>comunitária</w:t>
      </w:r>
      <w:proofErr w:type="spellEnd"/>
      <w:r w:rsidRPr="005A7198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5A7198" w:rsidRDefault="005A7198" w:rsidP="005A7198">
      <w:pPr>
        <w:pStyle w:val="PargrafodaLista"/>
        <w:spacing w:line="360" w:lineRule="auto"/>
        <w:ind w:left="1494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5A7198" w:rsidRDefault="005A7198" w:rsidP="005A7198">
      <w:pPr>
        <w:pStyle w:val="PargrafodaLista"/>
        <w:spacing w:line="360" w:lineRule="auto"/>
        <w:ind w:left="1494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5A7198" w:rsidRDefault="005A7198" w:rsidP="005A7198">
      <w:pPr>
        <w:pStyle w:val="PargrafodaLista"/>
        <w:spacing w:line="360" w:lineRule="auto"/>
        <w:ind w:left="1494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5A7198" w:rsidRDefault="005A7198" w:rsidP="005A7198">
      <w:pPr>
        <w:pStyle w:val="PargrafodaLista"/>
        <w:spacing w:line="360" w:lineRule="auto"/>
        <w:ind w:left="1494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5A7198" w:rsidRPr="005A7198" w:rsidRDefault="005A7198" w:rsidP="005A7198">
      <w:pPr>
        <w:pStyle w:val="PargrafodaLista"/>
        <w:spacing w:line="360" w:lineRule="auto"/>
        <w:ind w:left="1494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5 Roteiro dos 12 Meses Finais (Ago</w:t>
      </w:r>
      <w:r w:rsidRPr="005D5C77">
        <w:rPr>
          <w:rFonts w:ascii="Cambria Math" w:hAnsi="Cambria Math" w:cs="Cambria Math"/>
          <w:b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t>2024 → Jul</w:t>
      </w:r>
      <w:r w:rsidRPr="005D5C77">
        <w:rPr>
          <w:rFonts w:ascii="Cambria Math" w:hAnsi="Cambria Math" w:cs="Cambria Math"/>
          <w:b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t>2025)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>
            <wp:extent cx="5029200" cy="1843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gant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821" w:rsidRPr="005D5C77" w:rsidRDefault="001F3190" w:rsidP="000F564A">
      <w:pPr>
        <w:pStyle w:val="Legenda"/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Figura 3 – Roteiro dos 12 Meses Finais da COP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30</w:t>
      </w:r>
    </w:p>
    <w:p w:rsidR="00CF6821" w:rsidRPr="005D5C77" w:rsidRDefault="001F3190" w:rsidP="005A719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• Ago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24 — Diagnóstico regulatório; responsável: Casa Civil/MMA.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br/>
        <w:t>• Out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24 — Consulta pública digital (5 mil contribuições); responsável: Prefeitura + ONGs.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br/>
        <w:t>• Jan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25 — Publicação das SC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NDCs; responsável: Governo do Pará.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br/>
        <w:t>•</w:t>
      </w:r>
      <w:r w:rsidR="005A719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Mar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25 — Roadshow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financeiro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;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responsável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Tesouro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 Nacional.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br/>
        <w:t>• Jul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25 — Lançamento beta do Sistema de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Transparência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;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responsável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>: ICLEI + UFPA.</w:t>
      </w: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t>6 Considerações Finais</w:t>
      </w:r>
    </w:p>
    <w:p w:rsidR="00CF6821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A COP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30 pode converter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se em catalisador de governabilidade se houver articulação vertical, finanças inovadoras e mecanismos de prestação de contas. O legado dependerá de institucionalizar os acordos em leis e de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garantir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participação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 xml:space="preserve"> social </w:t>
      </w:r>
      <w:proofErr w:type="spellStart"/>
      <w:r w:rsidRPr="005D5C77">
        <w:rPr>
          <w:rFonts w:ascii="Arial" w:hAnsi="Arial" w:cs="Arial"/>
          <w:color w:val="000000" w:themeColor="text1"/>
          <w:sz w:val="24"/>
          <w:szCs w:val="24"/>
        </w:rPr>
        <w:t>pós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evento</w:t>
      </w:r>
      <w:proofErr w:type="spellEnd"/>
      <w:r w:rsidRPr="005D5C77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5A7198" w:rsidRDefault="005A7198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5A7198" w:rsidRDefault="005A7198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5A7198" w:rsidRDefault="005A7198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5A7198" w:rsidRDefault="005A7198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5A7198" w:rsidRPr="005D5C77" w:rsidRDefault="005A7198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CF6821" w:rsidRPr="005D5C77" w:rsidRDefault="001F3190" w:rsidP="000F564A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Referências</w:t>
      </w:r>
    </w:p>
    <w:p w:rsidR="00CF6821" w:rsidRPr="005D5C77" w:rsidRDefault="001F3190" w:rsidP="005A719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AGÊNCIA GOV. BNDES aprova R$ 140 milhões para turismo de Belém em preparação para a COP 30. Brasília, 08 fev. 2024.</w:t>
      </w:r>
    </w:p>
    <w:p w:rsidR="00CF6821" w:rsidRPr="005D5C77" w:rsidRDefault="001F3190" w:rsidP="005A719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FGV. Preparação do Pará para a COP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30. Nota Técnica, 2024.</w:t>
      </w:r>
    </w:p>
    <w:p w:rsidR="00CF6821" w:rsidRPr="005D5C77" w:rsidRDefault="001F3190" w:rsidP="005A719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HOOGHE, L.; MARKS, G. Unraveling the Central State, but How? American Political Science Review, v. 97, p. 233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243, 2003.</w:t>
      </w:r>
    </w:p>
    <w:p w:rsidR="00CF6821" w:rsidRPr="005D5C77" w:rsidRDefault="001F3190" w:rsidP="005A719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KINGDON, J. Agendas, Alternatives, and Public Policies. 2. ed. New York: Longman, 1995.</w:t>
      </w:r>
    </w:p>
    <w:p w:rsidR="00CF6821" w:rsidRPr="005D5C77" w:rsidRDefault="001F3190" w:rsidP="005A719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UNFCCC. Calendar of Meetings 2024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2025. Bonn: UN, 2024.</w:t>
      </w:r>
    </w:p>
    <w:p w:rsidR="00CF6821" w:rsidRPr="005D5C77" w:rsidRDefault="001F3190" w:rsidP="005A719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5C77">
        <w:rPr>
          <w:rFonts w:ascii="Arial" w:hAnsi="Arial" w:cs="Arial"/>
          <w:color w:val="000000" w:themeColor="text1"/>
          <w:sz w:val="24"/>
          <w:szCs w:val="24"/>
        </w:rPr>
        <w:t>AGÊNCIA BRASIL. Visto eletrônico para participantes da COP</w:t>
      </w:r>
      <w:r w:rsidRPr="005D5C77">
        <w:rPr>
          <w:rFonts w:ascii="Cambria Math" w:hAnsi="Cambria Math" w:cs="Cambria Math"/>
          <w:color w:val="000000" w:themeColor="text1"/>
          <w:sz w:val="24"/>
          <w:szCs w:val="24"/>
        </w:rPr>
        <w:t>‑</w:t>
      </w:r>
      <w:r w:rsidRPr="005D5C77">
        <w:rPr>
          <w:rFonts w:ascii="Arial" w:hAnsi="Arial" w:cs="Arial"/>
          <w:color w:val="000000" w:themeColor="text1"/>
          <w:sz w:val="24"/>
          <w:szCs w:val="24"/>
        </w:rPr>
        <w:t>30 começa a ser emitido. Brasília, 18 jul. 2025.</w:t>
      </w:r>
    </w:p>
    <w:sectPr w:rsidR="00CF6821" w:rsidRPr="005D5C77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CF32C5"/>
    <w:multiLevelType w:val="hybridMultilevel"/>
    <w:tmpl w:val="CC3E12F8"/>
    <w:lvl w:ilvl="0" w:tplc="5D7CEEE0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363551BA"/>
    <w:multiLevelType w:val="hybridMultilevel"/>
    <w:tmpl w:val="81761DE8"/>
    <w:lvl w:ilvl="0" w:tplc="90C690B8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64A"/>
    <w:rsid w:val="0015074B"/>
    <w:rsid w:val="001F3190"/>
    <w:rsid w:val="0029639D"/>
    <w:rsid w:val="00326F90"/>
    <w:rsid w:val="005A7198"/>
    <w:rsid w:val="005D5C77"/>
    <w:rsid w:val="006A1530"/>
    <w:rsid w:val="00AA1D8D"/>
    <w:rsid w:val="00B47730"/>
    <w:rsid w:val="00CB0664"/>
    <w:rsid w:val="00CF6821"/>
    <w:rsid w:val="00E161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2A0A80"/>
  <w14:defaultImageDpi w14:val="300"/>
  <w15:docId w15:val="{0414ACC2-98D8-43BD-A5B7-60551BE0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9F5A42-8975-490C-A34C-696176ABF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1172</Words>
  <Characters>6330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Diogo Andrade</cp:lastModifiedBy>
  <cp:revision>7</cp:revision>
  <dcterms:created xsi:type="dcterms:W3CDTF">2013-12-23T23:15:00Z</dcterms:created>
  <dcterms:modified xsi:type="dcterms:W3CDTF">2025-07-26T14:09:00Z</dcterms:modified>
  <cp:category/>
</cp:coreProperties>
</file>