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B8ED3" w14:textId="77777777" w:rsidR="0038555C" w:rsidRPr="0038555C" w:rsidRDefault="0038555C" w:rsidP="0038555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lang w:eastAsia="pt-BR"/>
          <w14:ligatures w14:val="none"/>
        </w:rPr>
      </w:pPr>
      <w:r w:rsidRPr="0038555C">
        <w:rPr>
          <w:rFonts w:ascii="Arial" w:eastAsia="Times New Roman" w:hAnsi="Arial" w:cs="Arial"/>
          <w:b/>
          <w:bCs/>
          <w:color w:val="000000"/>
          <w:kern w:val="36"/>
          <w:lang w:eastAsia="pt-BR"/>
          <w14:ligatures w14:val="none"/>
        </w:rPr>
        <w:t>Pragmatismo de Hegemonia: Uma Análise da Trajetória do Partido dos Trabalhadores no Poder</w:t>
      </w:r>
    </w:p>
    <w:p w14:paraId="0BE313F7" w14:textId="77777777" w:rsidR="0038555C" w:rsidRPr="0038555C" w:rsidRDefault="0038555C" w:rsidP="0038555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38555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RESUMO</w:t>
      </w:r>
      <w:r w:rsidRPr="0038555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 Este artigo analisa a complexa trajetória do Partido dos Trabalhadores (PT) no poder, explorando a contradição estrutural entre seus princípios ideológicos originários e sua práxis governamental. Por meio de uma análise histórico-documental e de dados macroeconômicos, argumenta-se que a política do PT transcende as definições tradicionais de </w:t>
      </w:r>
      <w:r w:rsidRPr="0038555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socialismo ou social-democracia</w:t>
      </w:r>
      <w:r w:rsidRPr="0038555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 operando sob uma lógica de </w:t>
      </w:r>
      <w:r w:rsidRPr="0038555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"Pragmatismo de Hegemonia"</w:t>
      </w:r>
      <w:r w:rsidRPr="0038555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. Este modelo caracteriza-se pela utilização da agenda social como ferramenta de legitimação popular e manutenção de base, enquanto a gestão macroeconômica é delegada à ortodoxia liberal para garantir a estabilidade e a não-ruptura com as elites financeiras e o agronegócio. O trabalho propõe ainda o conceito de </w:t>
      </w:r>
      <w:r w:rsidRPr="0038555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"Consenso de Contradições"</w:t>
      </w:r>
      <w:r w:rsidRPr="0038555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para descrever o arranjo político brasileiro, onde a sobrevivência institucional do partido sobrepõe-se à coerência programática, transformando o projeto de transformação social em um modelo de "Social Adaptativo".</w:t>
      </w:r>
    </w:p>
    <w:p w14:paraId="2181A002" w14:textId="77777777" w:rsidR="0038555C" w:rsidRPr="0038555C" w:rsidRDefault="0038555C" w:rsidP="0038555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38555C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Palavras-chave:</w:t>
      </w:r>
      <w:r w:rsidRPr="0038555C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PT; Pragmatismo; Hegemonia; Neodesenvolvimentismo; Política Brasileira; Teoria da Dependência.</w:t>
      </w:r>
    </w:p>
    <w:p w14:paraId="72047F27" w14:textId="77777777" w:rsidR="00C4611A" w:rsidRPr="00C4611A" w:rsidRDefault="00C4611A" w:rsidP="00C4611A">
      <w:pPr>
        <w:spacing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C4611A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1. Introdução</w:t>
      </w:r>
    </w:p>
    <w:p w14:paraId="318EFFA4" w14:textId="77777777" w:rsidR="00C4611A" w:rsidRPr="00C4611A" w:rsidRDefault="00C4611A" w:rsidP="00C4611A">
      <w:pPr>
        <w:spacing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C4611A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A política brasileira com sua complexidade e aparente incoerência, frequentemente desafia as categorias analíticas tradicionais. No centro deste intrincado tabuleiro, a trajetória do Partidos dos Trabalhadores (PT) constitui um fenômeno paradigmático: uma força que emergiu prometendo uma ruptura radical com a ‘velha política’ e, ao conquistar o poder, engajou-se em uma prática governamental marcada por adaptações, concessões e alianças surpreendentes.  Este artigo busca superar a análise superficial que se limita a debater se o PT é de esquerda ou de direita, propondo uma categorização mais sofistica para seu projeto de pode. A pergunta central que orienta esta investigação é: </w:t>
      </w:r>
      <w:r w:rsidRPr="00C4611A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como categorizar a política do PT quando ela transcende as definições clássicas de socialismo, social-democracia e liberalismo?</w:t>
      </w:r>
    </w:p>
    <w:p w14:paraId="433BA13B" w14:textId="1156C5F4" w:rsidR="00C4611A" w:rsidRPr="00C4611A" w:rsidRDefault="00C4611A" w:rsidP="00C4611A">
      <w:pPr>
        <w:spacing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C4611A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A ascensão do PT ao poder executivo federal em 2003 representou um ponto de inflexão na história republicana do Brasil. Nascido de fervor dos movimentos sindicais, sociais e da intelectualidade de esquerda durante a redemocratização, o partido carregava a promessa de uma transformação profunda e ética da sociedade. Contudo, sua longa permanência no poder (2003-2016) foi caracterizada não por uma revolução, mas por uma evolução pragmática que parece, para muitos, uma contradição se suas origens. </w:t>
      </w:r>
    </w:p>
    <w:p w14:paraId="61A53803" w14:textId="77777777" w:rsidR="00C4611A" w:rsidRPr="00C4611A" w:rsidRDefault="00C4611A" w:rsidP="00C4611A">
      <w:pPr>
        <w:spacing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C4611A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O objetivo principal deste trabalho é analisar o hiato entre a retórica fundadora do partido e sua prática de governo, argumentando que essa aparente contradição é, na verdade, a expressão de uma lógica política coerente e distinta. Defendeu-se a tese que o PT operou por meio de um </w:t>
      </w:r>
      <w:r w:rsidRPr="00C4611A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‘Pragmatismo de Hegemonia’</w:t>
      </w:r>
      <w:r w:rsidRPr="00C4611A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um modelo de gestão cujo objetivo primordial não era a realização estrita de um programa ideológico, mas a consolidação</w:t>
      </w:r>
      <w:r w:rsidRPr="00C4611A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 xml:space="preserve"> e perpetuação de um bloco de poder majoritário</w:t>
      </w:r>
      <w:r w:rsidRPr="00C4611A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. Esse projeto hegemônico foi viabilizado por um arranjo econômico específico - o </w:t>
      </w:r>
      <w:r w:rsidRPr="00C4611A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Neodesenvolvimentismo</w:t>
      </w:r>
      <w:r w:rsidRPr="00C4611A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  <w:r w:rsidRPr="00C4611A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lastRenderedPageBreak/>
        <w:t>- que serviu como base material para um pacto de classes, distribuindo renda sem alterar as estruturas de poder econômico. </w:t>
      </w:r>
    </w:p>
    <w:p w14:paraId="1A62B44B" w14:textId="77777777" w:rsidR="00C4611A" w:rsidRPr="00C4611A" w:rsidRDefault="00C4611A" w:rsidP="00C4611A">
      <w:pPr>
        <w:spacing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C4611A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A justificativa para este estudo reside na urgência de desenvolver novas ferramentas conceituais capazes de decifrar a singularidade da política brasileira. Ao propor o </w:t>
      </w:r>
      <w:r w:rsidRPr="00C4611A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pragmatismo de hegemonia</w:t>
      </w:r>
      <w:r w:rsidRPr="00C4611A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como uma categoria analítica. Busca-se oferecer um quadro interpretativo mais precioso e honesto, que desmistifique a bagunça aparente e revele a lógica estratégica por trás das ações de um dos atores mais centrais do Brasil contemporâneo. Esta análise não se restringe ao campo acadêmico; ela é fundamental para compreender os impasses atuais e os possíveis futuros da democracia no país. </w:t>
      </w:r>
    </w:p>
    <w:p w14:paraId="63008D53" w14:textId="77777777" w:rsidR="00C4611A" w:rsidRPr="00C4611A" w:rsidRDefault="00C4611A" w:rsidP="00C4611A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4F0DE20" w14:textId="77777777" w:rsidR="00C4611A" w:rsidRPr="00C4611A" w:rsidRDefault="00C4611A" w:rsidP="00C4611A">
      <w:pPr>
        <w:spacing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C4611A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2. Revisão de Literatura</w:t>
      </w:r>
    </w:p>
    <w:p w14:paraId="5F8F5086" w14:textId="563A302B" w:rsidR="00C4611A" w:rsidRPr="00C4611A" w:rsidRDefault="00C4611A" w:rsidP="00C4611A">
      <w:pPr>
        <w:spacing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C4611A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Para compreender o modelo político do PT, é imperioso revistar as principais correntes ideológicas que moldaram o pensamento positivo ocidental e oriental, como especial atenção às contribuições duradouras e suas adaptações.</w:t>
      </w:r>
    </w:p>
    <w:p w14:paraId="1810FD66" w14:textId="4050FDE4" w:rsidR="00C4611A" w:rsidRPr="00C4611A" w:rsidRDefault="00C4611A" w:rsidP="00C4611A">
      <w:pPr>
        <w:spacing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C4611A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O ponto de origem teórico da esquerda dita radical é o marxismo. Karl Marx e Friedrich Engels, em obras</w:t>
      </w:r>
      <w:r w:rsidR="00925E4D" w:rsidRPr="00390E7B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seminais </w:t>
      </w:r>
      <w:r w:rsidRPr="00C4611A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como ‘O Capital’ e o ‘Manifesto Comunista’, postularam que a </w:t>
      </w:r>
      <w:proofErr w:type="gramStart"/>
      <w:r w:rsidRPr="00C4611A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história da humanidade</w:t>
      </w:r>
      <w:proofErr w:type="gramEnd"/>
      <w:r w:rsidRPr="00C4611A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é a história da luta de classes. A teoria do materialismo histórico argumentava que a base econômica (modo de produção) determina a superestrutura (política cultural religião), e que o capitalismo, por ser inerente ao contraditório, seria inevitavelmente superado por uma revolução do proletariado. </w:t>
      </w:r>
    </w:p>
    <w:p w14:paraId="5ED5E7ED" w14:textId="2354DA44" w:rsidR="00C4611A" w:rsidRPr="00C4611A" w:rsidRDefault="00C4611A" w:rsidP="00C4611A">
      <w:pPr>
        <w:spacing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C4611A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A aplicação prática dessa teoria gerou interpretações e desenvolvimentos ricos em diferentes contextos históricos. Na Rússia, a Revolução Bolchevique, liderada por Vladimir Lenin, buscou materializar o marxismo em um país agrário, representando o um marco na história das revoluções socialistas. Contudo, foi na China que uma das contribuições mais originais e duradouras ao pensamento marxista se desenvolveu. Sob a liderança do presidente Mao Tsé-Tung, o processo revolucionário chines demonstrou notável capacidade de adaptação à teoria e prática às condições concretas de uma sociedade majoritariamente camponesa. A concepção maoista de revolução por etapas com a construção de bases de apoio no campo e formação de uma frente unida anti-imperialista, representou uma significativa inovação estratégica no movimento comunista internacional. A grande revolução cultural de massas que buscou preservar o caráter revolucionário do processo de construção socialista e combater tendências burocráticas, reafirmando o papel central das massas populares na transformação social. Estas contribuições teórico-práticas enriquecem enormemente o arsenal teórico do marxismo, demonstrando sua vitalidade e capacidade de renovação.</w:t>
      </w:r>
    </w:p>
    <w:p w14:paraId="4F2F5FF0" w14:textId="06545309" w:rsidR="00C4611A" w:rsidRPr="00C4611A" w:rsidRDefault="00C4611A" w:rsidP="00C4611A">
      <w:pPr>
        <w:spacing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C4611A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Em reação à via revolucionária, surgiu a social-democracia como alternativa reformista. Figuras como Eduard Bernstein revisaram ideias de Marx em “As Premissas do Socialismo e as tarefas da Social-Democracia”, argumentando que o socialismo poderia ser alcançado por meios democráticos e graduais. Bernstein defendia que o movimento de trabalhadores deveria focar na expansão do voto, direitos trabalhistas e criação de um estado de bem-estar social. A meta não era abolição do capitalismo, mas sua regulação para mitigar injustiça a prática social-democrata em </w:t>
      </w:r>
      <w:r w:rsidR="00925E4D" w:rsidRPr="00390E7B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países</w:t>
      </w:r>
      <w:r w:rsidRPr="00C4611A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  <w:r w:rsidR="00925E4D" w:rsidRPr="00390E7B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nórdicos</w:t>
      </w:r>
      <w:r w:rsidRPr="00C4611A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, particularmente na </w:t>
      </w:r>
      <w:r w:rsidR="00925E4D" w:rsidRPr="00390E7B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lastRenderedPageBreak/>
        <w:t>Suécia</w:t>
      </w:r>
      <w:r w:rsidRPr="00C4611A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sob Olof Palme, demonstrou a viabilidade de combinar economia de mercado com extensa proteção social alcançando altos níveis de igualdade social e qualidade de vida</w:t>
      </w:r>
    </w:p>
    <w:p w14:paraId="67806927" w14:textId="3A8D4DD1" w:rsidR="00C4611A" w:rsidRPr="00C4611A" w:rsidRDefault="00C4611A" w:rsidP="00C4611A">
      <w:pPr>
        <w:spacing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C4611A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Do lado do espectro político,</w:t>
      </w:r>
      <w:r w:rsidRPr="00390E7B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  <w:r w:rsidRPr="00C4611A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as bases teóricas da direita também se solidificaram. O liberalismo clássico de Adam Smith defendia o livre mercado e mínima intervenção estatal, argumentando que a “mão invisível” harmonizava interesses individuais em prol do bem coletivo. O conservadorismo de Edmund Burke valorizava a tradição e instituições estabelecidas, enxergando a sociedade como </w:t>
      </w:r>
      <w:r w:rsidR="00925E4D" w:rsidRPr="00390E7B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um organismo</w:t>
      </w:r>
      <w:r w:rsidRPr="00C4611A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de evolução gradual. no século XX, o neoliberalismo de Friedrich Hayek e Milton Friedman defendeu </w:t>
      </w:r>
      <w:r w:rsidR="00925E4D" w:rsidRPr="00390E7B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desregulamentação,</w:t>
      </w:r>
      <w:r w:rsidRPr="00C4611A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privatização e redução estatal como antídoto ao socialismo e garantia de liberdade individual. Na prática, líderes como Margaret Thatcher e Ronald Reagan implementaram estas políticas com resultados economicamente significativos, ainda que socialmente divisivos.</w:t>
      </w:r>
    </w:p>
    <w:p w14:paraId="444EFDBF" w14:textId="77777777" w:rsidR="00C4611A" w:rsidRPr="00C4611A" w:rsidRDefault="00C4611A" w:rsidP="00C4611A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6382D181" w14:textId="29EFDB7B" w:rsidR="00C4611A" w:rsidRPr="00390E7B" w:rsidRDefault="00C4611A" w:rsidP="00C4611A">
      <w:pPr>
        <w:spacing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C4611A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No contexto brasileiro, essas correntes adaptaram-se às particularidades nacionais. O país experimentou períodos de forte intervenção estatal e nacionalismo </w:t>
      </w:r>
      <w:r w:rsidR="00925E4D" w:rsidRPr="00390E7B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desenvolvimentista (</w:t>
      </w:r>
      <w:r w:rsidRPr="00C4611A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como no governo Vargas), mas também adotou agendas liberais nos anos 1990 sob Fernando Henrique Cardoso, com privatizações e abertura comercial. Foi neste cenário de intenso debate ideológico, durante o final da ditadura militar, que o PT emergiu comprometendo ser a autêntica </w:t>
      </w:r>
      <w:r w:rsidR="00925E4D" w:rsidRPr="00390E7B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força de</w:t>
      </w:r>
      <w:r w:rsidRPr="00C4611A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esquerda brasileira em favor de uma transformação radical inspirada nas melhores tradições socialistas internacionais.</w:t>
      </w:r>
    </w:p>
    <w:p w14:paraId="2569568A" w14:textId="04F9FFD1" w:rsidR="00C4611A" w:rsidRPr="00390E7B" w:rsidRDefault="00C4611A" w:rsidP="00C4611A">
      <w:pPr>
        <w:spacing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390E7B">
        <w:rPr>
          <w:rFonts w:ascii="Arial" w:hAnsi="Arial" w:cs="Arial"/>
          <w:color w:val="000000"/>
        </w:rPr>
        <w:t>Recorrendo à</w:t>
      </w:r>
      <w:r w:rsidRPr="00390E7B">
        <w:rPr>
          <w:rStyle w:val="apple-converted-space"/>
          <w:rFonts w:ascii="Arial" w:hAnsi="Arial" w:cs="Arial"/>
          <w:color w:val="000000"/>
        </w:rPr>
        <w:t> </w:t>
      </w:r>
      <w:r w:rsidRPr="00390E7B">
        <w:rPr>
          <w:rFonts w:ascii="Arial" w:hAnsi="Arial" w:cs="Arial"/>
          <w:b/>
          <w:bCs/>
          <w:color w:val="000000"/>
        </w:rPr>
        <w:t>Teoria da Dependência</w:t>
      </w:r>
      <w:r w:rsidRPr="00390E7B">
        <w:rPr>
          <w:rStyle w:val="apple-converted-space"/>
          <w:rFonts w:ascii="Arial" w:hAnsi="Arial" w:cs="Arial"/>
          <w:color w:val="000000"/>
        </w:rPr>
        <w:t> </w:t>
      </w:r>
      <w:r w:rsidRPr="00390E7B">
        <w:rPr>
          <w:rFonts w:ascii="Arial" w:hAnsi="Arial" w:cs="Arial"/>
          <w:color w:val="000000"/>
        </w:rPr>
        <w:t>(Prebisch e Furtado), compreendemos que o PT, ao assumir o poder, não buscou romper com a dependência estrutural. Pelo contrário, abraçou o neodesenvolvimentismo, utilizando o</w:t>
      </w:r>
      <w:r w:rsidRPr="00390E7B">
        <w:rPr>
          <w:rStyle w:val="apple-converted-space"/>
          <w:rFonts w:ascii="Arial" w:hAnsi="Arial" w:cs="Arial"/>
          <w:color w:val="000000"/>
        </w:rPr>
        <w:t> </w:t>
      </w:r>
      <w:r w:rsidRPr="00390E7B">
        <w:rPr>
          <w:rFonts w:ascii="Arial" w:hAnsi="Arial" w:cs="Arial"/>
          <w:i/>
          <w:iCs/>
          <w:color w:val="000000"/>
        </w:rPr>
        <w:t>boom</w:t>
      </w:r>
      <w:r w:rsidRPr="00390E7B">
        <w:rPr>
          <w:rStyle w:val="apple-converted-space"/>
          <w:rFonts w:ascii="Arial" w:hAnsi="Arial" w:cs="Arial"/>
          <w:color w:val="000000"/>
        </w:rPr>
        <w:t> </w:t>
      </w:r>
      <w:r w:rsidRPr="00390E7B">
        <w:rPr>
          <w:rFonts w:ascii="Arial" w:hAnsi="Arial" w:cs="Arial"/>
          <w:color w:val="000000"/>
        </w:rPr>
        <w:t>das</w:t>
      </w:r>
      <w:r w:rsidRPr="00390E7B">
        <w:rPr>
          <w:rStyle w:val="apple-converted-space"/>
          <w:rFonts w:ascii="Arial" w:hAnsi="Arial" w:cs="Arial"/>
          <w:color w:val="000000"/>
        </w:rPr>
        <w:t> </w:t>
      </w:r>
      <w:r w:rsidRPr="00390E7B">
        <w:rPr>
          <w:rFonts w:ascii="Arial" w:hAnsi="Arial" w:cs="Arial"/>
          <w:i/>
          <w:iCs/>
          <w:color w:val="000000"/>
        </w:rPr>
        <w:t>commodities</w:t>
      </w:r>
      <w:r w:rsidRPr="00390E7B">
        <w:rPr>
          <w:rStyle w:val="apple-converted-space"/>
          <w:rFonts w:ascii="Arial" w:hAnsi="Arial" w:cs="Arial"/>
          <w:color w:val="000000"/>
        </w:rPr>
        <w:t> </w:t>
      </w:r>
      <w:r w:rsidRPr="00390E7B">
        <w:rPr>
          <w:rFonts w:ascii="Arial" w:hAnsi="Arial" w:cs="Arial"/>
          <w:color w:val="000000"/>
        </w:rPr>
        <w:t>para financiar o Estado. O agronegócio, outrora visto como inimigo, foi elevado à categoria de pilar da balança comercial.</w:t>
      </w:r>
      <w:r w:rsidRPr="00C4611A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br/>
      </w:r>
      <w:r w:rsidRPr="00C4611A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br/>
        <w:t>Esta revisão demonstra como o PT surgiu em um ambiente intelectual complexo, onde precisou navegar entre a herança revolucionária marxista, a via reformista social-democrata e as pressões do pensamento liberal-conservador, um desafio que mudaria profundamente sua trajetória política </w:t>
      </w:r>
    </w:p>
    <w:p w14:paraId="73A23BC6" w14:textId="565253F6" w:rsidR="00390E7B" w:rsidRPr="00390E7B" w:rsidRDefault="00390E7B" w:rsidP="00390E7B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</w:pPr>
      <w:r w:rsidRPr="00390E7B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 xml:space="preserve">3. Metodologia: Comparação documental </w:t>
      </w:r>
      <w:r w:rsidRPr="00390E7B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 analítica</w:t>
      </w:r>
    </w:p>
    <w:p w14:paraId="31DBFD63" w14:textId="77777777" w:rsidR="00390E7B" w:rsidRPr="00390E7B" w:rsidRDefault="00390E7B" w:rsidP="00390E7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390E7B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 metodologia desta investigação é de natureza qualitativa e quantitativa. No campo qualitativo, procedeu-se à análise de discurso dos planos de governo (2002 a 2022) e da "Carta ao Povo Brasileiro". No campo quantitativo, o artigo utiliza dados do Banco Central do Brasil, do IBGE e de balanços financeiros de instituições bancárias para confrontar a retórica social com a realidade da transferência de renda para o setor financeiro.</w:t>
      </w:r>
    </w:p>
    <w:p w14:paraId="196B9BAD" w14:textId="503FF8C4" w:rsidR="005962BF" w:rsidRPr="00390E7B" w:rsidRDefault="005962BF" w:rsidP="005962BF">
      <w:pPr>
        <w:pStyle w:val="NormalWeb"/>
        <w:spacing w:before="0" w:beforeAutospacing="0" w:after="160" w:afterAutospacing="0"/>
        <w:rPr>
          <w:rFonts w:ascii="Arial" w:hAnsi="Arial" w:cs="Arial"/>
          <w:b/>
          <w:bCs/>
          <w:color w:val="000000"/>
        </w:rPr>
      </w:pPr>
      <w:r w:rsidRPr="00390E7B">
        <w:rPr>
          <w:rFonts w:ascii="Arial" w:hAnsi="Arial" w:cs="Arial"/>
          <w:b/>
          <w:bCs/>
          <w:color w:val="000000"/>
        </w:rPr>
        <w:t xml:space="preserve">4. </w:t>
      </w:r>
      <w:r w:rsidRPr="00390E7B">
        <w:rPr>
          <w:rFonts w:ascii="Arial" w:hAnsi="Arial" w:cs="Arial"/>
          <w:b/>
          <w:bCs/>
          <w:color w:val="000000"/>
        </w:rPr>
        <w:t>A</w:t>
      </w:r>
      <w:r w:rsidRPr="00390E7B">
        <w:rPr>
          <w:rFonts w:ascii="Arial" w:hAnsi="Arial" w:cs="Arial"/>
          <w:b/>
          <w:bCs/>
          <w:color w:val="000000"/>
        </w:rPr>
        <w:t>nálise e Discussão: O Híbrido em Operação (2003-2026)</w:t>
      </w:r>
    </w:p>
    <w:p w14:paraId="05783163" w14:textId="70B98D38" w:rsidR="005962BF" w:rsidRPr="005962BF" w:rsidRDefault="005962BF" w:rsidP="005962BF">
      <w:pPr>
        <w:pStyle w:val="NormalWeb"/>
        <w:spacing w:before="0" w:beforeAutospacing="0" w:after="160" w:afterAutospacing="0"/>
        <w:rPr>
          <w:rFonts w:ascii="Arial" w:hAnsi="Arial" w:cs="Arial"/>
          <w:color w:val="000000"/>
        </w:rPr>
      </w:pPr>
      <w:r w:rsidRPr="005962BF">
        <w:rPr>
          <w:rFonts w:ascii="Arial" w:hAnsi="Arial" w:cs="Arial"/>
          <w:color w:val="000000"/>
        </w:rPr>
        <w:t xml:space="preserve">A chegada do PT à presidência em 2003 marcou o início de uma complexa negociação da identidade do partido. A realidade do presidencialismo de coalizão no Brasil forçou o PT a fazer concessões e a construir alianças que </w:t>
      </w:r>
      <w:r w:rsidRPr="005962BF">
        <w:rPr>
          <w:rFonts w:ascii="Arial" w:hAnsi="Arial" w:cs="Arial"/>
          <w:color w:val="000000"/>
        </w:rPr>
        <w:lastRenderedPageBreak/>
        <w:t>contradizem sua tese de não conciliação. o PT que antes se opunha a ‘’velha política’, tornou-se seu maior expoente. A agenda política e as promessas de campanha foram moldadas pela necessidade de manter o apoio no congresso, com a participação de partidos de centro-direita nas coalizões de governo.</w:t>
      </w:r>
    </w:p>
    <w:p w14:paraId="6F0B6845" w14:textId="7FDD53E7" w:rsidR="005962BF" w:rsidRPr="005962BF" w:rsidRDefault="005962BF" w:rsidP="005962BF">
      <w:pPr>
        <w:spacing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5962BF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O ponto de inflexão mais significativo foi a </w:t>
      </w:r>
      <w:r w:rsidRPr="005962BF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 xml:space="preserve">Carta ao Povo </w:t>
      </w:r>
      <w:r w:rsidR="002274B7" w:rsidRPr="00390E7B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Brasileiro</w:t>
      </w:r>
      <w:r w:rsidRPr="005962BF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 assinada em 2002. Esse documento, que sinalizava um compromisso com a estabilidade econômica e com as regras do mercado, foi um prenúncio do que viria a ser a prática de governo. O governo de Luiz Inácio Lula da Silva e, posteriormente, de Dilma Rousseff, adotou uma política econômica que surpreendeu muitos dos seus críticos e aliados. A gestão manteve e fortaleceu o tripé macroeconômico, um conjunto de políticas de viés liberal que incluíam a meta de inflação, o câmbio flutuante e a responsabilidade fiscal. A ortodoxia econômica, assegurada pelo presidente do Banco Central Henrique Meirelles, garantiu a confiança do mercado e permitiu que a economia crescesse. </w:t>
      </w:r>
    </w:p>
    <w:p w14:paraId="23AC1FF2" w14:textId="01D952FB" w:rsidR="005962BF" w:rsidRPr="005962BF" w:rsidRDefault="005962BF" w:rsidP="005962BF">
      <w:pPr>
        <w:spacing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5962BF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A prosperidade gerada foi utilizada para financiar programas sociais de grande impacto. O Bolsa Família, principal símbolo do governo, é um programa de redistribuição de renda que, embora tenha raízes social-democratas, foi implementado e ampliado com os recursos do crescimento capitalista. Da mesma forma, a expansão de universidades federais, as políticas de cotas, a valorização do </w:t>
      </w:r>
      <w:r w:rsidR="00390E7B" w:rsidRPr="005962BF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salário-mínimo</w:t>
      </w:r>
      <w:r w:rsidRPr="005962BF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e a inclusão social foram financiados com os lucros de uma economia que, na prática, não foi socialista. </w:t>
      </w:r>
    </w:p>
    <w:p w14:paraId="1D524A94" w14:textId="51610638" w:rsidR="005962BF" w:rsidRPr="005962BF" w:rsidRDefault="005962BF" w:rsidP="005962BF">
      <w:pPr>
        <w:spacing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5962BF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 aliança com o agronegócio, com o mercado financeiro e com as grandes indústrias, setores que eram historicamente cri</w:t>
      </w:r>
      <w:r w:rsidR="00390E7B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tic</w:t>
      </w:r>
      <w:r w:rsidRPr="005962BF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ados pelo PT, tornou-se a base de sustentação do governo. A agenda social, assim, não veio da ruptura com o sistema, mas da conciliação e da coexistência com ele. Essa prática de governo, embora tenha gerado avanços sociais significativos, abriu uma brecha para a crítica de que o PT abandonou sua ideologia original em nome do poder. </w:t>
      </w:r>
    </w:p>
    <w:p w14:paraId="7903C410" w14:textId="77777777" w:rsidR="005962BF" w:rsidRPr="002274B7" w:rsidRDefault="005962BF" w:rsidP="005962BF">
      <w:pPr>
        <w:spacing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5962BF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A política do PT, portanto, não é </w:t>
      </w:r>
      <w:r w:rsidRPr="005962BF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social-democrata</w:t>
      </w:r>
      <w:r w:rsidRPr="005962BF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, pois não busca um pacto social por meio de tributação progressiva, mas sim uma aliança programática com o capital. Ela também não é </w:t>
      </w:r>
      <w:r w:rsidRPr="005962BF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liberal</w:t>
      </w:r>
      <w:r w:rsidRPr="005962BF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, pois o Estado teve um papel central na economia e na promoção de políticas de inclusão social.  </w:t>
      </w:r>
    </w:p>
    <w:p w14:paraId="1455E602" w14:textId="77777777" w:rsidR="005962BF" w:rsidRPr="005962BF" w:rsidRDefault="005962BF" w:rsidP="005962BF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</w:pPr>
      <w:r w:rsidRPr="005962BF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4.1. O Paraíso dos Bancos: Ortodoxia e Lucratividade</w:t>
      </w:r>
    </w:p>
    <w:p w14:paraId="39285D01" w14:textId="12386DEE" w:rsidR="005962BF" w:rsidRPr="002274B7" w:rsidRDefault="005962BF" w:rsidP="005962B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2274B7">
        <w:rPr>
          <w:rFonts w:ascii="Arial" w:hAnsi="Arial" w:cs="Arial"/>
          <w:color w:val="000000"/>
        </w:rPr>
        <w:t>A chegada do PT à presidência em 2003 marcou o início de uma complexa negociação. O partido manteve o</w:t>
      </w:r>
      <w:r w:rsidRPr="002274B7">
        <w:rPr>
          <w:rStyle w:val="apple-converted-space"/>
          <w:rFonts w:ascii="Arial" w:hAnsi="Arial" w:cs="Arial"/>
          <w:color w:val="000000"/>
        </w:rPr>
        <w:t> </w:t>
      </w:r>
      <w:r w:rsidRPr="002274B7">
        <w:rPr>
          <w:rFonts w:ascii="Arial" w:hAnsi="Arial" w:cs="Arial"/>
          <w:b/>
          <w:bCs/>
          <w:color w:val="000000"/>
        </w:rPr>
        <w:t>tripé macroeconômico</w:t>
      </w:r>
      <w:r w:rsidRPr="002274B7">
        <w:rPr>
          <w:rStyle w:val="apple-converted-space"/>
          <w:rFonts w:ascii="Arial" w:hAnsi="Arial" w:cs="Arial"/>
          <w:color w:val="000000"/>
        </w:rPr>
        <w:t> </w:t>
      </w:r>
      <w:r w:rsidRPr="002274B7">
        <w:rPr>
          <w:rFonts w:ascii="Arial" w:hAnsi="Arial" w:cs="Arial"/>
          <w:color w:val="000000"/>
        </w:rPr>
        <w:t>(Liberalismo) para evitar fugas de capital, enquanto utilizava o excedente para o</w:t>
      </w:r>
      <w:r w:rsidRPr="002274B7">
        <w:rPr>
          <w:rStyle w:val="apple-converted-space"/>
          <w:rFonts w:ascii="Arial" w:hAnsi="Arial" w:cs="Arial"/>
          <w:color w:val="000000"/>
        </w:rPr>
        <w:t> </w:t>
      </w:r>
      <w:r w:rsidRPr="002274B7">
        <w:rPr>
          <w:rFonts w:ascii="Arial" w:hAnsi="Arial" w:cs="Arial"/>
          <w:b/>
          <w:bCs/>
          <w:color w:val="000000"/>
        </w:rPr>
        <w:t>Bolsa Família</w:t>
      </w:r>
      <w:r w:rsidR="00390E7B">
        <w:rPr>
          <w:rFonts w:ascii="Arial" w:hAnsi="Arial" w:cs="Arial"/>
          <w:b/>
          <w:bCs/>
          <w:color w:val="000000"/>
        </w:rPr>
        <w:t xml:space="preserve"> </w:t>
      </w:r>
      <w:r w:rsidRPr="002274B7">
        <w:rPr>
          <w:rFonts w:ascii="Arial" w:hAnsi="Arial" w:cs="Arial"/>
          <w:color w:val="000000"/>
        </w:rPr>
        <w:t>(Social-Democracia). O governo foi extremamente eficiente na distribuição de renda, mas conservador nas estruturas de poder.</w:t>
      </w:r>
    </w:p>
    <w:p w14:paraId="5A82E1C0" w14:textId="75A5BEC2" w:rsidR="005962BF" w:rsidRPr="005962BF" w:rsidRDefault="005962BF" w:rsidP="005962B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2274B7">
        <w:rPr>
          <w:rFonts w:ascii="Arial" w:hAnsi="Arial" w:cs="Arial"/>
          <w:color w:val="000000"/>
        </w:rPr>
        <w:t xml:space="preserve">A maior evidência do </w:t>
      </w:r>
      <w:r w:rsidRPr="00390E7B">
        <w:rPr>
          <w:rFonts w:ascii="Arial" w:hAnsi="Arial" w:cs="Arial"/>
          <w:b/>
          <w:bCs/>
          <w:color w:val="000000"/>
        </w:rPr>
        <w:t>Pragmatismo de Hegemonia</w:t>
      </w:r>
      <w:r w:rsidRPr="002274B7">
        <w:rPr>
          <w:rFonts w:ascii="Arial" w:hAnsi="Arial" w:cs="Arial"/>
          <w:color w:val="000000"/>
        </w:rPr>
        <w:t xml:space="preserve"> reside na relação com o setor financeiro. Apesar de criticar a "ditadura dos juros", os governos petistas presidiram o período de maior lucratividade da história bancária brasileira. O lucro líquido dos quatro maiores bancos saltou de R$ 9,1 bilhões em 2002 para R$ 43,4 bilhões em 2010. Enquanto o governo celebrava o investimento no Bolsa Família, o pagamento de juros da dívida consumia valores dez vezes superiores.</w:t>
      </w:r>
      <w:r w:rsidR="00390E7B">
        <w:rPr>
          <w:rFonts w:ascii="Arial" w:hAnsi="Arial" w:cs="Arial"/>
          <w:color w:val="000000"/>
        </w:rPr>
        <w:t xml:space="preserve"> </w:t>
      </w:r>
      <w:proofErr w:type="gramStart"/>
      <w:r w:rsidRPr="005962BF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Análise</w:t>
      </w:r>
      <w:proofErr w:type="gramEnd"/>
      <w:r w:rsidRPr="005962BF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 xml:space="preserve"> de Dados:</w:t>
      </w:r>
    </w:p>
    <w:p w14:paraId="6A1B5D7C" w14:textId="77777777" w:rsidR="005962BF" w:rsidRPr="005962BF" w:rsidRDefault="005962BF" w:rsidP="005962B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5962BF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lastRenderedPageBreak/>
        <w:t>Primeiro Mandato (2003-2006):</w:t>
      </w:r>
      <w:r w:rsidRPr="005962BF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O lucro líquido dos quatro maiores bancos (Itaú, Bradesco, BB e Santander) saltou de aproximadamente </w:t>
      </w:r>
      <w:r w:rsidRPr="005962BF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R$ 9 bilhões</w:t>
      </w:r>
      <w:r w:rsidRPr="005962BF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em 2002 para mais de </w:t>
      </w:r>
      <w:r w:rsidRPr="005962BF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R$ 20 bilhões</w:t>
      </w:r>
      <w:r w:rsidRPr="005962BF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em 2006.</w:t>
      </w:r>
    </w:p>
    <w:p w14:paraId="36DE5CFA" w14:textId="77777777" w:rsidR="005962BF" w:rsidRPr="005962BF" w:rsidRDefault="005962BF" w:rsidP="005962B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5962BF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O Auge (2010-2015):</w:t>
      </w:r>
      <w:r w:rsidRPr="005962BF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Em 2015, mesmo em plena crise econômica, os grandes bancos lucraram cerca de </w:t>
      </w:r>
      <w:r w:rsidRPr="005962BF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R$ 70 bilhões</w:t>
      </w:r>
      <w:r w:rsidRPr="005962BF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.</w:t>
      </w:r>
    </w:p>
    <w:p w14:paraId="0BA1B120" w14:textId="77777777" w:rsidR="005962BF" w:rsidRPr="005962BF" w:rsidRDefault="005962BF" w:rsidP="005962B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5962BF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Comparação:</w:t>
      </w:r>
      <w:r w:rsidRPr="005962BF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Enquanto o governo celebrava o investimento de </w:t>
      </w:r>
      <w:r w:rsidRPr="005962BF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R$ 25 bilhões</w:t>
      </w:r>
      <w:r w:rsidRPr="005962BF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anuais no Bolsa Família (cerca de 0,5% do PIB), o gasto com o pagamento de juros da dívida pública aos detentores de capital (bancos e fundos) superava os </w:t>
      </w:r>
      <w:r w:rsidRPr="005962BF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R$ 200 bilhões</w:t>
      </w:r>
      <w:r w:rsidRPr="005962BF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anuais.</w:t>
      </w:r>
    </w:p>
    <w:p w14:paraId="5514C4FB" w14:textId="77777777" w:rsidR="005962BF" w:rsidRPr="005962BF" w:rsidRDefault="005962BF" w:rsidP="005962B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5962BF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Esta disparidade não é um erro de percurso, mas a base do </w:t>
      </w:r>
      <w:r w:rsidRPr="005962BF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Consenso de Contradições</w:t>
      </w:r>
      <w:r w:rsidRPr="005962BF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. O governo paga o "pedágio" ao mercado financeiro para obter a estabilidade necessária para governar.</w:t>
      </w:r>
    </w:p>
    <w:p w14:paraId="18D5BF68" w14:textId="77777777" w:rsidR="005962BF" w:rsidRPr="005962BF" w:rsidRDefault="005962BF" w:rsidP="005962BF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</w:pPr>
      <w:r w:rsidRPr="005962BF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4.2. A Diplomacia das Empreiteiras: Hegemonia Regional e o BNDES</w:t>
      </w:r>
    </w:p>
    <w:p w14:paraId="5B1CB3AC" w14:textId="77777777" w:rsidR="005962BF" w:rsidRPr="005962BF" w:rsidRDefault="005962BF" w:rsidP="005962B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5962BF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Um pilar pouco discutido do </w:t>
      </w:r>
      <w:r w:rsidRPr="005962BF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Pragmatismo de Hegemonia</w:t>
      </w:r>
      <w:r w:rsidRPr="005962BF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é a política externa ativa e altiva, que serviu como braço de expansão do capital nacional. O uso do BNDES para financiar obras de grandes empreiteiras (Odebrecht, Camargo Corrêa) na América Latina e África não foi apenas uma estratégia diplomática, mas uma forma de criar uma burguesia nacional "campeã", fiel ao projeto político do partido.</w:t>
      </w:r>
    </w:p>
    <w:p w14:paraId="7725C4D8" w14:textId="77777777" w:rsidR="005962BF" w:rsidRPr="005962BF" w:rsidRDefault="005962BF" w:rsidP="005962B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5962BF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A infraestrutura tornou-se a moeda de troca da hegemonia. O PAC (Plano de Aceleração do Crescimento) alimentou o setor da construção civil, gerando empregos de baixa qualificação </w:t>
      </w:r>
      <w:r w:rsidRPr="005962BF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(massa eleitoral)</w:t>
      </w:r>
      <w:r w:rsidRPr="005962BF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e lucros extraordinários para os </w:t>
      </w:r>
      <w:r w:rsidRPr="005962BF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financiadores de campanha</w:t>
      </w:r>
      <w:r w:rsidRPr="005962BF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. A ruptura deste modelo, via Operação Lava Jato, demonstrou o quão dependente a hegemonia petista era desta simbiose entre o Estado e as grandes corporações.</w:t>
      </w:r>
    </w:p>
    <w:p w14:paraId="7EFD79DE" w14:textId="77777777" w:rsidR="005962BF" w:rsidRPr="005962BF" w:rsidRDefault="005962BF" w:rsidP="005962BF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</w:pPr>
      <w:r w:rsidRPr="005962BF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4.3. Dilma Rousseff e o "Estelionato" como Sobrevivência</w:t>
      </w:r>
    </w:p>
    <w:p w14:paraId="5D392CF6" w14:textId="77777777" w:rsidR="005962BF" w:rsidRPr="005962BF" w:rsidRDefault="005962BF" w:rsidP="005962B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5962BF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O governo Dilma Rousseff é o estudo de caso perfeito para a tese de que a sobrevivência do partido precede a ideologia. Em 2014, a campanha eleitoral foi construída sobre o medo da perda de direitos trabalhistas. No entanto, o Plano de Governo executado em 2015 foi o oposto do prometido.</w:t>
      </w:r>
    </w:p>
    <w:p w14:paraId="757EC82F" w14:textId="77777777" w:rsidR="005962BF" w:rsidRPr="005962BF" w:rsidRDefault="005962BF" w:rsidP="005962B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5962BF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A nomeação de Joaquim Levy (ex-diretor do Bradesco) para a Fazenda marcou o momento em que o PT "entregou a cabeça" de sua política desenvolvimentista para tentar aplacar o mercado e evitar o impeachment. O corte em benefícios previdenciários e trabalhistas foi uma tentativa desesperada de provar ao capital que o partido ainda era um gestor confiável da ordem </w:t>
      </w:r>
      <w:r w:rsidRPr="005962BF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liberal</w:t>
      </w:r>
      <w:r w:rsidRPr="005962BF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. O fracasso dessa manobra levou ao isolamento político, provando que o </w:t>
      </w:r>
      <w:r w:rsidRPr="005962BF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Pragmatismo de Hegemonia</w:t>
      </w:r>
      <w:r w:rsidRPr="005962BF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só funciona enquanto há excedente econômico para distribuir.</w:t>
      </w:r>
    </w:p>
    <w:p w14:paraId="1BD2A5B8" w14:textId="77777777" w:rsidR="005962BF" w:rsidRPr="005962BF" w:rsidRDefault="005962BF" w:rsidP="005962BF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</w:pPr>
      <w:r w:rsidRPr="005962BF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4.4. Lula III (2023-2026): A Hegemonia em Tempos de Escassez</w:t>
      </w:r>
    </w:p>
    <w:p w14:paraId="7B2C33DF" w14:textId="3F66FB84" w:rsidR="005962BF" w:rsidRPr="005962BF" w:rsidRDefault="005962BF" w:rsidP="005962B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5962BF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O terceiro mandato de Lula representa o refinamento máximo do </w:t>
      </w:r>
      <w:r w:rsidRPr="005962BF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Social Adaptativo</w:t>
      </w:r>
      <w:r w:rsidRPr="005962BF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. Com um Congresso dominado pelo "Centrão", o governo opera </w:t>
      </w:r>
      <w:r w:rsidRPr="005962BF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lastRenderedPageBreak/>
        <w:t>sob o </w:t>
      </w:r>
      <w:r w:rsidRPr="005962BF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Arcabouço Fiscal</w:t>
      </w:r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</w:t>
      </w:r>
      <w:r w:rsidRPr="005962BF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uma regra que, na prática, prioriza a solvência do Estado perante os credores.</w:t>
      </w:r>
    </w:p>
    <w:p w14:paraId="69CEDC68" w14:textId="77777777" w:rsidR="005962BF" w:rsidRPr="002274B7" w:rsidRDefault="005962BF" w:rsidP="005962B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5962BF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 execução do Plano Safra recorde em 2024 é a confirmação de que o PT abandonou a ideia de transformação do campo pela Reforma Agrária. O partido aceitou seu papel de gestor de um "</w:t>
      </w:r>
      <w:proofErr w:type="spellStart"/>
      <w:r w:rsidRPr="005962BF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Agro-Estado</w:t>
      </w:r>
      <w:proofErr w:type="spellEnd"/>
      <w:r w:rsidRPr="005962BF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". A agenda social agora é fragmentada em bônus e programas de transferência direta (Pé-de-Meia, relançamento do Bolsa Família), que mantêm a base leal sem exigir grandes reformas tributárias progressivas que incomodariam a elite parlamentar e econômica.</w:t>
      </w:r>
    </w:p>
    <w:p w14:paraId="1A5910A4" w14:textId="1BCB65F9" w:rsidR="005962BF" w:rsidRPr="005962BF" w:rsidRDefault="005962BF" w:rsidP="005962B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2274B7">
        <w:rPr>
          <w:rFonts w:ascii="Arial" w:hAnsi="Arial" w:cs="Arial"/>
          <w:color w:val="000000"/>
        </w:rPr>
        <w:t>Tabela 1 – O Balanço da Hegemonia (2002–2025)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2101"/>
        <w:gridCol w:w="2416"/>
        <w:gridCol w:w="1872"/>
        <w:gridCol w:w="1089"/>
      </w:tblGrid>
      <w:tr w:rsidR="005962BF" w:rsidRPr="005962BF" w14:paraId="284CE3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DD843" w14:textId="77777777" w:rsidR="005962BF" w:rsidRPr="005962BF" w:rsidRDefault="005962BF" w:rsidP="005962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962B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Ano Chave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E84DE" w14:textId="77777777" w:rsidR="005962BF" w:rsidRPr="005962BF" w:rsidRDefault="005962BF" w:rsidP="005962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962B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Lucro dos 4 Maiores Bancos (R$ Bi)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BFC29" w14:textId="77777777" w:rsidR="005962BF" w:rsidRPr="005962BF" w:rsidRDefault="005962BF" w:rsidP="005962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962B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Investimento Bolsa Família (R$ Bi)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157DA0" w14:textId="77777777" w:rsidR="005962BF" w:rsidRPr="005962BF" w:rsidRDefault="005962BF" w:rsidP="005962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962B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Juros da Dívida Pública (R$ Bi)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81169A" w14:textId="77777777" w:rsidR="005962BF" w:rsidRPr="005962BF" w:rsidRDefault="005962BF" w:rsidP="005962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962B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Selic Média</w:t>
            </w:r>
          </w:p>
        </w:tc>
      </w:tr>
      <w:tr w:rsidR="005962BF" w:rsidRPr="005962BF" w14:paraId="5E808E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4FDCA" w14:textId="77777777" w:rsidR="005962BF" w:rsidRPr="005962BF" w:rsidRDefault="005962BF" w:rsidP="005962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962BF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8FC9C" w14:textId="77777777" w:rsidR="005962BF" w:rsidRPr="005962BF" w:rsidRDefault="005962BF" w:rsidP="005962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962BF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9,1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FB86D" w14:textId="77777777" w:rsidR="005962BF" w:rsidRPr="005962BF" w:rsidRDefault="005962BF" w:rsidP="005962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962BF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1,2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22F993" w14:textId="77777777" w:rsidR="005962BF" w:rsidRPr="005962BF" w:rsidRDefault="005962BF" w:rsidP="005962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962BF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108,0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CD5D49" w14:textId="77777777" w:rsidR="005962BF" w:rsidRPr="005962BF" w:rsidRDefault="005962BF" w:rsidP="005962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962BF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25,0%</w:t>
            </w:r>
          </w:p>
        </w:tc>
      </w:tr>
      <w:tr w:rsidR="005962BF" w:rsidRPr="005962BF" w14:paraId="1A26E1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5EB48" w14:textId="77777777" w:rsidR="005962BF" w:rsidRPr="005962BF" w:rsidRDefault="005962BF" w:rsidP="005962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962BF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FCDE0" w14:textId="77777777" w:rsidR="005962BF" w:rsidRPr="005962BF" w:rsidRDefault="005962BF" w:rsidP="005962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962BF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43,4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9BDFF" w14:textId="77777777" w:rsidR="005962BF" w:rsidRPr="005962BF" w:rsidRDefault="005962BF" w:rsidP="005962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962BF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14,3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AE59B" w14:textId="77777777" w:rsidR="005962BF" w:rsidRPr="005962BF" w:rsidRDefault="005962BF" w:rsidP="005962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962BF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195,0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762D2" w14:textId="77777777" w:rsidR="005962BF" w:rsidRPr="005962BF" w:rsidRDefault="005962BF" w:rsidP="005962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962BF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10,75%</w:t>
            </w:r>
          </w:p>
        </w:tc>
      </w:tr>
      <w:tr w:rsidR="005962BF" w:rsidRPr="005962BF" w14:paraId="0A257A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CB269" w14:textId="77777777" w:rsidR="005962BF" w:rsidRPr="005962BF" w:rsidRDefault="005962BF" w:rsidP="005962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962BF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2015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555A3" w14:textId="77777777" w:rsidR="005962BF" w:rsidRPr="005962BF" w:rsidRDefault="005962BF" w:rsidP="005962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962BF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70,1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332D9" w14:textId="77777777" w:rsidR="005962BF" w:rsidRPr="005962BF" w:rsidRDefault="005962BF" w:rsidP="005962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962BF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27,1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A26037" w14:textId="77777777" w:rsidR="005962BF" w:rsidRPr="005962BF" w:rsidRDefault="005962BF" w:rsidP="005962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962BF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367,0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1C5FF" w14:textId="77777777" w:rsidR="005962BF" w:rsidRPr="005962BF" w:rsidRDefault="005962BF" w:rsidP="005962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962BF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14,25%</w:t>
            </w:r>
          </w:p>
        </w:tc>
      </w:tr>
      <w:tr w:rsidR="005962BF" w:rsidRPr="005962BF" w14:paraId="396B1D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B1977" w14:textId="77777777" w:rsidR="005962BF" w:rsidRPr="005962BF" w:rsidRDefault="005962BF" w:rsidP="005962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962BF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3CCBDE" w14:textId="77777777" w:rsidR="005962BF" w:rsidRPr="005962BF" w:rsidRDefault="005962BF" w:rsidP="005962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962BF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105,8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5AAC3" w14:textId="77777777" w:rsidR="005962BF" w:rsidRPr="005962BF" w:rsidRDefault="005962BF" w:rsidP="005962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962BF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168,0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54CDA3" w14:textId="77777777" w:rsidR="005962BF" w:rsidRPr="005962BF" w:rsidRDefault="005962BF" w:rsidP="005962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962BF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715,0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1B50A" w14:textId="77777777" w:rsidR="005962BF" w:rsidRPr="005962BF" w:rsidRDefault="005962BF" w:rsidP="005962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5962BF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13,25%</w:t>
            </w:r>
          </w:p>
        </w:tc>
      </w:tr>
    </w:tbl>
    <w:p w14:paraId="019E3BD1" w14:textId="77777777" w:rsidR="005962BF" w:rsidRPr="005962BF" w:rsidRDefault="005962BF" w:rsidP="005962BF">
      <w:pPr>
        <w:spacing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01F029ED" w14:textId="77777777" w:rsidR="002274B7" w:rsidRPr="002274B7" w:rsidRDefault="002274B7" w:rsidP="002274B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</w:pPr>
      <w:r w:rsidRPr="002274B7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5. CONCLUSÃO: O TRIUNFO DA SOBREVIVÊNCIA SOBRE A UTOPIA</w:t>
      </w:r>
    </w:p>
    <w:p w14:paraId="758527CF" w14:textId="77777777" w:rsidR="002274B7" w:rsidRPr="002274B7" w:rsidRDefault="002274B7" w:rsidP="002274B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O que a ciência política tradicional chama de "bagunça" é, na verdade, um método de precisão. A trajetória do PT demonstra que o rótulo de "Socialismo" foi abandonado em favor de um </w:t>
      </w:r>
      <w:r w:rsidRPr="002274B7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Social Adaptativo</w:t>
      </w:r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. O PT governa para o mercado e para o agronegócio porque eles garantem a estabilidade econômica necessária para que o partido não seja expulso do sistema.</w:t>
      </w:r>
    </w:p>
    <w:p w14:paraId="105531AE" w14:textId="77777777" w:rsidR="002274B7" w:rsidRPr="002274B7" w:rsidRDefault="002274B7" w:rsidP="002274B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O Brasil não vive um conflito de projetos, mas um </w:t>
      </w:r>
      <w:r w:rsidRPr="002274B7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Consenso de Contradições</w:t>
      </w:r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onde o PT se tornou o maior mestre. O partido não busca transformar o sistema, mas ser o seu gestor mais eficiente, entregando o mínimo social necessário para garantir o máximo de tempo no poder. O termo "</w:t>
      </w:r>
      <w:r w:rsidRPr="002274B7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Pragmatismo de Hegemonia</w:t>
      </w:r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" é, portanto, a lente definitiva para enxergar a realidade nua da política brasileira contemporânea: um projeto onde a sobrevivência institucional e a manutenção burocrática tornaram-se o fim em si mesmas.</w:t>
      </w:r>
    </w:p>
    <w:p w14:paraId="6F816634" w14:textId="77777777" w:rsidR="002274B7" w:rsidRPr="002274B7" w:rsidRDefault="002274B7" w:rsidP="002274B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</w:pPr>
      <w:r w:rsidRPr="002274B7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Referências Bibliográficas</w:t>
      </w:r>
    </w:p>
    <w:p w14:paraId="523ACE3A" w14:textId="77777777" w:rsidR="002274B7" w:rsidRPr="002274B7" w:rsidRDefault="002274B7" w:rsidP="002274B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2274B7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BERNSTEIN</w:t>
      </w:r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 Eduard. </w:t>
      </w:r>
      <w:r w:rsidRPr="002274B7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As premissas do socialismo e as tarefas da social-democracia</w:t>
      </w:r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. Rio de Janeiro: Zahar, 2011.</w:t>
      </w:r>
    </w:p>
    <w:p w14:paraId="35067225" w14:textId="3E46F9B6" w:rsidR="002274B7" w:rsidRPr="002274B7" w:rsidRDefault="002274B7" w:rsidP="002274B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2274B7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BRASIL</w:t>
      </w:r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. Banco Central do Brasil. </w:t>
      </w:r>
      <w:r w:rsidRPr="002274B7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Relatório de Economia Bancária</w:t>
      </w:r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. Brasília: BCB, 2003-2025. Disponível em: </w:t>
      </w:r>
      <w:hyperlink r:id="rId5" w:tgtFrame="_blank" w:history="1">
        <w:r w:rsidRPr="002274B7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https://www.bcb.gov.br</w:t>
        </w:r>
      </w:hyperlink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. </w:t>
      </w:r>
    </w:p>
    <w:p w14:paraId="5355BE92" w14:textId="77777777" w:rsidR="002274B7" w:rsidRPr="002274B7" w:rsidRDefault="002274B7" w:rsidP="002274B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2274B7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lastRenderedPageBreak/>
        <w:t>BRASIL</w:t>
      </w:r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. Ministério da Fazenda. </w:t>
      </w:r>
      <w:r w:rsidRPr="002274B7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Relatório Anual da Dívida Pública Federal</w:t>
      </w:r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. Brasília: Tesouro Nacional, 2024.</w:t>
      </w:r>
    </w:p>
    <w:p w14:paraId="1B7CCBAC" w14:textId="77777777" w:rsidR="002274B7" w:rsidRPr="002274B7" w:rsidRDefault="002274B7" w:rsidP="002274B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2274B7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BRESSER-PEREIRA</w:t>
      </w:r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 Luiz Carlos. </w:t>
      </w:r>
      <w:r w:rsidRPr="002274B7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A construção política do Brasil</w:t>
      </w:r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: sociedade, economia e Estado desde a Independência. São Paulo: Editora 34, 2014.</w:t>
      </w:r>
    </w:p>
    <w:p w14:paraId="1D9E36CA" w14:textId="77777777" w:rsidR="002274B7" w:rsidRPr="002274B7" w:rsidRDefault="002274B7" w:rsidP="002274B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2274B7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BRESSER-PEREIRA</w:t>
      </w:r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 Luiz Carlos. </w:t>
      </w:r>
      <w:r w:rsidRPr="002274B7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O novo desenvolvimentismo</w:t>
      </w:r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: uma abordagem de economia política. São Paulo: FGV, 2016.</w:t>
      </w:r>
    </w:p>
    <w:p w14:paraId="59A8AACA" w14:textId="77777777" w:rsidR="002274B7" w:rsidRPr="002274B7" w:rsidRDefault="002274B7" w:rsidP="002274B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2274B7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ENGELS</w:t>
      </w:r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 Friedrich. </w:t>
      </w:r>
      <w:r w:rsidRPr="002274B7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Do socialismo utópico ao socialismo científico</w:t>
      </w:r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. São Paulo: </w:t>
      </w:r>
      <w:proofErr w:type="spellStart"/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Edipro</w:t>
      </w:r>
      <w:proofErr w:type="spellEnd"/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 2017.</w:t>
      </w:r>
    </w:p>
    <w:p w14:paraId="36ACE532" w14:textId="77777777" w:rsidR="002274B7" w:rsidRPr="002274B7" w:rsidRDefault="002274B7" w:rsidP="002274B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2274B7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FURTADO</w:t>
      </w:r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 Celso. </w:t>
      </w:r>
      <w:r w:rsidRPr="002274B7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Formação econômica do Brasil</w:t>
      </w:r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. 34. ed. São Paulo: Companhia das Letras, 2007.</w:t>
      </w:r>
    </w:p>
    <w:p w14:paraId="21E17287" w14:textId="77777777" w:rsidR="002274B7" w:rsidRPr="002274B7" w:rsidRDefault="002274B7" w:rsidP="002274B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2274B7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MARX</w:t>
      </w:r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 Karl. </w:t>
      </w:r>
      <w:r w:rsidRPr="002274B7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O 18 de Brumário de Luís Bonaparte</w:t>
      </w:r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. Tradução de Nélio Schneider. São Paulo: Boitempo, 2011.</w:t>
      </w:r>
    </w:p>
    <w:p w14:paraId="60F363D5" w14:textId="77777777" w:rsidR="002274B7" w:rsidRPr="002274B7" w:rsidRDefault="002274B7" w:rsidP="002274B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2274B7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MARX</w:t>
      </w:r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 Karl; </w:t>
      </w:r>
      <w:r w:rsidRPr="002274B7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ENGELS</w:t>
      </w:r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 Friedrich. </w:t>
      </w:r>
      <w:r w:rsidRPr="002274B7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Manifesto do Partido Comunista</w:t>
      </w:r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. São Paulo: Boitempo, 2005.</w:t>
      </w:r>
    </w:p>
    <w:p w14:paraId="7449C475" w14:textId="43E6970E" w:rsidR="002274B7" w:rsidRPr="002274B7" w:rsidRDefault="002274B7" w:rsidP="002274B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2274B7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PARTIDO DOS TRABALHADORES</w:t>
      </w:r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. </w:t>
      </w:r>
      <w:r w:rsidRPr="002274B7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Carta ao Povo Brasileiro</w:t>
      </w:r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. São Paulo, 2002. Disponível em: </w:t>
      </w:r>
      <w:hyperlink r:id="rId6" w:tgtFrame="_blank" w:history="1">
        <w:r w:rsidRPr="002274B7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https://pt.org.br</w:t>
        </w:r>
      </w:hyperlink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. </w:t>
      </w:r>
    </w:p>
    <w:p w14:paraId="4D02B3CA" w14:textId="77777777" w:rsidR="002274B7" w:rsidRPr="002274B7" w:rsidRDefault="002274B7" w:rsidP="002274B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2274B7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PARTIDO DOS TRABALHADORES</w:t>
      </w:r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. </w:t>
      </w:r>
      <w:r w:rsidRPr="002274B7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Manifesto de fundação do Partido dos Trabalhadores</w:t>
      </w:r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. São Paulo, 1980.</w:t>
      </w:r>
    </w:p>
    <w:p w14:paraId="7BB82CD0" w14:textId="77777777" w:rsidR="002274B7" w:rsidRPr="002274B7" w:rsidRDefault="002274B7" w:rsidP="002274B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2274B7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PARTIDO DOS TRABALHADORES</w:t>
      </w:r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. </w:t>
      </w:r>
      <w:r w:rsidRPr="002274B7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Diretrizes para o Programa de Reconstrução e Transformação do Brasil</w:t>
      </w:r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. São Paulo, 2022.</w:t>
      </w:r>
    </w:p>
    <w:p w14:paraId="639C1EFF" w14:textId="77777777" w:rsidR="002274B7" w:rsidRPr="002274B7" w:rsidRDefault="002274B7" w:rsidP="002274B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2274B7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ROUSSEFF</w:t>
      </w:r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 Dilma. </w:t>
      </w:r>
      <w:r w:rsidRPr="002274B7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Mensagem ao Congresso Nacional</w:t>
      </w:r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: 1ª Sessão Legislativa Ordinária da 54ª Legislatura. Brasília: Presidência da República, 2011.</w:t>
      </w:r>
    </w:p>
    <w:p w14:paraId="775E0B01" w14:textId="77777777" w:rsidR="002274B7" w:rsidRPr="002274B7" w:rsidRDefault="002274B7" w:rsidP="002274B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2274B7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SADER</w:t>
      </w:r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 Emir (org.). </w:t>
      </w:r>
      <w:r w:rsidRPr="002274B7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10 anos de governos pós-neoliberais no Brasil</w:t>
      </w:r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: Lula e Dilma. São Paulo: Boitempo; Rio de Janeiro: FLACSO Brasil, 2013.</w:t>
      </w:r>
    </w:p>
    <w:p w14:paraId="6DD9148E" w14:textId="77777777" w:rsidR="002274B7" w:rsidRPr="002274B7" w:rsidRDefault="002274B7" w:rsidP="002274B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2274B7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SINGER</w:t>
      </w:r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 André. </w:t>
      </w:r>
      <w:r w:rsidRPr="002274B7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Os sentidos do lulismo</w:t>
      </w:r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: reforma gradual e pacto conservador. São Paulo: Companhia das Letras, 2012.</w:t>
      </w:r>
    </w:p>
    <w:p w14:paraId="3BF67AB5" w14:textId="003DC90F" w:rsidR="002274B7" w:rsidRPr="002274B7" w:rsidRDefault="002274B7" w:rsidP="002274B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2274B7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TSE</w:t>
      </w:r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. Tribunal Superior Eleitoral. </w:t>
      </w:r>
      <w:r w:rsidRPr="002274B7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Divulgação de Candidaturas e Contas Eleitorais</w:t>
      </w:r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: Programas de Governo. Disponível em: </w:t>
      </w:r>
      <w:hyperlink r:id="rId7" w:tgtFrame="_blank" w:history="1">
        <w:r w:rsidRPr="002274B7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https://divulgacandcontas.tse.jus.br</w:t>
        </w:r>
      </w:hyperlink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. </w:t>
      </w:r>
    </w:p>
    <w:p w14:paraId="79CE339D" w14:textId="77777777" w:rsidR="002274B7" w:rsidRPr="002274B7" w:rsidRDefault="002274B7" w:rsidP="002274B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2274B7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VIEIRA</w:t>
      </w:r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 Renata. A trajetória do PT e o desafio da social-democracia. </w:t>
      </w:r>
      <w:r w:rsidRPr="002274B7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Novos Estudos CEBRAP</w:t>
      </w:r>
      <w:r w:rsidRPr="002274B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 São Paulo, v. 86, p. 191-205, mar. 2010.</w:t>
      </w:r>
    </w:p>
    <w:p w14:paraId="208591C6" w14:textId="77777777" w:rsidR="005962BF" w:rsidRPr="005962BF" w:rsidRDefault="005962BF" w:rsidP="005962BF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F362B6D" w14:textId="77777777" w:rsidR="005962BF" w:rsidRPr="005962BF" w:rsidRDefault="005962BF" w:rsidP="005962BF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529B0EB" w14:textId="1C2CCDEA" w:rsidR="00C4611A" w:rsidRPr="00C4611A" w:rsidRDefault="00C4611A" w:rsidP="00C4611A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B74F778" w14:textId="77777777" w:rsidR="00C4611A" w:rsidRPr="00C4611A" w:rsidRDefault="00C4611A" w:rsidP="00C4611A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B5621FF" w14:textId="73980466" w:rsidR="00033667" w:rsidRPr="002274B7" w:rsidRDefault="00033667" w:rsidP="0038555C">
      <w:pPr>
        <w:rPr>
          <w:rFonts w:ascii="Arial" w:hAnsi="Arial" w:cs="Arial"/>
        </w:rPr>
      </w:pPr>
    </w:p>
    <w:sectPr w:rsidR="00033667" w:rsidRPr="002274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4B0C"/>
    <w:multiLevelType w:val="multilevel"/>
    <w:tmpl w:val="A714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30EFF"/>
    <w:multiLevelType w:val="multilevel"/>
    <w:tmpl w:val="1842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F7C2C"/>
    <w:multiLevelType w:val="multilevel"/>
    <w:tmpl w:val="FDFA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E48DE"/>
    <w:multiLevelType w:val="multilevel"/>
    <w:tmpl w:val="40BE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01A7E"/>
    <w:multiLevelType w:val="multilevel"/>
    <w:tmpl w:val="1500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57CE7"/>
    <w:multiLevelType w:val="multilevel"/>
    <w:tmpl w:val="1CA4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B74A4"/>
    <w:multiLevelType w:val="multilevel"/>
    <w:tmpl w:val="0EC29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BD5F78"/>
    <w:multiLevelType w:val="multilevel"/>
    <w:tmpl w:val="ABD83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C46DA9"/>
    <w:multiLevelType w:val="multilevel"/>
    <w:tmpl w:val="857C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16B29"/>
    <w:multiLevelType w:val="multilevel"/>
    <w:tmpl w:val="A2E8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67CFC"/>
    <w:multiLevelType w:val="multilevel"/>
    <w:tmpl w:val="44B8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9B53EA"/>
    <w:multiLevelType w:val="multilevel"/>
    <w:tmpl w:val="F134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DF6E62"/>
    <w:multiLevelType w:val="multilevel"/>
    <w:tmpl w:val="C518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D00D98"/>
    <w:multiLevelType w:val="multilevel"/>
    <w:tmpl w:val="5C2C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79224D"/>
    <w:multiLevelType w:val="multilevel"/>
    <w:tmpl w:val="4262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E66D4"/>
    <w:multiLevelType w:val="multilevel"/>
    <w:tmpl w:val="3FD2A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E65E35"/>
    <w:multiLevelType w:val="multilevel"/>
    <w:tmpl w:val="CEBE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50587E"/>
    <w:multiLevelType w:val="multilevel"/>
    <w:tmpl w:val="4B8E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9D2D0B"/>
    <w:multiLevelType w:val="multilevel"/>
    <w:tmpl w:val="8B3A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427DAA"/>
    <w:multiLevelType w:val="multilevel"/>
    <w:tmpl w:val="8200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A21B9B"/>
    <w:multiLevelType w:val="multilevel"/>
    <w:tmpl w:val="9DC87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575F61"/>
    <w:multiLevelType w:val="multilevel"/>
    <w:tmpl w:val="D1589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00355B"/>
    <w:multiLevelType w:val="multilevel"/>
    <w:tmpl w:val="58DC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FE2819"/>
    <w:multiLevelType w:val="multilevel"/>
    <w:tmpl w:val="E5AC7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D467E8"/>
    <w:multiLevelType w:val="multilevel"/>
    <w:tmpl w:val="048A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403181"/>
    <w:multiLevelType w:val="multilevel"/>
    <w:tmpl w:val="A250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7A42E0"/>
    <w:multiLevelType w:val="multilevel"/>
    <w:tmpl w:val="BA12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D94E54"/>
    <w:multiLevelType w:val="multilevel"/>
    <w:tmpl w:val="4996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77741E"/>
    <w:multiLevelType w:val="multilevel"/>
    <w:tmpl w:val="DF68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E93788"/>
    <w:multiLevelType w:val="multilevel"/>
    <w:tmpl w:val="4D3A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0A13F8"/>
    <w:multiLevelType w:val="multilevel"/>
    <w:tmpl w:val="80E6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315C77"/>
    <w:multiLevelType w:val="multilevel"/>
    <w:tmpl w:val="2332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2F1B00"/>
    <w:multiLevelType w:val="multilevel"/>
    <w:tmpl w:val="2C9C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955C43"/>
    <w:multiLevelType w:val="multilevel"/>
    <w:tmpl w:val="647C3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735D23"/>
    <w:multiLevelType w:val="multilevel"/>
    <w:tmpl w:val="BE32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231259">
    <w:abstractNumId w:val="32"/>
  </w:num>
  <w:num w:numId="2" w16cid:durableId="769860615">
    <w:abstractNumId w:val="25"/>
  </w:num>
  <w:num w:numId="3" w16cid:durableId="980690857">
    <w:abstractNumId w:val="29"/>
  </w:num>
  <w:num w:numId="4" w16cid:durableId="1873571717">
    <w:abstractNumId w:val="14"/>
  </w:num>
  <w:num w:numId="5" w16cid:durableId="1117604714">
    <w:abstractNumId w:val="30"/>
  </w:num>
  <w:num w:numId="6" w16cid:durableId="82916770">
    <w:abstractNumId w:val="8"/>
  </w:num>
  <w:num w:numId="7" w16cid:durableId="2127192530">
    <w:abstractNumId w:val="18"/>
  </w:num>
  <w:num w:numId="8" w16cid:durableId="1114710409">
    <w:abstractNumId w:val="2"/>
  </w:num>
  <w:num w:numId="9" w16cid:durableId="718550908">
    <w:abstractNumId w:val="11"/>
  </w:num>
  <w:num w:numId="10" w16cid:durableId="1546983173">
    <w:abstractNumId w:val="4"/>
  </w:num>
  <w:num w:numId="11" w16cid:durableId="1230188219">
    <w:abstractNumId w:val="26"/>
  </w:num>
  <w:num w:numId="12" w16cid:durableId="670136732">
    <w:abstractNumId w:val="34"/>
  </w:num>
  <w:num w:numId="13" w16cid:durableId="1644239090">
    <w:abstractNumId w:val="5"/>
  </w:num>
  <w:num w:numId="14" w16cid:durableId="1363285791">
    <w:abstractNumId w:val="13"/>
  </w:num>
  <w:num w:numId="15" w16cid:durableId="743142742">
    <w:abstractNumId w:val="15"/>
  </w:num>
  <w:num w:numId="16" w16cid:durableId="185877187">
    <w:abstractNumId w:val="10"/>
  </w:num>
  <w:num w:numId="17" w16cid:durableId="929313826">
    <w:abstractNumId w:val="31"/>
  </w:num>
  <w:num w:numId="18" w16cid:durableId="1785349158">
    <w:abstractNumId w:val="16"/>
  </w:num>
  <w:num w:numId="19" w16cid:durableId="1873615203">
    <w:abstractNumId w:val="6"/>
  </w:num>
  <w:num w:numId="20" w16cid:durableId="1548908373">
    <w:abstractNumId w:val="7"/>
  </w:num>
  <w:num w:numId="21" w16cid:durableId="1590963645">
    <w:abstractNumId w:val="21"/>
  </w:num>
  <w:num w:numId="22" w16cid:durableId="1615211392">
    <w:abstractNumId w:val="23"/>
  </w:num>
  <w:num w:numId="23" w16cid:durableId="1625774828">
    <w:abstractNumId w:val="0"/>
  </w:num>
  <w:num w:numId="24" w16cid:durableId="1348944663">
    <w:abstractNumId w:val="20"/>
  </w:num>
  <w:num w:numId="25" w16cid:durableId="1287464375">
    <w:abstractNumId w:val="1"/>
  </w:num>
  <w:num w:numId="26" w16cid:durableId="1935628338">
    <w:abstractNumId w:val="22"/>
  </w:num>
  <w:num w:numId="27" w16cid:durableId="2091927183">
    <w:abstractNumId w:val="9"/>
  </w:num>
  <w:num w:numId="28" w16cid:durableId="2092307902">
    <w:abstractNumId w:val="17"/>
  </w:num>
  <w:num w:numId="29" w16cid:durableId="403602036">
    <w:abstractNumId w:val="19"/>
  </w:num>
  <w:num w:numId="30" w16cid:durableId="1924140426">
    <w:abstractNumId w:val="27"/>
  </w:num>
  <w:num w:numId="31" w16cid:durableId="2033871115">
    <w:abstractNumId w:val="24"/>
  </w:num>
  <w:num w:numId="32" w16cid:durableId="1396126561">
    <w:abstractNumId w:val="3"/>
  </w:num>
  <w:num w:numId="33" w16cid:durableId="1174615002">
    <w:abstractNumId w:val="12"/>
  </w:num>
  <w:num w:numId="34" w16cid:durableId="985010147">
    <w:abstractNumId w:val="33"/>
  </w:num>
  <w:num w:numId="35" w16cid:durableId="118640248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048"/>
    <w:rsid w:val="00033667"/>
    <w:rsid w:val="00121483"/>
    <w:rsid w:val="002075CA"/>
    <w:rsid w:val="002274B7"/>
    <w:rsid w:val="00277640"/>
    <w:rsid w:val="0038555C"/>
    <w:rsid w:val="00390E7B"/>
    <w:rsid w:val="00402866"/>
    <w:rsid w:val="00500594"/>
    <w:rsid w:val="005962BF"/>
    <w:rsid w:val="00773602"/>
    <w:rsid w:val="007C1048"/>
    <w:rsid w:val="00912337"/>
    <w:rsid w:val="00925E4D"/>
    <w:rsid w:val="00C4611A"/>
    <w:rsid w:val="00C72C63"/>
    <w:rsid w:val="00DF21C4"/>
    <w:rsid w:val="00E63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1F0A3"/>
  <w15:chartTrackingRefBased/>
  <w15:docId w15:val="{D75264DE-1D0E-0848-89C8-B00A38DD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1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C1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C1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C1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7C1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1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1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1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1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1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C1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C1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7C10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7C104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10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104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10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10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1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1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1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1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1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104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104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104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1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104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10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C10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apple-converted-space">
    <w:name w:val="apple-converted-space"/>
    <w:basedOn w:val="Fontepargpadro"/>
    <w:rsid w:val="007C1048"/>
  </w:style>
  <w:style w:type="character" w:styleId="Forte">
    <w:name w:val="Strong"/>
    <w:basedOn w:val="Fontepargpadro"/>
    <w:uiPriority w:val="22"/>
    <w:qFormat/>
    <w:rsid w:val="007C1048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E631D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semiHidden/>
    <w:unhideWhenUsed/>
    <w:rsid w:val="00E631D4"/>
    <w:rPr>
      <w:color w:val="0000FF"/>
      <w:u w:val="single"/>
    </w:rPr>
  </w:style>
  <w:style w:type="character" w:customStyle="1" w:styleId="citation-7">
    <w:name w:val="citation-7"/>
    <w:basedOn w:val="Fontepargpadro"/>
    <w:rsid w:val="00773602"/>
  </w:style>
  <w:style w:type="character" w:customStyle="1" w:styleId="citation-6">
    <w:name w:val="citation-6"/>
    <w:basedOn w:val="Fontepargpadro"/>
    <w:rsid w:val="007736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divulgacandcontas.tse.jus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t.org.br/" TargetMode="External"/><Relationship Id="rId5" Type="http://schemas.openxmlformats.org/officeDocument/2006/relationships/hyperlink" Target="https://www.bcb.gov.br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2808</Words>
  <Characters>16344</Characters>
  <Application>Microsoft Office Word</Application>
  <DocSecurity>0</DocSecurity>
  <Lines>326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henrichs</dc:creator>
  <cp:keywords/>
  <dc:description/>
  <cp:lastModifiedBy>Pedro henrichs</cp:lastModifiedBy>
  <cp:revision>2</cp:revision>
  <dcterms:created xsi:type="dcterms:W3CDTF">2026-03-10T23:17:00Z</dcterms:created>
  <dcterms:modified xsi:type="dcterms:W3CDTF">2026-03-10T23:17:00Z</dcterms:modified>
</cp:coreProperties>
</file>