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03F7" w14:textId="77777777" w:rsidR="00E55A12" w:rsidRDefault="00E55A12" w:rsidP="00E55A12">
      <w:pPr>
        <w:rPr>
          <w:b/>
        </w:rPr>
      </w:pPr>
      <w:r>
        <w:rPr>
          <w:b/>
        </w:rPr>
        <w:t>Capítulo 6: Representação de Interesses no Congresso: A Dinâmica do Poder Legislativo Brasileiro</w:t>
      </w:r>
    </w:p>
    <w:p w14:paraId="63DD0F0E" w14:textId="77777777" w:rsidR="00E55A12" w:rsidRDefault="00E55A12" w:rsidP="00E55A12"/>
    <w:p w14:paraId="329778F5" w14:textId="77777777" w:rsidR="00E55A12" w:rsidRDefault="00E55A12" w:rsidP="00E55A12">
      <w:r>
        <w:t>A representação de interesses no Congresso Nacional constitui um elemento fundamental do processo democrático brasileiro, (isso já está bem entendido), refletindo a complexa teia de relações entre os diversos setores da sociedade e o poder legislativo. Como observou Rousseau, "O povo inglês pensa ser livre; está muito enganado, só o é durante a eleição dos membros do Parlamento; logo que estes são eleitos, ele é escravo, não é nada."</w:t>
      </w:r>
      <w:r>
        <w:rPr>
          <w:vertAlign w:val="superscript"/>
        </w:rPr>
        <w:footnoteReference w:id="1"/>
      </w:r>
    </w:p>
    <w:p w14:paraId="780825EB" w14:textId="77777777" w:rsidR="00E55A12" w:rsidRDefault="00E55A12" w:rsidP="00E55A12"/>
    <w:p w14:paraId="6BA39D2F" w14:textId="77777777" w:rsidR="00E55A12" w:rsidRDefault="00E55A12" w:rsidP="00E55A12">
      <w:r>
        <w:t>Este fenômeno, intrinsecamente ligado ao funcionamento do sistema político, manifesta-se através de uma variedade de mecanismos e estratégias empregadas por diferentes grupos para influenciar a formulação e aprovação de leis e políticas públicas. A compreensão deste processo é essencial para uma análise aprofundada da dinâmica legislativa e da formação da agenda política nacional. Como diria Maquiavel, "Governar é fazer crer."</w:t>
      </w:r>
      <w:r>
        <w:rPr>
          <w:vertAlign w:val="superscript"/>
        </w:rPr>
        <w:footnoteReference w:id="2"/>
      </w:r>
    </w:p>
    <w:p w14:paraId="7ED1F4CE" w14:textId="77777777" w:rsidR="00E55A12" w:rsidRDefault="00E55A12" w:rsidP="00E55A12"/>
    <w:p w14:paraId="57A96FDB" w14:textId="77777777" w:rsidR="00E55A12" w:rsidRDefault="00E55A12" w:rsidP="00E55A12">
      <w:r>
        <w:t>Agora que já começamos com esse tom mais formal, vamos descontrair um pouco e entrar mais fundo nesse mundo (às vezes polêmico) da representação de interesses no Congresso Nacional. Sabe aquela sensação de que algumas vozes parecem ser mais ouvidas que outras em Brasília? Pois é, vamos desvendar como esse jogo funciona na prática!</w:t>
      </w:r>
    </w:p>
    <w:p w14:paraId="1A35097D" w14:textId="77777777" w:rsidR="00E55A12" w:rsidRDefault="00E55A12" w:rsidP="00E55A12"/>
    <w:p w14:paraId="7FB9CD95" w14:textId="77777777" w:rsidR="00E55A12" w:rsidRDefault="00E55A12" w:rsidP="00E55A12">
      <w:r>
        <w:t>Como observou George Orwell, "Num tempo de mentira universal, dizer a verdade é um ato revolucionário." Esta frase nos lembra da importância de examinar criticamente o processo de representação de interesses, buscando entender não apenas o que é dito publicamente, mas também as motivações e estratégias por trás das ações dos diversos atores envolvidos.</w:t>
      </w:r>
    </w:p>
    <w:p w14:paraId="1610D0C8" w14:textId="77777777" w:rsidR="00E55A12" w:rsidRDefault="00E55A12" w:rsidP="00E55A12"/>
    <w:p w14:paraId="1E2641AE" w14:textId="77777777" w:rsidR="00E55A12" w:rsidRDefault="00E55A12" w:rsidP="00E55A12">
      <w:r>
        <w:t>É crucial lembrar que, como disse Wendell Phillips, "A eterna vigilância é o preço da liberdade."</w:t>
      </w:r>
      <w:r>
        <w:rPr>
          <w:vertAlign w:val="superscript"/>
        </w:rPr>
        <w:footnoteReference w:id="3"/>
      </w:r>
      <w:r>
        <w:t xml:space="preserve"> A representação de interesses no Congresso, embora seja uma parte natural do processo democrático, requer constante escrutínio público para garantir que serve ao interesse coletivo e não apenas a grupos específicos.</w:t>
      </w:r>
    </w:p>
    <w:p w14:paraId="3CB26C74" w14:textId="77777777" w:rsidR="00E55A12" w:rsidRDefault="00E55A12" w:rsidP="00E55A12"/>
    <w:p w14:paraId="23F7797B" w14:textId="77777777" w:rsidR="00E55A12" w:rsidRDefault="00E55A12" w:rsidP="00E55A12">
      <w:r>
        <w:t>Ao explorarmos os meandros desse jogo de influências, devemos ter em mente as palavras atribuídas a Platão: "O preço que os homens bons pagam pela indiferença aos assuntos públicos é serem governados por homens maus."</w:t>
      </w:r>
      <w:r>
        <w:rPr>
          <w:vertAlign w:val="superscript"/>
        </w:rPr>
        <w:footnoteReference w:id="4"/>
      </w:r>
      <w:r>
        <w:t xml:space="preserve">  Portanto, entender como funciona a representação de interesses no Congresso não é apenas um exercício acadêmico, mas uma necessidade cívica para todos os cidadãos engajados em fortalecer nossa democracia.</w:t>
      </w:r>
    </w:p>
    <w:p w14:paraId="67FC2744" w14:textId="77777777" w:rsidR="00E55A12" w:rsidRDefault="00E55A12" w:rsidP="00E55A12"/>
    <w:p w14:paraId="4F7B55C3" w14:textId="77777777" w:rsidR="00E55A12" w:rsidRDefault="00E55A12" w:rsidP="00E55A12"/>
    <w:p w14:paraId="4995EF8F" w14:textId="77777777" w:rsidR="00E55A12" w:rsidRDefault="00E55A12" w:rsidP="00E55A12">
      <w:pPr>
        <w:rPr>
          <w:b/>
        </w:rPr>
      </w:pPr>
      <w:r>
        <w:rPr>
          <w:b/>
        </w:rPr>
        <w:t>O que é representação de interesses, afinal?</w:t>
      </w:r>
    </w:p>
    <w:p w14:paraId="18141300" w14:textId="77777777" w:rsidR="00E55A12" w:rsidRDefault="00E55A12" w:rsidP="00E55A12"/>
    <w:p w14:paraId="55299681" w14:textId="77777777" w:rsidR="00E55A12" w:rsidRDefault="00E55A12" w:rsidP="00E55A12">
      <w:r>
        <w:t>Imagine o Congresso como uma grande reunião de família, daquelas que acontecem no Natal ou no aniversário da vovó. Nessa reunião, todo mundo quer ser ouvido e ter suas ideias levadas em conta. Tem o tio empresário, a prima sindicalista, o sobrinho ativista de ONG, a tia religiosa, e até você e eu, os primos mais novos tentando dar nosso pitaco. Como diria Aristóteles, "O homem é por natureza um animal político"</w:t>
      </w:r>
      <w:r>
        <w:rPr>
          <w:vertAlign w:val="superscript"/>
        </w:rPr>
        <w:footnoteReference w:id="5"/>
      </w:r>
      <w:r>
        <w:t>, e essa reunião familiar é uma perfeita metáfora para a política em ação.</w:t>
      </w:r>
    </w:p>
    <w:p w14:paraId="377FB2D9" w14:textId="77777777" w:rsidR="00E55A12" w:rsidRDefault="00E55A12" w:rsidP="00E55A12"/>
    <w:p w14:paraId="38FCFC75" w14:textId="77777777" w:rsidR="00E55A12" w:rsidRDefault="00E55A12" w:rsidP="00E55A12">
      <w:r>
        <w:t>A representação de interesses é como cada membro da família tentando convencer o patriarca ou a matriarca (nesse caso, os parlamentares) a tomar decisões que favoreçam sua "causa". Pode ser desde escolher o cardápio do próximo almoço de domingo até decidir para onde será a viagem em família. No fim das contas, é uma grande negociação onde cada um tenta fazer sua voz ser a mais influente na hora da decisão final. Como observou Maquiavel, "A política é a arte de obter o que é possível."</w:t>
      </w:r>
      <w:r>
        <w:rPr>
          <w:vertAlign w:val="superscript"/>
        </w:rPr>
        <w:footnoteReference w:id="6"/>
      </w:r>
    </w:p>
    <w:p w14:paraId="5C6DF53C" w14:textId="77777777" w:rsidR="00E55A12" w:rsidRDefault="00E55A12" w:rsidP="00E55A12"/>
    <w:p w14:paraId="0165EBBF" w14:textId="77777777" w:rsidR="00E55A12" w:rsidRDefault="00E55A12" w:rsidP="00E55A12">
      <w:r>
        <w:t>Nos corredores do Congresso, acontece uma verdadeira dança de interesses. Vamos dar alguns exemplos reais sem fazer o julgamento é bom ou ruim, o julgamento deixo para você:</w:t>
      </w:r>
    </w:p>
    <w:p w14:paraId="3E11B5E9" w14:textId="77777777" w:rsidR="00E55A12" w:rsidRDefault="00E55A12" w:rsidP="00E55A12"/>
    <w:p w14:paraId="487C75F9" w14:textId="77777777" w:rsidR="00E55A12" w:rsidRDefault="00E55A12" w:rsidP="00E55A12">
      <w:pPr>
        <w:rPr>
          <w:b/>
        </w:rPr>
      </w:pPr>
      <w:r>
        <w:rPr>
          <w:b/>
        </w:rPr>
        <w:t>1. A Bancada Ruralista e o Código Florestal</w:t>
      </w:r>
    </w:p>
    <w:p w14:paraId="69C6BDF3" w14:textId="77777777" w:rsidR="00E55A12" w:rsidRDefault="00E55A12" w:rsidP="00E55A12"/>
    <w:p w14:paraId="08721415" w14:textId="77777777" w:rsidR="00E55A12" w:rsidRDefault="00E55A12" w:rsidP="00E55A12">
      <w:r>
        <w:t>Lembra daquela polêmica sobre o novo Código Florestal em 2012? Pois é, a Bancada Ruralista (também conhecida como Frente Parlamentar da Agropecuária) foi uma das principais forças por trás dessa mudança. Eles argumentavam que as leis ambientais estavam atrapalhando o desenvolvimento do agronegócio.</w:t>
      </w:r>
    </w:p>
    <w:p w14:paraId="1B792653" w14:textId="77777777" w:rsidR="00E55A12" w:rsidRDefault="00E55A12" w:rsidP="00E55A12"/>
    <w:p w14:paraId="11BFF694" w14:textId="77777777" w:rsidR="00E55A12" w:rsidRDefault="00E55A12" w:rsidP="00E55A12">
      <w:r>
        <w:t>O resultado? O novo código acabou flexibilizando algumas regras de proteção ambiental. Foi uma vitória para o agronegócio, mas ambientalistas ficaram de cabelo em pé! Como disse Rousseau, "As leis são sempre úteis aos que possuem e prejudiciais aos que nada têm."</w:t>
      </w:r>
      <w:r>
        <w:rPr>
          <w:vertAlign w:val="superscript"/>
        </w:rPr>
        <w:footnoteReference w:id="7"/>
      </w:r>
    </w:p>
    <w:p w14:paraId="0C6336A1" w14:textId="77777777" w:rsidR="00E55A12" w:rsidRDefault="00E55A12" w:rsidP="00E55A12"/>
    <w:p w14:paraId="55336E11" w14:textId="77777777" w:rsidR="00E55A12" w:rsidRDefault="00E55A12" w:rsidP="00E55A12">
      <w:r>
        <w:t>Este exemplo ilustra perfeitamente como a representação de interesses pode moldar a legislação. Como observou Robert A. Dahl, "A democracia depende da contínua responsividade do governo às preferências de seus cidadãos considerados politicamente iguais"</w:t>
      </w:r>
      <w:r>
        <w:rPr>
          <w:vertAlign w:val="superscript"/>
        </w:rPr>
        <w:footnoteReference w:id="8"/>
      </w:r>
      <w:r>
        <w:t xml:space="preserve">. No entanto, é crucial lembrar que nem todas </w:t>
      </w:r>
      <w:r>
        <w:lastRenderedPageBreak/>
        <w:t>as opiniões têm o mesmo peso ou influência, como nos alerta George Orwell: "Todos os animais são iguais, mas alguns animais são mais iguais que outros"</w:t>
      </w:r>
      <w:r>
        <w:rPr>
          <w:vertAlign w:val="superscript"/>
        </w:rPr>
        <w:footnoteReference w:id="9"/>
      </w:r>
      <w:r>
        <w:t>.</w:t>
      </w:r>
    </w:p>
    <w:p w14:paraId="31126921" w14:textId="77777777" w:rsidR="00E55A12" w:rsidRDefault="00E55A12" w:rsidP="00E55A12"/>
    <w:p w14:paraId="2A57E07F" w14:textId="77777777" w:rsidR="00E55A12" w:rsidRDefault="00E55A12" w:rsidP="00E55A12">
      <w:r>
        <w:t>A representação de interesses no Congresso é um reflexo direto das dinâmicas de poder na sociedade. Como diria Michel Foucault, "O poder não é algo que se possui, mas algo que se exerce".</w:t>
      </w:r>
      <w:r>
        <w:rPr>
          <w:vertAlign w:val="superscript"/>
        </w:rPr>
        <w:footnoteReference w:id="10"/>
      </w:r>
      <w:r>
        <w:t xml:space="preserve"> Neste caso, vemos claramente como grupos organizados e com recursos significativos podem exercer uma influência desproporcional no processo legislativo.</w:t>
      </w:r>
    </w:p>
    <w:p w14:paraId="084C22E2" w14:textId="77777777" w:rsidR="00E55A12" w:rsidRDefault="00E55A12" w:rsidP="00E55A12"/>
    <w:p w14:paraId="6BE2FB29" w14:textId="77777777" w:rsidR="00E55A12" w:rsidRDefault="00E55A12" w:rsidP="00E55A12">
      <w:pPr>
        <w:rPr>
          <w:b/>
        </w:rPr>
      </w:pPr>
      <w:r>
        <w:rPr>
          <w:b/>
        </w:rPr>
        <w:t>2. A Indústria Farmacêutica e a Lei dos Genéricos</w:t>
      </w:r>
    </w:p>
    <w:p w14:paraId="7DCA4389" w14:textId="77777777" w:rsidR="00E55A12" w:rsidRDefault="00E55A12" w:rsidP="00E55A12"/>
    <w:p w14:paraId="538DD156" w14:textId="77777777" w:rsidR="00E55A12" w:rsidRDefault="00E55A12" w:rsidP="00E55A12">
      <w:r>
        <w:t>Peço desculpas pelo erro. Você está absolutamente certo em apontar isso. Vou refazer o texto de forma correta, sem citações falsas ou não verificadas:</w:t>
      </w:r>
    </w:p>
    <w:p w14:paraId="02A49FBF" w14:textId="77777777" w:rsidR="00E55A12" w:rsidRDefault="00E55A12" w:rsidP="00E55A12"/>
    <w:p w14:paraId="00910B27" w14:textId="77777777" w:rsidR="00E55A12" w:rsidRDefault="00E55A12" w:rsidP="00E55A12">
      <w:r>
        <w:t>Em 1999, a aprovação da Lei dos Genéricos (Lei nº 9.787, de 10 de fevereiro de 1999) foi um marco na saúde pública brasileira. Houve uma intensa batalha nos bastidores, com laboratórios nacionais e grupos de defesa do consumidor pressionando pela aprovação, enquanto grandes farmacêuticas multinacionais faziam lobby contra.</w:t>
      </w:r>
    </w:p>
    <w:p w14:paraId="57658374" w14:textId="77777777" w:rsidR="00E55A12" w:rsidRDefault="00E55A12" w:rsidP="00E55A12"/>
    <w:p w14:paraId="6C70D106" w14:textId="77777777" w:rsidR="00E55A12" w:rsidRDefault="00E55A12" w:rsidP="00E55A12">
      <w:r>
        <w:t>A implementação da política de medicamentos genéricos no Brasil visava estimular a concorrência, melhorar a qualidade dos medicamentos e facilitar o acesso da população a tratamentos farmacológicos. A lei permitiu a fabricação de medicamentos equivalentes aos "de marca" cujas patentes haviam expirado, e determinou que as prescrições no Sistema Único de Saúde (SUS) deveriam adotar o nome do princípio ativo do medicamento em vez da marca.</w:t>
      </w:r>
    </w:p>
    <w:p w14:paraId="3F0FC2C0" w14:textId="77777777" w:rsidR="00E55A12" w:rsidRDefault="00E55A12" w:rsidP="00E55A12"/>
    <w:p w14:paraId="5AAF050F" w14:textId="77777777" w:rsidR="00E55A12" w:rsidRDefault="00E55A12" w:rsidP="00E55A12">
      <w:r>
        <w:t>No fim, a lei passou, mas não sem antes ocorrer muita discussão e negociação nos corredores do Congresso. Este processo demonstra a complexidade da representação de interesses no legislativo brasileiro e como diferentes grupos podem influenciar a formulação de políticas públicas.</w:t>
      </w:r>
    </w:p>
    <w:p w14:paraId="0761EAF7" w14:textId="77777777" w:rsidR="00E55A12" w:rsidRDefault="00E55A12" w:rsidP="00E55A12"/>
    <w:p w14:paraId="527FC964" w14:textId="77777777" w:rsidR="00E55A12" w:rsidRDefault="00E55A12" w:rsidP="00E55A12">
      <w:r>
        <w:t>A aprovação da Lei dos Genéricos representou um avanço significativo na política de saúde pública do Brasil, promovendo maior acesso a medicamentos e estimulando a indústria farmacêutica nacional.</w:t>
      </w:r>
    </w:p>
    <w:p w14:paraId="0B5DDBFF" w14:textId="77777777" w:rsidR="00E55A12" w:rsidRDefault="00E55A12" w:rsidP="00E55A12"/>
    <w:p w14:paraId="2ACD70DF" w14:textId="77777777" w:rsidR="00E55A12" w:rsidRDefault="00E55A12" w:rsidP="00E55A12">
      <w:pPr>
        <w:rPr>
          <w:b/>
        </w:rPr>
      </w:pPr>
      <w:r>
        <w:rPr>
          <w:b/>
        </w:rPr>
        <w:t>4. O Lobby das Armas e o Estatuto do Desarmamento</w:t>
      </w:r>
    </w:p>
    <w:p w14:paraId="266FED6F" w14:textId="77777777" w:rsidR="00E55A12" w:rsidRDefault="00E55A12" w:rsidP="00E55A12"/>
    <w:p w14:paraId="2EF48DAC" w14:textId="77777777" w:rsidR="00E55A12" w:rsidRDefault="00E55A12" w:rsidP="00E55A12">
      <w:r>
        <w:t>Em 2003, o Estatuto do Desarmamento foi aprovado, restringindo o porte de armas no Brasil. Mas em 2005, houve um referendo para proibir a comercialização de armas de fogo. Aí o bicho pegou!</w:t>
      </w:r>
    </w:p>
    <w:p w14:paraId="76EBCADC" w14:textId="77777777" w:rsidR="00E55A12" w:rsidRDefault="00E55A12" w:rsidP="00E55A12"/>
    <w:p w14:paraId="4ED24FC9" w14:textId="77777777" w:rsidR="00E55A12" w:rsidRDefault="00E55A12" w:rsidP="00E55A12">
      <w:r>
        <w:t xml:space="preserve">A indústria de armas e munições, junto com grupos pró-armas, tem feito um lobby intenso no Brasil. Em 2005, a população votou contra a proibição do comércio de </w:t>
      </w:r>
      <w:r>
        <w:lastRenderedPageBreak/>
        <w:t>armas em um referendo nacional, com 63,94% dos votos válidos optando pelo "não". Desde então, esses grupos continuam pressionando por leis mais flexíveis para o porte de armas.</w:t>
      </w:r>
    </w:p>
    <w:p w14:paraId="754BA137" w14:textId="77777777" w:rsidR="00E55A12" w:rsidRDefault="00E55A12" w:rsidP="00E55A12"/>
    <w:p w14:paraId="7174BAF5" w14:textId="77777777" w:rsidR="00E55A12" w:rsidRDefault="00E55A12" w:rsidP="00E55A12">
      <w:r>
        <w:t>Recentemente, a indústria bélica intensificou seu lobby junto ao Exército brasileiro, obtendo uma série de benefícios. Entre março e novembro de 2021, foram realizadas 42 reuniões envolvendo 94 representantes de 37 empresas em dependências do Exército e do Ministério da Defesa. O governo atual também reforçou o incentivo à compra de armas pelos cidadãos como uma das principais políticas.</w:t>
      </w:r>
    </w:p>
    <w:p w14:paraId="26352C23" w14:textId="77777777" w:rsidR="00E55A12" w:rsidRDefault="00E55A12" w:rsidP="00E55A12"/>
    <w:p w14:paraId="60EAFA2D" w14:textId="77777777" w:rsidR="00E55A12" w:rsidRDefault="00E55A12" w:rsidP="00E55A12">
      <w:r>
        <w:t>O lobby das armas exemplifica como grupos de interesse podem influenciar significativamente a legislação e as políticas públicas, mesmo em questões controversas como o acesso a armas de fogo.</w:t>
      </w:r>
    </w:p>
    <w:p w14:paraId="318C8AC8" w14:textId="77777777" w:rsidR="00E55A12" w:rsidRDefault="00E55A12" w:rsidP="00E55A12"/>
    <w:p w14:paraId="77B4ECD9" w14:textId="77777777" w:rsidR="00E55A12" w:rsidRDefault="00E55A12" w:rsidP="00E55A12">
      <w:r>
        <w:t>Esses exemplos ilustram como a representação de interesses pode moldar legislações importantes e impactar diretamente a vida dos cidadãos. A luta por direitos e acesso à saúde é tão vital quanto as discussões sobre segurança pública e direitos individuais. É fundamental que os cidadãos estejam cientes dessas dinâmicas para que possam participar ativamente do debate público e exigir transparência e responsabilidade dos representantes eleitos.</w:t>
      </w:r>
    </w:p>
    <w:p w14:paraId="72EF4AFF" w14:textId="77777777" w:rsidR="00E55A12" w:rsidRDefault="00E55A12" w:rsidP="00E55A12"/>
    <w:p w14:paraId="611D16BD" w14:textId="77777777" w:rsidR="00E55A12" w:rsidRDefault="00E55A12" w:rsidP="00E55A12">
      <w:r>
        <w:t>Como observou Hannah Arendt, "A liberdade é a condição da ação política."</w:t>
      </w:r>
      <w:r>
        <w:rPr>
          <w:vertAlign w:val="superscript"/>
        </w:rPr>
        <w:footnoteReference w:id="11"/>
      </w:r>
      <w:r>
        <w:t xml:space="preserve"> Portanto, entender o lobby e sua influência nas decisões legislativas é essencial para fortalecer nossa democracia e garantir que as vozes de todos sejam ouvidas nos corredores do poder.</w:t>
      </w:r>
    </w:p>
    <w:p w14:paraId="33FE4579" w14:textId="77777777" w:rsidR="00E55A12" w:rsidRDefault="00E55A12" w:rsidP="00E55A12"/>
    <w:p w14:paraId="3CBC139D" w14:textId="77777777" w:rsidR="00E55A12" w:rsidRDefault="00E55A12" w:rsidP="00E55A12">
      <w:pPr>
        <w:rPr>
          <w:b/>
        </w:rPr>
      </w:pPr>
      <w:r>
        <w:rPr>
          <w:b/>
        </w:rPr>
        <w:t>4. A Pauta Econômica e a Reforma Tributária</w:t>
      </w:r>
    </w:p>
    <w:p w14:paraId="16495404" w14:textId="77777777" w:rsidR="00E55A12" w:rsidRDefault="00E55A12" w:rsidP="00E55A12"/>
    <w:p w14:paraId="1628D919" w14:textId="77777777" w:rsidR="00E55A12" w:rsidRDefault="00E55A12" w:rsidP="00E55A12">
      <w:r>
        <w:t xml:space="preserve">Agora, vamos falar de um assunto quentíssimo: </w:t>
      </w:r>
      <w:proofErr w:type="gramStart"/>
      <w:r>
        <w:t>no momento em que</w:t>
      </w:r>
      <w:proofErr w:type="gramEnd"/>
      <w:r>
        <w:t xml:space="preserve"> este livro está sendo escrito, a Reforma Tributária é uma das pautas mais debatidas no Congresso em 2023 e 2024. Essa proposta, que busca simplificar o sistema tributário brasileiro e unificar impostos, tornou-se um verdadeiro campo de batalha de interesses. Diversos setores da economia, como indústria, comércio e serviços, têm pressionado parlamentares para moldar a reforma de acordo com suas prioridades e preocupações. </w:t>
      </w:r>
    </w:p>
    <w:p w14:paraId="381D5E09" w14:textId="77777777" w:rsidR="00E55A12" w:rsidRDefault="00E55A12" w:rsidP="00E55A12"/>
    <w:p w14:paraId="59AD63D2" w14:textId="77777777" w:rsidR="00E55A12" w:rsidRDefault="00E55A12" w:rsidP="00E55A12">
      <w:r>
        <w:t>Como destacou Otto von Bismarck, "A política é a arte do possível"</w:t>
      </w:r>
      <w:r>
        <w:rPr>
          <w:vertAlign w:val="superscript"/>
        </w:rPr>
        <w:footnoteReference w:id="12"/>
      </w:r>
      <w:r>
        <w:t>, e nesse caso, o possível está sendo definido por negociações intensas e interesses conflitantes que permeiam o debate legislativo.</w:t>
      </w:r>
    </w:p>
    <w:p w14:paraId="6BDB6659" w14:textId="77777777" w:rsidR="00E55A12" w:rsidRDefault="00E55A12" w:rsidP="00E55A12"/>
    <w:p w14:paraId="5AF25639" w14:textId="77777777" w:rsidR="00E55A12" w:rsidRDefault="00E55A12" w:rsidP="00E55A12">
      <w:r>
        <w:t>De um lado, temos o governo federal empurrando a reforma, argumentando que ela vai simplificar o sistema tributário e impulsionar o crescimento econômico. Do outro, temos uma série de grupos defendendo seus interesses:</w:t>
      </w:r>
    </w:p>
    <w:p w14:paraId="1DE2A625" w14:textId="77777777" w:rsidR="00E55A12" w:rsidRDefault="00E55A12" w:rsidP="00E55A12"/>
    <w:p w14:paraId="1B0CA053" w14:textId="77777777" w:rsidR="00E55A12" w:rsidRDefault="00E55A12" w:rsidP="00E55A12">
      <w:r>
        <w:t xml:space="preserve">- Estados e municípios estão preocupados em não perder arrecadação. Como observou Tocqueville, "Numa democracia, o povo tende a escolher como seus representantes homens cuja condição, sentimentos e hábitos não diferem muito dos seus próprios." </w:t>
      </w:r>
      <w:r>
        <w:rPr>
          <w:vertAlign w:val="superscript"/>
        </w:rPr>
        <w:footnoteReference w:id="13"/>
      </w:r>
      <w:r>
        <w:t>Aqui, vemos os representantes locais lutando para manter os recursos de suas bases.</w:t>
      </w:r>
    </w:p>
    <w:p w14:paraId="4E6F638C" w14:textId="77777777" w:rsidR="00E55A12" w:rsidRDefault="00E55A12" w:rsidP="00E55A12"/>
    <w:p w14:paraId="224AD212" w14:textId="77777777" w:rsidR="00E55A12" w:rsidRDefault="00E55A12" w:rsidP="00E55A12">
      <w:r>
        <w:t>- O setor de serviços teme um aumento da carga tributária. Isso nos lembra as palavras de Adam Smith: "Não é da benevolência do açougueiro, do cervejeiro ou do padeiro que esperamos nosso jantar, mas da consideração que eles têm pelo seu próprio interesse."</w:t>
      </w:r>
      <w:r>
        <w:rPr>
          <w:vertAlign w:val="superscript"/>
        </w:rPr>
        <w:footnoteReference w:id="14"/>
      </w:r>
    </w:p>
    <w:p w14:paraId="2B69B8B5" w14:textId="77777777" w:rsidR="00E55A12" w:rsidRDefault="00E55A12" w:rsidP="00E55A12"/>
    <w:p w14:paraId="11DFCC20" w14:textId="77777777" w:rsidR="00E55A12" w:rsidRDefault="00E55A12" w:rsidP="00E55A12">
      <w:r>
        <w:t xml:space="preserve">Já a indústria, em geral, apoia a Reforma Tributária, esperando uma redução nos custos de produção. Como destacou Bernard </w:t>
      </w:r>
      <w:proofErr w:type="spellStart"/>
      <w:r>
        <w:t>Appy</w:t>
      </w:r>
      <w:proofErr w:type="spellEnd"/>
      <w:r>
        <w:t>, secretário extraordinário da Reforma Tributária, "o setor industrial é o que mais se beneficia da Reforma Tributária, não porque será favorecido, mas porque é o mais prejudicado pelo sistema tributário atual" (Agência Brasil, 10/06/2024). A simplificação das regras e o fim da cumulatividade prometem aumentar a competitividade do setor e estimular novos investimentos.</w:t>
      </w:r>
    </w:p>
    <w:p w14:paraId="51A6AF55" w14:textId="77777777" w:rsidR="00E55A12" w:rsidRDefault="00E55A12" w:rsidP="00E55A12"/>
    <w:p w14:paraId="02A12334" w14:textId="77777777" w:rsidR="00E55A12" w:rsidRDefault="00E55A12" w:rsidP="00E55A12">
      <w:r>
        <w:t xml:space="preserve">Esse apoio reflete a busca por maior eficiência econômica e competitividade global. </w:t>
      </w:r>
    </w:p>
    <w:p w14:paraId="7AD034C4" w14:textId="77777777" w:rsidR="00E55A12" w:rsidRDefault="00E55A12" w:rsidP="00E55A12"/>
    <w:p w14:paraId="208529DC" w14:textId="77777777" w:rsidR="00E55A12" w:rsidRDefault="00E55A12" w:rsidP="00E55A12">
      <w:r>
        <w:t>- A "bancada do boi" ou Frente Parlamentar da Agropecuária (FPA) conseguiu emplacar 18 pleitos do setor nas negociações, incluindo a redução de impostos para carnes. Isso ilustra o que James Madison chamou de "facções" em O Federalista: grupos unidos por um interesse comum adverso aos direitos dos outros cidadãos ou aos interesses permanentes e agregados da comunidade.</w:t>
      </w:r>
      <w:r>
        <w:rPr>
          <w:vertAlign w:val="superscript"/>
        </w:rPr>
        <w:footnoteReference w:id="15"/>
      </w:r>
    </w:p>
    <w:p w14:paraId="2FA3A17C" w14:textId="77777777" w:rsidR="00E55A12" w:rsidRDefault="00E55A12" w:rsidP="00E55A12"/>
    <w:p w14:paraId="3376CD3E" w14:textId="77777777" w:rsidR="00E55A12" w:rsidRDefault="00E55A12" w:rsidP="00E55A12">
      <w:pPr>
        <w:rPr>
          <w:b/>
        </w:rPr>
      </w:pPr>
      <w:r>
        <w:rPr>
          <w:b/>
        </w:rPr>
        <w:t>Como funciona na prática?</w:t>
      </w:r>
    </w:p>
    <w:p w14:paraId="6FAC8A07" w14:textId="77777777" w:rsidR="00E55A12" w:rsidRDefault="00E55A12" w:rsidP="00E55A12"/>
    <w:p w14:paraId="49382BD3" w14:textId="77777777" w:rsidR="00E55A12" w:rsidRDefault="00E55A12" w:rsidP="00E55A12">
      <w:r>
        <w:t xml:space="preserve">1. Frentes Parlamentares: São grupos de deputados e senadores que se unem em torno de uma causa. A Frente Parlamentar Evangélica, por exemplo, é </w:t>
      </w:r>
      <w:proofErr w:type="gramStart"/>
      <w:r>
        <w:t>super ativa</w:t>
      </w:r>
      <w:proofErr w:type="gramEnd"/>
      <w:r>
        <w:t xml:space="preserve"> em pautas relacionadas à família e costumes. Como diria Alexis de Tocqueville, "Em uma democracia, o povo tende a escolher como seus representantes homens cuja condição, sentimentos e hábitos não diferem muito dos seus próprios."</w:t>
      </w:r>
      <w:r>
        <w:rPr>
          <w:vertAlign w:val="superscript"/>
        </w:rPr>
        <w:footnoteReference w:id="16"/>
      </w:r>
    </w:p>
    <w:p w14:paraId="0AF60C1B" w14:textId="77777777" w:rsidR="00E55A12" w:rsidRDefault="00E55A12" w:rsidP="00E55A12"/>
    <w:p w14:paraId="1C3B221B" w14:textId="77777777" w:rsidR="00E55A12" w:rsidRDefault="00E55A12" w:rsidP="00E55A12">
      <w:r>
        <w:t xml:space="preserve">2. Audiências Públicas: Momento em que representantes de diferentes grupos podem expor suas ideias diretamente aos parlamentares. É tipo um debate ao vivo! Isso nos lembra as palavras de John Stuart Mill: "A única liberdade que </w:t>
      </w:r>
      <w:r>
        <w:lastRenderedPageBreak/>
        <w:t>merece o nome é a de buscar nosso próprio bem à nossa própria maneira, contanto que não tentemos privar os outros do seu."</w:t>
      </w:r>
      <w:r>
        <w:rPr>
          <w:vertAlign w:val="superscript"/>
        </w:rPr>
        <w:footnoteReference w:id="17"/>
      </w:r>
    </w:p>
    <w:p w14:paraId="2398256D" w14:textId="77777777" w:rsidR="00E55A12" w:rsidRDefault="00E55A12" w:rsidP="00E55A12"/>
    <w:p w14:paraId="1EE0823E" w14:textId="77777777" w:rsidR="00E55A12" w:rsidRDefault="00E55A12" w:rsidP="00E55A12">
      <w:r>
        <w:t>3. Antes da proibição em 2015, empresas podiam doar para campanhas eleitorais. Isso gerava uma expectativa de "retorno do investimento" em forma de políticas favoráveis. A mudança veio com o julgamento da Ação Direta de Inconstitucionalidade (ADI) 4.650 pelo Supremo Tribunal Federal (STF), que declarou inconstitucional o financiamento empresarial de campanhas, levando à aprovação da Lei nº 13.165/2015. Esta lei proibiu tais doações a partir das eleições de 2016, alterando significativamente o panorama do financiamento político no Brasil.</w:t>
      </w:r>
    </w:p>
    <w:p w14:paraId="25F14E7B" w14:textId="77777777" w:rsidR="00E55A12" w:rsidRDefault="00E55A12" w:rsidP="00E55A12"/>
    <w:p w14:paraId="355C82E0" w14:textId="77777777" w:rsidR="00E55A12" w:rsidRDefault="00E55A12" w:rsidP="00E55A12">
      <w:r>
        <w:t>Como observou Robert A. Dahl, "A democracia em grande escala exige que os funcionários eleitos sejam responsáveis perante os cidadãos."</w:t>
      </w:r>
      <w:r>
        <w:rPr>
          <w:vertAlign w:val="superscript"/>
        </w:rPr>
        <w:footnoteReference w:id="18"/>
      </w:r>
      <w:r>
        <w:t xml:space="preserve"> Esta responsabilidade é fundamental para garantir que as políticas públicas reflitam os interesses da população, não apenas dos grandes doadores.</w:t>
      </w:r>
    </w:p>
    <w:p w14:paraId="39159C13" w14:textId="77777777" w:rsidR="00E55A12" w:rsidRDefault="00E55A12" w:rsidP="00E55A12"/>
    <w:p w14:paraId="0D11506F" w14:textId="77777777" w:rsidR="00E55A12" w:rsidRDefault="00E55A12" w:rsidP="00E55A12">
      <w:r>
        <w:t>4. Estudos Técnicos: Muitos grupos contratam especialistas para produzir relatórios que embasem suas posições. É a ciência entrando no jogo político! Francis Bacon disse: "Conhecimento é poder"</w:t>
      </w:r>
      <w:r>
        <w:rPr>
          <w:vertAlign w:val="superscript"/>
        </w:rPr>
        <w:footnoteReference w:id="19"/>
      </w:r>
      <w:r>
        <w:t>, e neste caso, o conhecimento técnico é usado como ferramenta de persuasão política.</w:t>
      </w:r>
    </w:p>
    <w:p w14:paraId="6C476965" w14:textId="77777777" w:rsidR="00E55A12" w:rsidRDefault="00E55A12" w:rsidP="00E55A12"/>
    <w:p w14:paraId="0AA334F1" w14:textId="77777777" w:rsidR="00E55A12" w:rsidRDefault="00E55A12" w:rsidP="00E55A12">
      <w:r>
        <w:t>5. Mobilização nas Redes: Hoje em dia, muitos grupos usam as redes sociais para pressionar parlamentares. Lembra da hashtag #VemPraRua, que bombou no Twitter? Pode ter sido parte de uma estratégia de lobby! Como disse Marshall McLuhan, "O meio é a mensagem."</w:t>
      </w:r>
      <w:r>
        <w:rPr>
          <w:vertAlign w:val="superscript"/>
        </w:rPr>
        <w:footnoteReference w:id="20"/>
      </w:r>
    </w:p>
    <w:p w14:paraId="3232AE95" w14:textId="77777777" w:rsidR="00E55A12" w:rsidRDefault="00E55A12" w:rsidP="00E55A12"/>
    <w:p w14:paraId="5D606A56" w14:textId="77777777" w:rsidR="00E55A12" w:rsidRDefault="00E55A12" w:rsidP="00E55A12">
      <w:r>
        <w:t>6. Articulação com Lideranças: Grupos de interesse muitas vezes focam em convencer os líderes partidários e presidentes de comissões, que têm grande influência sobre o andamento dos projetos. Maquiavel observou: "Nada é mais difícil de executar, nem de sucesso mais duvidoso, nem mais perigoso de conduzir do que iniciar uma nova ordem de coisas."</w:t>
      </w:r>
      <w:r>
        <w:rPr>
          <w:vertAlign w:val="superscript"/>
        </w:rPr>
        <w:footnoteReference w:id="21"/>
      </w:r>
    </w:p>
    <w:p w14:paraId="56DC47C6" w14:textId="77777777" w:rsidR="00E55A12" w:rsidRDefault="00E55A12" w:rsidP="00E55A12"/>
    <w:p w14:paraId="5BBA4B4C" w14:textId="77777777" w:rsidR="00E55A12" w:rsidRDefault="00E55A12" w:rsidP="00E55A12">
      <w:r>
        <w:t>7. Eventos e Seminários: Organizações promovem eventos para discutir temas específicos, convidando parlamentares e formadores de opinião para criar um ambiente favorável às suas pautas. Como observou Robert A. Dahl, "A democracia em grande escala exige que os funcionários eleitos sejam responsáveis perante os cidadãos."</w:t>
      </w:r>
      <w:r>
        <w:rPr>
          <w:vertAlign w:val="superscript"/>
        </w:rPr>
        <w:footnoteReference w:id="22"/>
      </w:r>
      <w:r>
        <w:t xml:space="preserve"> Esses eventos podem ser uma forma de </w:t>
      </w:r>
      <w:r>
        <w:lastRenderedPageBreak/>
        <w:t>promover essa responsabilidade, permitindo o diálogo entre representantes e representados.</w:t>
      </w:r>
    </w:p>
    <w:p w14:paraId="14E790AF" w14:textId="77777777" w:rsidR="00E55A12" w:rsidRDefault="00E55A12" w:rsidP="00E55A12"/>
    <w:p w14:paraId="12A63689" w14:textId="77777777" w:rsidR="00E55A12" w:rsidRDefault="00E55A12" w:rsidP="00E55A12">
      <w:r>
        <w:t>Estas estratégias ilustram a complexidade do processo democrático e a importância da participação ativa dos cidadãos. Como disse o abolicionista Wendell Phillips em um discurso em 1852, "A eterna vigilância é o preço da liberdade."</w:t>
      </w:r>
      <w:r>
        <w:rPr>
          <w:vertAlign w:val="superscript"/>
        </w:rPr>
        <w:footnoteReference w:id="23"/>
      </w:r>
      <w:r>
        <w:t xml:space="preserve"> É crucial que os cidadãos estejam cientes dessas dinâmicas para garantir que o processo democrático sirva ao interesse público e não apenas a grupos específicos.</w:t>
      </w:r>
    </w:p>
    <w:p w14:paraId="0D86D8A6" w14:textId="77777777" w:rsidR="00E55A12" w:rsidRDefault="00E55A12" w:rsidP="00E55A12"/>
    <w:p w14:paraId="09321899" w14:textId="77777777" w:rsidR="00E55A12" w:rsidRDefault="00E55A12" w:rsidP="00E55A12">
      <w:r>
        <w:t xml:space="preserve">A "bancada da bala" conseguiu excluir armas de fogo e munições da incidência do Imposto Seletivo (IS), conhecido como "imposto do pecado". Este caso ilustra como grupos de interesse organizados podem influenciar significativamente a legislação. Como observou E.E. </w:t>
      </w:r>
      <w:proofErr w:type="spellStart"/>
      <w:r>
        <w:t>Schattschneider</w:t>
      </w:r>
      <w:proofErr w:type="spellEnd"/>
      <w:r>
        <w:t>, "A definição das alternativas é o instrumento supremo do poder."</w:t>
      </w:r>
      <w:r>
        <w:rPr>
          <w:vertAlign w:val="superscript"/>
        </w:rPr>
        <w:footnoteReference w:id="24"/>
      </w:r>
    </w:p>
    <w:p w14:paraId="61E65336" w14:textId="77777777" w:rsidR="00E55A12" w:rsidRDefault="00E55A12" w:rsidP="00E55A12"/>
    <w:p w14:paraId="5C133035" w14:textId="77777777" w:rsidR="00E55A12" w:rsidRDefault="00E55A12" w:rsidP="00E55A12">
      <w:r>
        <w:t xml:space="preserve">- </w:t>
      </w:r>
      <w:proofErr w:type="spellStart"/>
      <w:r>
        <w:t>Schattschneider</w:t>
      </w:r>
      <w:proofErr w:type="spellEnd"/>
      <w:r>
        <w:t xml:space="preserve">, E.E. "The </w:t>
      </w:r>
      <w:proofErr w:type="spellStart"/>
      <w:r>
        <w:t>Semisovereign</w:t>
      </w:r>
      <w:proofErr w:type="spellEnd"/>
      <w:r>
        <w:t xml:space="preserve"> People: A </w:t>
      </w:r>
      <w:proofErr w:type="spellStart"/>
      <w:r>
        <w:t>Realist's</w:t>
      </w:r>
      <w:proofErr w:type="spellEnd"/>
      <w:r>
        <w:t xml:space="preserve"> </w:t>
      </w:r>
      <w:proofErr w:type="spellStart"/>
      <w:r>
        <w:t>View</w:t>
      </w:r>
      <w:proofErr w:type="spellEnd"/>
      <w:r>
        <w:t xml:space="preserve"> </w:t>
      </w:r>
      <w:proofErr w:type="spellStart"/>
      <w:r>
        <w:t>of</w:t>
      </w:r>
      <w:proofErr w:type="spellEnd"/>
      <w:r>
        <w:t xml:space="preserve"> </w:t>
      </w:r>
      <w:proofErr w:type="spellStart"/>
      <w:r>
        <w:t>Democracy</w:t>
      </w:r>
      <w:proofErr w:type="spellEnd"/>
      <w:r>
        <w:t xml:space="preserve"> in </w:t>
      </w:r>
      <w:proofErr w:type="spellStart"/>
      <w:r>
        <w:t>America</w:t>
      </w:r>
      <w:proofErr w:type="spellEnd"/>
      <w:r>
        <w:t>", 1960, p. 68.</w:t>
      </w:r>
    </w:p>
    <w:p w14:paraId="672D492D" w14:textId="77777777" w:rsidR="00E55A12" w:rsidRDefault="00E55A12" w:rsidP="00E55A12"/>
    <w:p w14:paraId="4F5D4114" w14:textId="77777777" w:rsidR="00E55A12" w:rsidRDefault="00E55A12" w:rsidP="00E55A12">
      <w:r>
        <w:t>O Ministério da Fazenda expressou preocupação com os pedidos de exceção, pois quanto mais setores com descontos, maior a chance de a carga tributária para o restante crescer. Isso nos lembra a observação de Milton Friedman: "Não existe almoço grátis."</w:t>
      </w:r>
      <w:r>
        <w:rPr>
          <w:vertAlign w:val="superscript"/>
        </w:rPr>
        <w:footnoteReference w:id="25"/>
      </w:r>
    </w:p>
    <w:p w14:paraId="47966E2A" w14:textId="77777777" w:rsidR="00E55A12" w:rsidRDefault="00E55A12" w:rsidP="00E55A12"/>
    <w:p w14:paraId="710D0930" w14:textId="77777777" w:rsidR="00E55A12" w:rsidRDefault="00E55A12" w:rsidP="00E55A12">
      <w:r>
        <w:t xml:space="preserve">O resultado? Um vai e vem de negociações, com o relator da proposta fazendo malabarismos para tentar acomodar os diferentes interesses. É um exemplo perfeito de como a representação de interesses molda as leis que afetam todos nós. Como observou o cientista político E.E. </w:t>
      </w:r>
      <w:proofErr w:type="spellStart"/>
      <w:r>
        <w:t>Schattschneider</w:t>
      </w:r>
      <w:proofErr w:type="spellEnd"/>
      <w:r>
        <w:t xml:space="preserve">, "A definição das alternativas é o instrumento supremo do poder." Este processo de negociação e acomodação de interesses na elaboração de leis ilustra como as decisões políticas são frequentemente o resultado de compromissos entre diferentes grupos de pressão, cada um buscando influenciar o </w:t>
      </w:r>
      <w:proofErr w:type="gramStart"/>
      <w:r>
        <w:t>resultado final</w:t>
      </w:r>
      <w:proofErr w:type="gramEnd"/>
      <w:r>
        <w:t xml:space="preserve"> de acordo com suas prioridades.</w:t>
      </w:r>
    </w:p>
    <w:p w14:paraId="1C265EAA" w14:textId="77777777" w:rsidR="00E55A12" w:rsidRDefault="00E55A12" w:rsidP="00E55A12"/>
    <w:p w14:paraId="070A6CB7" w14:textId="77777777" w:rsidR="00E55A12" w:rsidRDefault="00E55A12" w:rsidP="00E55A12">
      <w:r>
        <w:t>Este cenário da Reforma Tributária ilustra perfeitamente o que James Madison descreveu em O Federalista nº 10: "A diversidade na faculdade do homem, da qual os direitos de propriedade se originam, é... um obstáculo insuperável a uma uniformidade de interesses."</w:t>
      </w:r>
      <w:r>
        <w:rPr>
          <w:vertAlign w:val="superscript"/>
        </w:rPr>
        <w:footnoteReference w:id="26"/>
      </w:r>
      <w:r>
        <w:t xml:space="preserve"> A arte da política, neste caso, está em encontrar um equilíbrio entre esses interesses divergentes para produzir uma legislação que, espera-se, beneficie a nação como um todo.</w:t>
      </w:r>
    </w:p>
    <w:p w14:paraId="35F94A80" w14:textId="77777777" w:rsidR="00E55A12" w:rsidRDefault="00E55A12" w:rsidP="00E55A12">
      <w:pPr>
        <w:rPr>
          <w:b/>
        </w:rPr>
      </w:pPr>
    </w:p>
    <w:p w14:paraId="37ABD5CF" w14:textId="77777777" w:rsidR="00E55A12" w:rsidRDefault="00E55A12" w:rsidP="00E55A12">
      <w:pPr>
        <w:rPr>
          <w:b/>
        </w:rPr>
      </w:pPr>
      <w:r>
        <w:rPr>
          <w:b/>
        </w:rPr>
        <w:t>O Lado Bom e o Lado... Nem Tão Bom Assim</w:t>
      </w:r>
    </w:p>
    <w:p w14:paraId="563640B6" w14:textId="77777777" w:rsidR="00E55A12" w:rsidRDefault="00E55A12" w:rsidP="00E55A12"/>
    <w:p w14:paraId="7A5D7023" w14:textId="77777777" w:rsidR="00E55A12" w:rsidRDefault="00E55A12" w:rsidP="00E55A12">
      <w:r>
        <w:t>Pontos Positivos:</w:t>
      </w:r>
    </w:p>
    <w:p w14:paraId="6DA3EFBD" w14:textId="77777777" w:rsidR="00E55A12" w:rsidRDefault="00E55A12" w:rsidP="00E55A12">
      <w:r>
        <w:t>- A representação de interesses ajuda a levar informações importantes para quem toma as decisões. Ela permite que diferentes perspectivas e dados sejam apresentados aos legisladores, contribuindo para uma compreensão mais abrangente das questões em pauta. Como disse Carl Jung, "Quem olha para fora, sonha; quem olha para dentro, acorda."</w:t>
      </w:r>
      <w:r>
        <w:rPr>
          <w:vertAlign w:val="superscript"/>
        </w:rPr>
        <w:footnoteReference w:id="27"/>
      </w:r>
      <w:r>
        <w:t xml:space="preserve"> Esta frase ressalta a importância de considerar diversas fontes de informação para tomar decisões mais conscientes e bem fundamentadas no processo legislativo.</w:t>
      </w:r>
    </w:p>
    <w:p w14:paraId="45311D9F" w14:textId="77777777" w:rsidR="00E55A12" w:rsidRDefault="00E55A12" w:rsidP="00E55A12"/>
    <w:p w14:paraId="084A2F43" w14:textId="77777777" w:rsidR="00E55A12" w:rsidRDefault="00E55A12" w:rsidP="00E55A12"/>
    <w:p w14:paraId="2103D04B" w14:textId="77777777" w:rsidR="00E55A12" w:rsidRDefault="00E55A12" w:rsidP="00E55A12"/>
    <w:p w14:paraId="2A5A9481" w14:textId="77777777" w:rsidR="00E55A12" w:rsidRDefault="00E55A12" w:rsidP="00E55A12">
      <w:r>
        <w:t>- Dá voz a grupos que talvez não fossem ouvidos de outra forma. Nas palavras de Martin Luther King Jr., "Nossa vida começa a terminar no dia em que permanecemos em silêncio sobre as coisas que importam."</w:t>
      </w:r>
      <w:r>
        <w:rPr>
          <w:vertAlign w:val="superscript"/>
        </w:rPr>
        <w:footnoteReference w:id="28"/>
      </w:r>
    </w:p>
    <w:p w14:paraId="6FFFE8BC" w14:textId="77777777" w:rsidR="00E55A12" w:rsidRDefault="00E55A12" w:rsidP="00E55A12"/>
    <w:p w14:paraId="47906643" w14:textId="77777777" w:rsidR="00E55A12" w:rsidRDefault="00E55A12" w:rsidP="00E55A12">
      <w:r>
        <w:t>- Pode melhorar a qualidade das leis, trazendo perspectivas diversas. Como observou John Stuart Mill, "Nunca podemos estar seguros de que a opinião que procuramos sufocar seja falsa; e, se fôssemos seguros, sufocá-la seria, ainda assim, um mal."</w:t>
      </w:r>
      <w:r>
        <w:rPr>
          <w:vertAlign w:val="superscript"/>
        </w:rPr>
        <w:footnoteReference w:id="29"/>
      </w:r>
      <w:r>
        <w:t xml:space="preserve"> Isso ressalta a importância de considerar diferentes pontos de vista no processo legislativo.</w:t>
      </w:r>
    </w:p>
    <w:p w14:paraId="09AFFCD3" w14:textId="77777777" w:rsidR="00E55A12" w:rsidRDefault="00E55A12" w:rsidP="00E55A12"/>
    <w:p w14:paraId="3F82CE05" w14:textId="77777777" w:rsidR="00E55A12" w:rsidRDefault="00E55A12" w:rsidP="00E55A12"/>
    <w:p w14:paraId="18266578" w14:textId="77777777" w:rsidR="00E55A12" w:rsidRDefault="00E55A12" w:rsidP="00E55A12">
      <w:r>
        <w:t>- Contribui para o debate democrático, trazendo diferentes visões para a mesa. Como disse Sigmund Freud, "A ciência não é uma ilusão, mas seria uma ilusão acreditar que poderemos encontrar em outro lugar o que ela não nos pode dar."</w:t>
      </w:r>
      <w:r>
        <w:rPr>
          <w:vertAlign w:val="superscript"/>
        </w:rPr>
        <w:footnoteReference w:id="30"/>
      </w:r>
      <w:r>
        <w:t xml:space="preserve"> Isso destaca a importância de um debate contínuo e diversificado baseado em evidências e diferentes perspectivas.</w:t>
      </w:r>
    </w:p>
    <w:p w14:paraId="140F634B" w14:textId="77777777" w:rsidR="00E55A12" w:rsidRDefault="00E55A12" w:rsidP="00E55A12"/>
    <w:p w14:paraId="2D60FEA7" w14:textId="77777777" w:rsidR="00E55A12" w:rsidRDefault="00E55A12" w:rsidP="00E55A12">
      <w:r>
        <w:t>Pontos Negativos:</w:t>
      </w:r>
    </w:p>
    <w:p w14:paraId="7D160E4D" w14:textId="77777777" w:rsidR="00E55A12" w:rsidRDefault="00E55A12" w:rsidP="00E55A12">
      <w:r>
        <w:t>- Grupos com mais dinheiro e influência podem ter vantagens injustas. Como alertou Erich Fromm, "O homem moderno pensa que perde algo - tempo - quando não faz as coisas depressa; no entanto, não sabe o que fazer com o tempo que ganha."</w:t>
      </w:r>
      <w:r>
        <w:rPr>
          <w:vertAlign w:val="superscript"/>
        </w:rPr>
        <w:footnoteReference w:id="31"/>
      </w:r>
    </w:p>
    <w:p w14:paraId="522FA4AB" w14:textId="77777777" w:rsidR="00E55A12" w:rsidRDefault="00E55A12" w:rsidP="00E55A12"/>
    <w:p w14:paraId="08CD2857" w14:textId="77777777" w:rsidR="00E55A12" w:rsidRDefault="00E55A12" w:rsidP="00E55A12">
      <w:r>
        <w:t xml:space="preserve">- Às vezes, interesses particulares se sobrepõem ao interesse público. Como observou o filósofo John Stuart Mill, "O único propósito pelo qual o poder pode ser legitimamente exercido sobre qualquer membro de uma comunidade civilizada, </w:t>
      </w:r>
      <w:r>
        <w:lastRenderedPageBreak/>
        <w:t>contra sua vontade, é evitar dano a outros."</w:t>
      </w:r>
      <w:r>
        <w:rPr>
          <w:vertAlign w:val="superscript"/>
        </w:rPr>
        <w:footnoteReference w:id="32"/>
      </w:r>
      <w:r>
        <w:t xml:space="preserve"> Isso ilustra a importância de equilibrar interesses particulares e públicos, evitando que interesses específicos distorçam as necessidades reais da sociedade.</w:t>
      </w:r>
    </w:p>
    <w:p w14:paraId="41913A84" w14:textId="77777777" w:rsidR="00E55A12" w:rsidRDefault="00E55A12" w:rsidP="00E55A12"/>
    <w:p w14:paraId="7B7EBA88" w14:textId="77777777" w:rsidR="00E55A12" w:rsidRDefault="00E55A12" w:rsidP="00E55A12">
      <w:r>
        <w:t xml:space="preserve">- A falta de transparência pode gerar desconfiança na população. Como destacou a especialista em Educação Midiática Taís </w:t>
      </w:r>
      <w:proofErr w:type="spellStart"/>
      <w:r>
        <w:t>Seibt</w:t>
      </w:r>
      <w:proofErr w:type="spellEnd"/>
      <w:r>
        <w:t>, "a falta de transparência por parte dos órgãos contribui para a desinformação na medida em que deixa lacunas sobre informações de interesse público, e essas lacunas frequentemente são preenchidas no debate com especulações, teorias conspiratórias e mentiras"</w:t>
      </w:r>
      <w:r>
        <w:rPr>
          <w:vertAlign w:val="superscript"/>
        </w:rPr>
        <w:footnoteReference w:id="33"/>
      </w:r>
      <w:r>
        <w:t>. Esta observação ressalta como a falta de transparência pode "educar" a população a desconfiar do processo político.</w:t>
      </w:r>
    </w:p>
    <w:p w14:paraId="47C6F8C7" w14:textId="77777777" w:rsidR="00E55A12" w:rsidRDefault="00E55A12" w:rsidP="00E55A12"/>
    <w:p w14:paraId="3742D06C" w14:textId="77777777" w:rsidR="00E55A12" w:rsidRDefault="00E55A12" w:rsidP="00E55A12">
      <w:r>
        <w:t xml:space="preserve">- Pode levar à aprovação de leis que beneficiam minorias poderosas em detrimento da maioria. Viktor </w:t>
      </w:r>
      <w:proofErr w:type="spellStart"/>
      <w:r>
        <w:t>Frankl</w:t>
      </w:r>
      <w:proofErr w:type="spellEnd"/>
      <w:r>
        <w:t xml:space="preserve"> observou: "Entre estímulo e resposta há um espaço. Nesse espaço está nosso poder de escolher nossa resposta. Em nossa resposta reside nosso crescimento e nossa liberdade."</w:t>
      </w:r>
      <w:r>
        <w:rPr>
          <w:vertAlign w:val="superscript"/>
        </w:rPr>
        <w:footnoteReference w:id="34"/>
      </w:r>
      <w:r>
        <w:t xml:space="preserve"> Isso ressalta a importância da consciência crítica na avaliação das leis propostas.</w:t>
      </w:r>
    </w:p>
    <w:p w14:paraId="194288D1" w14:textId="77777777" w:rsidR="00E55A12" w:rsidRDefault="00E55A12" w:rsidP="00E55A12"/>
    <w:p w14:paraId="28877BA4" w14:textId="77777777" w:rsidR="00E55A12" w:rsidRDefault="00E55A12" w:rsidP="00E55A12">
      <w:r>
        <w:t>Como disse Hannah Arendt, "O poder corresponde à habilidade humana não apenas para agir, mas para agir em concerto."</w:t>
      </w:r>
      <w:r>
        <w:rPr>
          <w:vertAlign w:val="superscript"/>
        </w:rPr>
        <w:footnoteReference w:id="35"/>
      </w:r>
      <w:r>
        <w:t xml:space="preserve"> A representação de interesses no Congresso, quando bem equilibrada, pode ser uma manifestação positiva desse poder coletivo. No entanto, como alertou </w:t>
      </w:r>
      <w:proofErr w:type="spellStart"/>
      <w:r>
        <w:t>Lord</w:t>
      </w:r>
      <w:proofErr w:type="spellEnd"/>
      <w:r>
        <w:t xml:space="preserve"> Acton, "O poder tende a corromper, e o poder absoluto corrompe absolutamente."</w:t>
      </w:r>
      <w:r>
        <w:rPr>
          <w:vertAlign w:val="superscript"/>
        </w:rPr>
        <w:footnoteReference w:id="36"/>
      </w:r>
      <w:r>
        <w:t xml:space="preserve"> É crucial manter um equilíbrio delicado entre a representação legítima de interesses e a proteção do bem comum.</w:t>
      </w:r>
    </w:p>
    <w:p w14:paraId="709F0184" w14:textId="77777777" w:rsidR="00E55A12" w:rsidRDefault="00E55A12" w:rsidP="00E55A12"/>
    <w:p w14:paraId="1F0A14F9" w14:textId="77777777" w:rsidR="00E55A12" w:rsidRDefault="00E55A12" w:rsidP="00E55A12">
      <w:pPr>
        <w:rPr>
          <w:b/>
        </w:rPr>
      </w:pPr>
      <w:r>
        <w:rPr>
          <w:b/>
        </w:rPr>
        <w:t>E agora, José?</w:t>
      </w:r>
    </w:p>
    <w:p w14:paraId="60D35D36" w14:textId="77777777" w:rsidR="00E55A12" w:rsidRDefault="00E55A12" w:rsidP="00E55A12"/>
    <w:p w14:paraId="27ABC8C5" w14:textId="77777777" w:rsidR="00E55A12" w:rsidRDefault="00E55A12" w:rsidP="00E55A12">
      <w:r>
        <w:t>O desafio é encontrar um equilíbrio na representação de interesses, garantindo que todos os grupos tenham voz sem que alguns se sobressaiam indevidamente. Alguns países já implementaram leis específicas para regular o lobby, buscando maior transparência e equidade. No Brasil, o debate sobre a regulamentação ainda está em andamento, com o PL 2.914/2022 em tramitação no Congresso. Este projeto visa implementar regras de conduta, transparência e punições para a prática do lobby. Como observou Carl Jung, "Conhecer sua própria escuridão é o melhor método para lidar com as escuridões de outras pessoas."</w:t>
      </w:r>
      <w:r>
        <w:rPr>
          <w:vertAlign w:val="superscript"/>
        </w:rPr>
        <w:footnoteReference w:id="37"/>
      </w:r>
      <w:r>
        <w:t xml:space="preserve"> Esta reflexão </w:t>
      </w:r>
      <w:r>
        <w:lastRenderedPageBreak/>
        <w:t>nos lembra da importância de entendermos nossas próprias motivações e interesses ao participarmos do processo democrático.</w:t>
      </w:r>
    </w:p>
    <w:p w14:paraId="0441F37A" w14:textId="77777777" w:rsidR="00E55A12" w:rsidRDefault="00E55A12" w:rsidP="00E55A12"/>
    <w:p w14:paraId="712654DA" w14:textId="77777777" w:rsidR="00E55A12" w:rsidRDefault="00E55A12" w:rsidP="00E55A12"/>
    <w:p w14:paraId="66921E9D" w14:textId="77777777" w:rsidR="00E55A12" w:rsidRDefault="00E55A12" w:rsidP="00E55A12">
      <w:r>
        <w:t>Uma proposta interessante é a criação de um registro público de lobistas, onde todos que atuam na representação de interesses teriam que se cadastrar e relatar suas atividades. Isso poderia trazer mais transparência ao processo. Nas palavras de Louis Brandeis, "A luz do sol é o melhor desinfetante"</w:t>
      </w:r>
      <w:r>
        <w:rPr>
          <w:vertAlign w:val="superscript"/>
        </w:rPr>
        <w:footnoteReference w:id="38"/>
      </w:r>
      <w:r>
        <w:t>, ressaltando a importância da transparência na política.</w:t>
      </w:r>
    </w:p>
    <w:p w14:paraId="0EAD4AC6" w14:textId="77777777" w:rsidR="00E55A12" w:rsidRDefault="00E55A12" w:rsidP="00E55A12"/>
    <w:p w14:paraId="291A4A53" w14:textId="77777777" w:rsidR="00E55A12" w:rsidRDefault="00E55A12" w:rsidP="00E55A12">
      <w:r>
        <w:t>Outra ideia é fortalecer os mecanismos de participação popular direta, como as audiências públicas e as consultas online. Assim, o cidadão comum teria mais chances de fazer sua voz ser ouvida. O Senado e a Câmara dos Deputados oferecem ferramentas como o Portal e-Cidadania e enquetes sobre propostas legislativas, permitindo que os cidadãos apresentem ideias, participem de consultas públicas e interajam em audiências. Como observou Erich Fromm, "A liberdade positiva consiste na atividade espontânea da personalidade total integrada."</w:t>
      </w:r>
      <w:r>
        <w:rPr>
          <w:vertAlign w:val="superscript"/>
        </w:rPr>
        <w:footnoteReference w:id="39"/>
      </w:r>
      <w:r>
        <w:t xml:space="preserve"> Fortalecer esses mecanismos de participação direta amplia as possibilidades de escolha e envolvimento dos cidadãos no processo democrático.</w:t>
      </w:r>
    </w:p>
    <w:p w14:paraId="70A21510" w14:textId="77777777" w:rsidR="00E55A12" w:rsidRDefault="00E55A12" w:rsidP="00E55A12"/>
    <w:p w14:paraId="150EE886" w14:textId="77777777" w:rsidR="00E55A12" w:rsidRDefault="00E55A12" w:rsidP="00E55A12">
      <w:r>
        <w:t xml:space="preserve">Uma coisa é certa: quanto mais a gente entender como esse jogo funciona, mais chance temos de participar dele de forma ativa e consciente. Afinal, a democracia é um esporte coletivo, e todos nós somos jogadores! Como disse Viktor </w:t>
      </w:r>
      <w:proofErr w:type="spellStart"/>
      <w:r>
        <w:t>Frankl</w:t>
      </w:r>
      <w:proofErr w:type="spellEnd"/>
      <w:r>
        <w:t>, "Entre estímulo e resposta há um espaço. Nesse espaço está nosso poder de escolher nossa resposta. Em nossa resposta reside nosso crescimento e nossa liberdade."</w:t>
      </w:r>
      <w:r>
        <w:rPr>
          <w:vertAlign w:val="superscript"/>
        </w:rPr>
        <w:footnoteReference w:id="40"/>
      </w:r>
      <w:r>
        <w:t xml:space="preserve"> Esta reflexão nos lembra que, mesmo diante dos desafios da representação de interesses, temos o poder de escolher como responderemos e participaremos do processo democrático.</w:t>
      </w:r>
    </w:p>
    <w:p w14:paraId="77FB0AC2" w14:textId="77777777" w:rsidR="00E55A12" w:rsidRDefault="00E55A12" w:rsidP="00E55A12"/>
    <w:p w14:paraId="74D8A983" w14:textId="77777777" w:rsidR="00E55A12" w:rsidRDefault="00E55A12" w:rsidP="00E55A12">
      <w:r>
        <w:t>O caminho para uma democracia mais equilibrada e representativa é complexo, mas como observou Martin Luther King Jr., "Se não puder voar, corra. Se não puder correr, ande. Se não puder andar, rasteje, mas continue em frente de qualquer jeito."</w:t>
      </w:r>
      <w:r>
        <w:rPr>
          <w:vertAlign w:val="superscript"/>
        </w:rPr>
        <w:footnoteReference w:id="41"/>
      </w:r>
      <w:r>
        <w:t xml:space="preserve"> Esta frase nos inspira a continuar buscando melhorias no sistema, mesmo que o progresso seja gradual.</w:t>
      </w:r>
    </w:p>
    <w:p w14:paraId="36EBFC27" w14:textId="77777777" w:rsidR="00E55A12" w:rsidRDefault="00E55A12" w:rsidP="00E55A12"/>
    <w:p w14:paraId="16353DDC" w14:textId="77777777" w:rsidR="00E55A12" w:rsidRDefault="00E55A12" w:rsidP="00E55A12">
      <w:pPr>
        <w:rPr>
          <w:b/>
        </w:rPr>
      </w:pPr>
      <w:r>
        <w:rPr>
          <w:b/>
        </w:rPr>
        <w:t>Capítulo 7: O que são grupos de pressão e como é a atuação</w:t>
      </w:r>
    </w:p>
    <w:p w14:paraId="1392E4A9" w14:textId="77777777" w:rsidR="00E55A12" w:rsidRDefault="00E55A12" w:rsidP="00E55A12"/>
    <w:p w14:paraId="055AE2AB" w14:textId="77777777" w:rsidR="00E55A12" w:rsidRDefault="00E55A12" w:rsidP="00E55A12">
      <w:r>
        <w:t xml:space="preserve">Os grupos de pressão constituem elementos fundamentais no processo democrático contemporâneo, representando conjuntos organizados de indivíduos ou entidades que compartilham interesses comuns e buscam influenciar as decisões políticas e legislativas. Como observou Alexis de </w:t>
      </w:r>
      <w:r>
        <w:lastRenderedPageBreak/>
        <w:t>Tocqueville, "Em uma democracia, o povo tende a escolher como seus representantes homens cuja condição, sentimentos e hábitos não diferem muito dos seus próprios."</w:t>
      </w:r>
      <w:r>
        <w:rPr>
          <w:vertAlign w:val="superscript"/>
        </w:rPr>
        <w:footnoteReference w:id="42"/>
      </w:r>
      <w:r>
        <w:t xml:space="preserve"> Os grupos de pressão são uma manifestação moderna dessa tendência.</w:t>
      </w:r>
    </w:p>
    <w:p w14:paraId="0AB6613D" w14:textId="77777777" w:rsidR="00E55A12" w:rsidRDefault="00E55A12" w:rsidP="00E55A12"/>
    <w:p w14:paraId="11BD0D99" w14:textId="77777777" w:rsidR="00E55A12" w:rsidRDefault="00E55A12" w:rsidP="00E55A12">
      <w:r>
        <w:t>Estes grupos, também conhecidos como grupos de interesse, desempenham um papel crucial na articulação e representação de demandas específicas perante os poderes públicos, notadamente o Legislativo e o Executivo. Sua atuação, que se manifesta através de diversas estratégias e táticas de persuasão, contribui significativamente para a formação da agenda política e para o desenvolvimento do processo decisório nas esferas governamentais. Como diria o psicólogo social Kurt Lewin, "Não há nada mais prático do que uma boa teoria."</w:t>
      </w:r>
      <w:r>
        <w:rPr>
          <w:vertAlign w:val="superscript"/>
        </w:rPr>
        <w:footnoteReference w:id="43"/>
      </w:r>
      <w:r>
        <w:t xml:space="preserve"> Neste caso, a teoria dos grupos de pressão se traduz em práticas concretas que moldam o cenário político.</w:t>
      </w:r>
    </w:p>
    <w:p w14:paraId="1CBF4F0C" w14:textId="77777777" w:rsidR="00E55A12" w:rsidRDefault="00E55A12" w:rsidP="00E55A12"/>
    <w:p w14:paraId="72483621" w14:textId="77777777" w:rsidR="00E55A12" w:rsidRDefault="00E55A12" w:rsidP="00E55A12">
      <w:r>
        <w:t>Lembra que a gente já falou um pouquinho sobre isso nos capítulos anteriores? Pois é, agora vamos expandir essa ideia e ver como esses grupos de pressão realmente funcionam na prática!</w:t>
      </w:r>
    </w:p>
    <w:p w14:paraId="575187B9" w14:textId="77777777" w:rsidR="00E55A12" w:rsidRDefault="00E55A12" w:rsidP="00E55A12"/>
    <w:p w14:paraId="6DD0A815" w14:textId="77777777" w:rsidR="00E55A12" w:rsidRDefault="00E55A12" w:rsidP="00E55A12">
      <w:r>
        <w:t>Imagine um grupo de deputados e senadores que se unem por uma causa comum, independentemente do partido a que pertencem. Esse é o conceito básico de uma frente parlamentar. Algumas características importantes:</w:t>
      </w:r>
    </w:p>
    <w:p w14:paraId="78CD32B3" w14:textId="77777777" w:rsidR="00E55A12" w:rsidRDefault="00E55A12" w:rsidP="00E55A12"/>
    <w:p w14:paraId="731EEDA4" w14:textId="77777777" w:rsidR="00E55A12" w:rsidRDefault="00E55A12" w:rsidP="00E55A12">
      <w:r>
        <w:t>1. São oficialmente registradas na Câmara dos Deputados ou no Senado Federal. Como disse o filósofo John Rawls, "A justiça é a primeira virtude das instituições sociais, como a verdade o é dos sistemas de pensamento."</w:t>
      </w:r>
      <w:r>
        <w:rPr>
          <w:vertAlign w:val="superscript"/>
        </w:rPr>
        <w:footnoteReference w:id="44"/>
      </w:r>
      <w:r>
        <w:t xml:space="preserve"> O registro oficial dessas frentes é uma tentativa de institucionalizar e legitimar sua atuação.</w:t>
      </w:r>
    </w:p>
    <w:p w14:paraId="048FAD16" w14:textId="77777777" w:rsidR="00E55A12" w:rsidRDefault="00E55A12" w:rsidP="00E55A12"/>
    <w:p w14:paraId="16EFC5E3" w14:textId="77777777" w:rsidR="00E55A12" w:rsidRDefault="00E55A12" w:rsidP="00E55A12">
      <w:r>
        <w:t xml:space="preserve">2. Precisam ter pelo menos 1/3 dos membros do Poder Legislativo Federal. Esta regra reflete o que o psicólogo social </w:t>
      </w:r>
      <w:proofErr w:type="spellStart"/>
      <w:r>
        <w:t>Solomon</w:t>
      </w:r>
      <w:proofErr w:type="spellEnd"/>
      <w:r>
        <w:t xml:space="preserve"> </w:t>
      </w:r>
      <w:proofErr w:type="spellStart"/>
      <w:r>
        <w:t>Asch</w:t>
      </w:r>
      <w:proofErr w:type="spellEnd"/>
      <w:r>
        <w:t xml:space="preserve"> descobriu em seus experimentos sobre conformidade: é necessário um número significativo de pessoas para influenciar a opinião e o comportamento dos outros.</w:t>
      </w:r>
    </w:p>
    <w:p w14:paraId="07876558" w14:textId="77777777" w:rsidR="00E55A12" w:rsidRDefault="00E55A12" w:rsidP="00E55A12"/>
    <w:p w14:paraId="70478635" w14:textId="77777777" w:rsidR="00E55A12" w:rsidRDefault="00E55A12" w:rsidP="00E55A12">
      <w:r>
        <w:t xml:space="preserve">3. Não têm poder de voto como bloco, mas influenciam as discussões e articulações políticas. Como observou o psicólogo político Harold </w:t>
      </w:r>
      <w:proofErr w:type="spellStart"/>
      <w:r>
        <w:t>Lasswell</w:t>
      </w:r>
      <w:proofErr w:type="spellEnd"/>
      <w:r>
        <w:t>, "Política é quem consegue o quê, quando, como."</w:t>
      </w:r>
      <w:r>
        <w:rPr>
          <w:vertAlign w:val="superscript"/>
        </w:rPr>
        <w:footnoteReference w:id="45"/>
      </w:r>
      <w:r>
        <w:t xml:space="preserve"> As frentes parlamentares são instrumentos para moldar esse "quem", "quê", "quando" e "como" no processo político.</w:t>
      </w:r>
    </w:p>
    <w:p w14:paraId="02F483A9" w14:textId="77777777" w:rsidR="00E55A12" w:rsidRDefault="00E55A12" w:rsidP="00E55A12"/>
    <w:p w14:paraId="796BAD27" w14:textId="77777777" w:rsidR="00E55A12" w:rsidRDefault="00E55A12" w:rsidP="00E55A12">
      <w:r>
        <w:t xml:space="preserve">Estas frentes parlamentares são uma manifestação formal dos grupos de pressão dentro do próprio legislativo. Elas representam uma evolução do que o sociólogo </w:t>
      </w:r>
      <w:r>
        <w:lastRenderedPageBreak/>
        <w:t>Robert Michels chamou de "Lei de Ferro da Oligarquia"</w:t>
      </w:r>
      <w:r>
        <w:rPr>
          <w:vertAlign w:val="superscript"/>
        </w:rPr>
        <w:footnoteReference w:id="46"/>
      </w:r>
      <w:r>
        <w:t>, onde mesmo em organizações democráticas, pequenos grupos tendem a concentrar poder e influência. No entanto, ao contrário da visão pessimista de Michels, as frentes parlamentares podem ser vistas como uma tentativa de democratizar essa concentração de poder, permitindo que diferentes interesses sejam representados de forma organizada.</w:t>
      </w:r>
    </w:p>
    <w:p w14:paraId="32DEAB4E" w14:textId="77777777" w:rsidR="00E55A12" w:rsidRDefault="00E55A12" w:rsidP="00E55A12"/>
    <w:p w14:paraId="235E9C97" w14:textId="77777777" w:rsidR="00E55A12" w:rsidRDefault="00E55A12" w:rsidP="00E55A12">
      <w:pPr>
        <w:rPr>
          <w:b/>
        </w:rPr>
      </w:pPr>
      <w:r>
        <w:rPr>
          <w:b/>
        </w:rPr>
        <w:t>Quem são esses grupos de pressão?</w:t>
      </w:r>
    </w:p>
    <w:p w14:paraId="7FAA0ABE" w14:textId="77777777" w:rsidR="00E55A12" w:rsidRDefault="00E55A12" w:rsidP="00E55A12"/>
    <w:p w14:paraId="396B1C93" w14:textId="77777777" w:rsidR="00E55A12" w:rsidRDefault="00E55A12" w:rsidP="00E55A12">
      <w:r>
        <w:t xml:space="preserve">Imagine uma turma de amigos que se junta para convencer o diretor da escola a mudar alguma regra. Agora, amplie isso para o cenário político! Os grupos de pressão são como essas turminhas, só que bem mais organizadas e com objetivos mais ambiciosos. Como diria o psicólogo social </w:t>
      </w:r>
      <w:proofErr w:type="spellStart"/>
      <w:r>
        <w:t>Solomon</w:t>
      </w:r>
      <w:proofErr w:type="spellEnd"/>
      <w:r>
        <w:t xml:space="preserve"> </w:t>
      </w:r>
      <w:proofErr w:type="spellStart"/>
      <w:r>
        <w:t>Asch</w:t>
      </w:r>
      <w:proofErr w:type="spellEnd"/>
      <w:r>
        <w:t>, "As opiniões e atitudes sociais são moldadas pela interação entre indivíduos em grupos."</w:t>
      </w:r>
      <w:r>
        <w:rPr>
          <w:vertAlign w:val="superscript"/>
        </w:rPr>
        <w:footnoteReference w:id="47"/>
      </w:r>
      <w:r>
        <w:t xml:space="preserve"> Podem ser organizações não-políticas com objetivos econômicos ou sociais específicos, sindicatos de trabalhadores, associações empresariais ou grupos de defesa de causas específicas. Esses grupos buscam influenciar as decisões políticas usando várias estratégias, como lobby direto, mobilização da opinião pública, e apresentação de argumentos técnicos para embasar suas posições.</w:t>
      </w:r>
    </w:p>
    <w:p w14:paraId="5D340F7D" w14:textId="77777777" w:rsidR="00E55A12" w:rsidRDefault="00E55A12" w:rsidP="00E55A12"/>
    <w:p w14:paraId="31431151" w14:textId="77777777" w:rsidR="00E55A12" w:rsidRDefault="00E55A12" w:rsidP="00E55A12">
      <w:r>
        <w:t>1. Associações empresariais</w:t>
      </w:r>
    </w:p>
    <w:p w14:paraId="74FC2145" w14:textId="77777777" w:rsidR="00E55A12" w:rsidRDefault="00E55A12" w:rsidP="00E55A12">
      <w:r>
        <w:t>2. Sindicatos de trabalhadores</w:t>
      </w:r>
    </w:p>
    <w:p w14:paraId="079553E6" w14:textId="77777777" w:rsidR="00E55A12" w:rsidRDefault="00E55A12" w:rsidP="00E55A12">
      <w:r>
        <w:t>3. ONGs ambientais</w:t>
      </w:r>
    </w:p>
    <w:p w14:paraId="06C04D64" w14:textId="77777777" w:rsidR="00E55A12" w:rsidRDefault="00E55A12" w:rsidP="00E55A12">
      <w:r>
        <w:t>4. Grupos religiosos</w:t>
      </w:r>
    </w:p>
    <w:p w14:paraId="1A659699" w14:textId="77777777" w:rsidR="00E55A12" w:rsidRDefault="00E55A12" w:rsidP="00E55A12">
      <w:r>
        <w:t>5. Movimentos sociais</w:t>
      </w:r>
    </w:p>
    <w:p w14:paraId="464F37EF" w14:textId="77777777" w:rsidR="00E55A12" w:rsidRDefault="00E55A12" w:rsidP="00E55A12">
      <w:r>
        <w:t>6. E muitos outros!</w:t>
      </w:r>
    </w:p>
    <w:p w14:paraId="6821A92F" w14:textId="77777777" w:rsidR="00E55A12" w:rsidRDefault="00E55A12" w:rsidP="00E55A12"/>
    <w:p w14:paraId="6E645659" w14:textId="77777777" w:rsidR="00E55A12" w:rsidRDefault="00E55A12" w:rsidP="00E55A12">
      <w:pPr>
        <w:rPr>
          <w:b/>
        </w:rPr>
      </w:pPr>
      <w:r>
        <w:rPr>
          <w:b/>
        </w:rPr>
        <w:t>Como eles atuam?</w:t>
      </w:r>
    </w:p>
    <w:p w14:paraId="1A519237" w14:textId="77777777" w:rsidR="00E55A12" w:rsidRDefault="00E55A12" w:rsidP="00E55A12"/>
    <w:p w14:paraId="46630173" w14:textId="77777777" w:rsidR="00E55A12" w:rsidRDefault="00E55A12" w:rsidP="00E55A12">
      <w:r>
        <w:t xml:space="preserve">Lembra que falamos sobre lobby e </w:t>
      </w:r>
      <w:proofErr w:type="spellStart"/>
      <w:r>
        <w:t>advocacy</w:t>
      </w:r>
      <w:proofErr w:type="spellEnd"/>
      <w:r>
        <w:t xml:space="preserve"> nos capítulos anteriores? Pois é, os grupos de pressão usam essas técnicas e muito mais! Vamos ver algumas estratégias:</w:t>
      </w:r>
    </w:p>
    <w:p w14:paraId="5F3B7ED4" w14:textId="77777777" w:rsidR="00E55A12" w:rsidRDefault="00E55A12" w:rsidP="00E55A12"/>
    <w:p w14:paraId="087D73FE" w14:textId="77777777" w:rsidR="00E55A12" w:rsidRDefault="00E55A12" w:rsidP="00E55A12">
      <w:r>
        <w:t>1. Lobby direto: Conversas cara a cara com políticos e assessores. É aquele papo de corredor que a gente mencionou antes! Como observou o filósofo Michel Foucault, "O poder não é algo que se adquire, arrebata ou compartilha, algo que se guarda ou deixa escapar; o poder se exerce a partir de inúmeros pontos e em meio a relações desiguais e móveis."</w:t>
      </w:r>
      <w:r>
        <w:rPr>
          <w:vertAlign w:val="superscript"/>
        </w:rPr>
        <w:footnoteReference w:id="48"/>
      </w:r>
      <w:r>
        <w:t xml:space="preserve"> Esta observação ressalta como o lobby direto é uma forma de exercer poder através de relações e interações pessoais, influenciando decisões políticas por meio de conversas e negociações nos bastidores do poder.</w:t>
      </w:r>
    </w:p>
    <w:p w14:paraId="4FD79D1B" w14:textId="77777777" w:rsidR="00E55A12" w:rsidRDefault="00E55A12" w:rsidP="00E55A12"/>
    <w:p w14:paraId="1DB2F9BD" w14:textId="77777777" w:rsidR="00E55A12" w:rsidRDefault="00E55A12" w:rsidP="00E55A12"/>
    <w:p w14:paraId="762394D5" w14:textId="77777777" w:rsidR="00E55A12" w:rsidRDefault="00E55A12" w:rsidP="00E55A12">
      <w:r>
        <w:t xml:space="preserve">2. Campanhas de mídia: Usar TV, rádio, jornais e redes sociais para ganhar apoio público. Lembra daquela hashtag que bombou? Pode ter sido ideia de um grupo de pressão! O psicólogo social Robert </w:t>
      </w:r>
      <w:proofErr w:type="spellStart"/>
      <w:r>
        <w:t>Cialdini</w:t>
      </w:r>
      <w:proofErr w:type="spellEnd"/>
      <w:r>
        <w:t xml:space="preserve"> chamaria isso de "prova social"</w:t>
      </w:r>
      <w:r>
        <w:rPr>
          <w:vertAlign w:val="superscript"/>
        </w:rPr>
        <w:footnoteReference w:id="49"/>
      </w:r>
      <w:r>
        <w:t>, um princípio de influência onde as pessoas seguem o comportamento dos outros.</w:t>
      </w:r>
    </w:p>
    <w:p w14:paraId="4E11B307" w14:textId="77777777" w:rsidR="00E55A12" w:rsidRDefault="00E55A12" w:rsidP="00E55A12"/>
    <w:p w14:paraId="180DF2EE" w14:textId="77777777" w:rsidR="00E55A12" w:rsidRDefault="00E55A12" w:rsidP="00E55A12">
      <w:r>
        <w:t>3. Mobilização de base: Organizar manifestações, abaixo-assinados, envio de e-mails em massa para parlamentares. Como disse o psicólogo Kurt Lewin, "Não há nada mais prático do que uma boa teoria."</w:t>
      </w:r>
      <w:r>
        <w:rPr>
          <w:vertAlign w:val="superscript"/>
        </w:rPr>
        <w:footnoteReference w:id="50"/>
      </w:r>
      <w:r>
        <w:t xml:space="preserve"> A teoria da ação coletiva em prática!</w:t>
      </w:r>
    </w:p>
    <w:p w14:paraId="6A2D50B3" w14:textId="77777777" w:rsidR="00E55A12" w:rsidRDefault="00E55A12" w:rsidP="00E55A12"/>
    <w:p w14:paraId="677DE4BA" w14:textId="77777777" w:rsidR="00E55A12" w:rsidRDefault="00E55A12" w:rsidP="00E55A12">
      <w:r>
        <w:t>4. Estudos e pesquisas: Produzir dados e análises para embasar seus argumentos. Conhecimento é poder. O psicólogo cognitivo Daniel Kahneman nos lembra que "As pessoas tendem a avaliar a probabilidade de um evento pela facilidade com que exemplos vêm à mente."</w:t>
      </w:r>
      <w:r>
        <w:rPr>
          <w:vertAlign w:val="superscript"/>
        </w:rPr>
        <w:footnoteReference w:id="51"/>
      </w:r>
    </w:p>
    <w:p w14:paraId="63BC9D84" w14:textId="77777777" w:rsidR="00E55A12" w:rsidRDefault="00E55A12" w:rsidP="00E55A12"/>
    <w:p w14:paraId="55F3CB03" w14:textId="77777777" w:rsidR="00E55A12" w:rsidRDefault="00E55A12" w:rsidP="00E55A12">
      <w:r>
        <w:t xml:space="preserve">5. Alianças estratégicas: Juntar forças com outros grupos que têm interesses parecidos. União faz a força, não é? Como observou o psicólogo organizacional Edgar </w:t>
      </w:r>
      <w:proofErr w:type="spellStart"/>
      <w:r>
        <w:t>Schein</w:t>
      </w:r>
      <w:proofErr w:type="spellEnd"/>
      <w:r>
        <w:t>, "A cultura de um grupo pode ser definida como um padrão de suposições básicas compartilhadas."</w:t>
      </w:r>
      <w:r>
        <w:rPr>
          <w:vertAlign w:val="superscript"/>
        </w:rPr>
        <w:footnoteReference w:id="52"/>
      </w:r>
    </w:p>
    <w:p w14:paraId="04C007D0" w14:textId="77777777" w:rsidR="00E55A12" w:rsidRDefault="00E55A12" w:rsidP="00E55A12"/>
    <w:p w14:paraId="55F8623F" w14:textId="77777777" w:rsidR="00E55A12" w:rsidRDefault="00E55A12" w:rsidP="00E55A12">
      <w:r>
        <w:t>Essas estratégias refletem o que o sociólogo Manuel Castells chama de "sociedade em rede"</w:t>
      </w:r>
      <w:r>
        <w:rPr>
          <w:vertAlign w:val="superscript"/>
        </w:rPr>
        <w:footnoteReference w:id="53"/>
      </w:r>
      <w:r>
        <w:t>, onde o poder é multidimensional e se manifesta através de diversas formas de comunicação e influência. Os grupos de pressão, ao utilizarem essas táticas variadas, estão essencialmente navegando e manipulando as complexas redes de poder na sociedade moderna, buscando influenciar as decisões políticas em seu favor.</w:t>
      </w:r>
    </w:p>
    <w:p w14:paraId="34DDE0C1" w14:textId="77777777" w:rsidR="00E55A12" w:rsidRDefault="00E55A12" w:rsidP="00E55A12"/>
    <w:p w14:paraId="3F042C19" w14:textId="77777777" w:rsidR="00E55A12" w:rsidRDefault="00E55A12" w:rsidP="00E55A12">
      <w:pPr>
        <w:rPr>
          <w:b/>
        </w:rPr>
      </w:pPr>
      <w:r>
        <w:rPr>
          <w:b/>
        </w:rPr>
        <w:t>Exemplos reais de atuação</w:t>
      </w:r>
    </w:p>
    <w:p w14:paraId="1E1C88B6" w14:textId="77777777" w:rsidR="00E55A12" w:rsidRDefault="00E55A12" w:rsidP="00E55A12"/>
    <w:p w14:paraId="47B5687C" w14:textId="77777777" w:rsidR="00E55A12" w:rsidRDefault="00E55A12" w:rsidP="00E55A12">
      <w:r>
        <w:t>Vamos relembrar alguns casos que já mencionamos e adicionar outros:</w:t>
      </w:r>
    </w:p>
    <w:p w14:paraId="157649FF" w14:textId="77777777" w:rsidR="00E55A12" w:rsidRDefault="00E55A12" w:rsidP="00E55A12"/>
    <w:p w14:paraId="76017328" w14:textId="77777777" w:rsidR="00E55A12" w:rsidRDefault="00E55A12" w:rsidP="00E55A12">
      <w:r>
        <w:t xml:space="preserve">1. A Bancada Ruralista e o Código Florestal: Lembra dessa? Os ruralistas pressionaram forte para flexibilizar as regras ambientais. Como observado nos resultados da pesquisa, a Frente Parlamentar da Agropecuária (FPA), também conhecida como bancada ruralista, tem sido uma força significativa no Congresso, com 324 integrantes na Câmara e 50 no Senado. Suas pautas prioritárias frequentemente envolvem a flexibilização da legislação ambiental, como exemplificado pelo PL 364/2019, que permitiria a devastação de milhões de hectares de vegetação nativa. Como diria o psicólogo social Serge Moscovici, "As </w:t>
      </w:r>
      <w:r>
        <w:lastRenderedPageBreak/>
        <w:t>minorias ativas podem influenciar a maioria através da consistência e persistência de suas ações."</w:t>
      </w:r>
    </w:p>
    <w:p w14:paraId="30ABB63A" w14:textId="77777777" w:rsidR="00E55A12" w:rsidRDefault="00E55A12" w:rsidP="00E55A12"/>
    <w:p w14:paraId="467A89BD" w14:textId="77777777" w:rsidR="00E55A12" w:rsidRDefault="00E55A12" w:rsidP="00E55A12">
      <w:r>
        <w:t xml:space="preserve">2. O lobby das armas e o Estatuto do Desarmamento: Outro caso que já vimos. Os grupos pró-armas fizeram um trabalho significativo para influenciar a opinião pública. Por exemplo, a família Bolsonaro cultivou relações com grupos armamentistas norte-americanos, como a </w:t>
      </w:r>
      <w:proofErr w:type="spellStart"/>
      <w:r>
        <w:t>National</w:t>
      </w:r>
      <w:proofErr w:type="spellEnd"/>
      <w:r>
        <w:t xml:space="preserve"> Rifle </w:t>
      </w:r>
      <w:proofErr w:type="spellStart"/>
      <w:r>
        <w:t>Association</w:t>
      </w:r>
      <w:proofErr w:type="spellEnd"/>
      <w:r>
        <w:t xml:space="preserve"> (NRA), que veem o Brasil como um mercado promissor e um bastião do armamentismo global. Isso ilustra o que o psicólogo Robert </w:t>
      </w:r>
      <w:proofErr w:type="spellStart"/>
      <w:r>
        <w:t>Cialdini</w:t>
      </w:r>
      <w:proofErr w:type="spellEnd"/>
      <w:r>
        <w:t xml:space="preserve"> chama de "influência social", onde as atitudes e comportamentos das pessoas são moldados pelo que percebem ser a norma social.</w:t>
      </w:r>
    </w:p>
    <w:p w14:paraId="6602FA1D" w14:textId="77777777" w:rsidR="00E55A12" w:rsidRDefault="00E55A12" w:rsidP="00E55A12"/>
    <w:p w14:paraId="1B421E4D" w14:textId="77777777" w:rsidR="00E55A12" w:rsidRDefault="00E55A12" w:rsidP="00E55A12">
      <w:r>
        <w:t xml:space="preserve">3. A Reforma Tributária: Como falamos no último capítulo, vários setores estão pressionando para garantir seus interesses. Isso reflete o que o economista </w:t>
      </w:r>
      <w:proofErr w:type="spellStart"/>
      <w:r>
        <w:t>Mancur</w:t>
      </w:r>
      <w:proofErr w:type="spellEnd"/>
      <w:r>
        <w:t xml:space="preserve"> Olson chamou de "lógica da ação coletiva"</w:t>
      </w:r>
      <w:r>
        <w:rPr>
          <w:vertAlign w:val="superscript"/>
        </w:rPr>
        <w:footnoteReference w:id="54"/>
      </w:r>
      <w:r>
        <w:t>, onde grupos menores e mais organizados muitas vezes têm vantagem sobre interesses mais difusos.</w:t>
      </w:r>
    </w:p>
    <w:p w14:paraId="52913BCD" w14:textId="77777777" w:rsidR="00E55A12" w:rsidRDefault="00E55A12" w:rsidP="00E55A12"/>
    <w:p w14:paraId="28AFFA6C" w14:textId="77777777" w:rsidR="00E55A12" w:rsidRDefault="00E55A12" w:rsidP="00E55A12">
      <w:r>
        <w:t>4. Novo exemplo: A pressão dos aplicativos de transporte: Quando surgiram apps como Uber e 99, houve uma grande pressão dos taxistas para proibir esses serviços. Do outro lado, as empresas de app e seus motoristas também se mobilizaram. Foi uma verdadeira batalha de grupos de pressão! Como observou o filósofo Thomas Kuhn, "As revoluções científicas ocorrem quando um paradigma existente não pode mais explicar ou prever fenômenos observados."</w:t>
      </w:r>
      <w:r>
        <w:rPr>
          <w:vertAlign w:val="superscript"/>
        </w:rPr>
        <w:footnoteReference w:id="55"/>
      </w:r>
      <w:r>
        <w:t xml:space="preserve"> Aqui, vemos uma revolução no transporte urbano desafiando o paradigma existente.</w:t>
      </w:r>
    </w:p>
    <w:p w14:paraId="0226B7A3" w14:textId="77777777" w:rsidR="00E55A12" w:rsidRDefault="00E55A12" w:rsidP="00E55A12"/>
    <w:p w14:paraId="225F96BF" w14:textId="77777777" w:rsidR="00E55A12" w:rsidRDefault="00E55A12" w:rsidP="00E55A12">
      <w:pPr>
        <w:rPr>
          <w:b/>
        </w:rPr>
      </w:pPr>
      <w:r>
        <w:rPr>
          <w:b/>
        </w:rPr>
        <w:t>E aí, o que a gente faz com isso?</w:t>
      </w:r>
    </w:p>
    <w:p w14:paraId="4826EF83" w14:textId="77777777" w:rsidR="00E55A12" w:rsidRDefault="00E55A12" w:rsidP="00E55A12"/>
    <w:p w14:paraId="18BF4212" w14:textId="77777777" w:rsidR="00E55A12" w:rsidRDefault="00E55A12" w:rsidP="00E55A12">
      <w:r>
        <w:t>A existência de grupos de pressão é um fato da vida democrática. O desafio é garantir que esse jogo seja o mais justo e transparente possível. Algumas ideias para melhorar o sistema incluem:</w:t>
      </w:r>
    </w:p>
    <w:p w14:paraId="7C5658F8" w14:textId="77777777" w:rsidR="00E55A12" w:rsidRDefault="00E55A12" w:rsidP="00E55A12"/>
    <w:p w14:paraId="17A01749" w14:textId="77777777" w:rsidR="00E55A12" w:rsidRDefault="00E55A12" w:rsidP="00E55A12">
      <w:r>
        <w:t>1. Regulamentação mais clara do lobby: Estabelecer regras específicas sobre como os grupos de pressão podem interagir com os legisladores e funcionários do governo, que já mencionamos.</w:t>
      </w:r>
    </w:p>
    <w:p w14:paraId="73AA024A" w14:textId="77777777" w:rsidR="00E55A12" w:rsidRDefault="00E55A12" w:rsidP="00E55A12"/>
    <w:p w14:paraId="5C26C89E" w14:textId="77777777" w:rsidR="00E55A12" w:rsidRDefault="00E55A12" w:rsidP="00E55A12">
      <w:r>
        <w:t>2. Maior transparência nas atividades desses grupos: Criar um registro público de lobistas e exigir relatórios regulares sobre suas atividades e gastos, que já mencionamos também.</w:t>
      </w:r>
    </w:p>
    <w:p w14:paraId="56EB3947" w14:textId="77777777" w:rsidR="00E55A12" w:rsidRDefault="00E55A12" w:rsidP="00E55A12"/>
    <w:p w14:paraId="19013781" w14:textId="77777777" w:rsidR="00E55A12" w:rsidRDefault="00E55A12" w:rsidP="00E55A12">
      <w:r>
        <w:t xml:space="preserve">3. Fortalecimento dos canais de participação popular direta: Ampliar e aprimorar mecanismos como audiências públicas, consultas online e iniciativas de cidadania. Como observou o filósofo Jürgen Habermas, "O poder comunicativo é </w:t>
      </w:r>
      <w:r>
        <w:lastRenderedPageBreak/>
        <w:t>formado em uma rede de processos comunicativos dentro e fora do complexo parlamentar e de suas corporações deliberativas."</w:t>
      </w:r>
      <w:r>
        <w:rPr>
          <w:vertAlign w:val="superscript"/>
        </w:rPr>
        <w:footnoteReference w:id="56"/>
      </w:r>
    </w:p>
    <w:p w14:paraId="5EBB1A1E" w14:textId="77777777" w:rsidR="00E55A12" w:rsidRDefault="00E55A12" w:rsidP="00E55A12"/>
    <w:p w14:paraId="4AE5CAF6" w14:textId="77777777" w:rsidR="00E55A12" w:rsidRDefault="00E55A12" w:rsidP="00E55A12">
      <w:r>
        <w:t>4. Educação política: Investir em programas que ajudem os cidadãos a entender melhor como funciona o processo legislativo e como eles podem participar. O psicólogo educacional Jerome Bruner argumentou que "A educação deve servir como um meio de formar cidadãos independentes em uma democracia, cidadãos cuja independência esteja equilibrada pela responsabilidade mútua."</w:t>
      </w:r>
      <w:r>
        <w:rPr>
          <w:vertAlign w:val="superscript"/>
        </w:rPr>
        <w:footnoteReference w:id="57"/>
      </w:r>
    </w:p>
    <w:p w14:paraId="6CA825F1" w14:textId="77777777" w:rsidR="00E55A12" w:rsidRDefault="00E55A12" w:rsidP="00E55A12"/>
    <w:p w14:paraId="09C481F2" w14:textId="77777777" w:rsidR="00E55A12" w:rsidRDefault="00E55A12" w:rsidP="00E55A12">
      <w:r>
        <w:t>5. Equilíbrio de representação: Criar mecanismos para garantir que grupos com menos recursos também tenham voz no processo político. Isso reflete o conceito de "justiça como equidade"</w:t>
      </w:r>
      <w:r>
        <w:rPr>
          <w:vertAlign w:val="superscript"/>
        </w:rPr>
        <w:footnoteReference w:id="58"/>
      </w:r>
      <w:r>
        <w:t xml:space="preserve"> do filósofo John Rawls.</w:t>
      </w:r>
    </w:p>
    <w:p w14:paraId="52B9C9E6" w14:textId="77777777" w:rsidR="00E55A12" w:rsidRDefault="00E55A12" w:rsidP="00E55A12"/>
    <w:p w14:paraId="3C83641B" w14:textId="77777777" w:rsidR="00E55A12" w:rsidRDefault="00E55A12" w:rsidP="00E55A12">
      <w:r>
        <w:t xml:space="preserve">No fim das contas, é importante lembrar que você também pode fazer parte de um grupo de pressão! Seja se juntando a uma organização existente ou criando um movimento novo, sua voz pode fazer a diferença. A democracia é um trabalho em equipe, e todos nós temos um papel a desempenhar. Como disse a antropóloga Margaret </w:t>
      </w:r>
      <w:proofErr w:type="spellStart"/>
      <w:r>
        <w:t>Mead</w:t>
      </w:r>
      <w:proofErr w:type="spellEnd"/>
      <w:r>
        <w:t>, "Nunca duvide que um pequeno grupo de cidadãos preocupados e comprometidos possa mudar o mundo. De fato, é só isso que sempre mudou."</w:t>
      </w:r>
      <w:r>
        <w:rPr>
          <w:vertAlign w:val="superscript"/>
        </w:rPr>
        <w:footnoteReference w:id="59"/>
      </w:r>
    </w:p>
    <w:p w14:paraId="7E745A1F" w14:textId="77777777" w:rsidR="00277640" w:rsidRDefault="00277640"/>
    <w:sectPr w:rsidR="0027764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AC58" w14:textId="77777777" w:rsidR="00995F3D" w:rsidRDefault="00995F3D" w:rsidP="00E55A12">
      <w:r>
        <w:separator/>
      </w:r>
    </w:p>
  </w:endnote>
  <w:endnote w:type="continuationSeparator" w:id="0">
    <w:p w14:paraId="31C07CD3" w14:textId="77777777" w:rsidR="00995F3D" w:rsidRDefault="00995F3D" w:rsidP="00E55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4611" w14:textId="77777777" w:rsidR="00995F3D" w:rsidRDefault="00995F3D" w:rsidP="00E55A12">
      <w:r>
        <w:separator/>
      </w:r>
    </w:p>
  </w:footnote>
  <w:footnote w:type="continuationSeparator" w:id="0">
    <w:p w14:paraId="4E891406" w14:textId="77777777" w:rsidR="00995F3D" w:rsidRDefault="00995F3D" w:rsidP="00E55A12">
      <w:r>
        <w:continuationSeparator/>
      </w:r>
    </w:p>
  </w:footnote>
  <w:footnote w:id="1">
    <w:p w14:paraId="17A43AB3"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O Contrato Social</w:t>
      </w:r>
      <w:r>
        <w:rPr>
          <w:color w:val="000000"/>
          <w:sz w:val="20"/>
          <w:szCs w:val="20"/>
        </w:rPr>
        <w:t>. Livro IV, Capítulo 1. São Paulo: Martins Fontes, 2002.</w:t>
      </w:r>
    </w:p>
  </w:footnote>
  <w:footnote w:id="2">
    <w:p w14:paraId="126CA52B"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MAQUIAVEL, Nicolau. </w:t>
      </w:r>
      <w:r>
        <w:rPr>
          <w:i/>
          <w:color w:val="000000"/>
          <w:sz w:val="20"/>
          <w:szCs w:val="20"/>
        </w:rPr>
        <w:t>O Príncipe</w:t>
      </w:r>
      <w:r>
        <w:rPr>
          <w:color w:val="000000"/>
          <w:sz w:val="20"/>
          <w:szCs w:val="20"/>
        </w:rPr>
        <w:t>. Capítulo XVIII. São Paulo: Martins Fontes, 2001.</w:t>
      </w:r>
    </w:p>
  </w:footnote>
  <w:footnote w:id="3">
    <w:p w14:paraId="6D0928AD" w14:textId="77777777" w:rsidR="00E55A12" w:rsidRDefault="00E55A12" w:rsidP="00E55A12">
      <w:pPr>
        <w:rPr>
          <w:sz w:val="20"/>
          <w:szCs w:val="20"/>
        </w:rPr>
      </w:pPr>
      <w:r>
        <w:rPr>
          <w:vertAlign w:val="superscript"/>
        </w:rPr>
        <w:footnoteRef/>
      </w:r>
      <w:r>
        <w:rPr>
          <w:sz w:val="20"/>
          <w:szCs w:val="20"/>
        </w:rPr>
        <w:t xml:space="preserve"> </w:t>
      </w:r>
      <w:r>
        <w:rPr>
          <w:rFonts w:ascii="Arial" w:eastAsia="Arial" w:hAnsi="Arial" w:cs="Arial"/>
          <w:sz w:val="20"/>
          <w:szCs w:val="20"/>
        </w:rPr>
        <w:t xml:space="preserve">PHILLIPS, Wendell. In: </w:t>
      </w:r>
      <w:proofErr w:type="spellStart"/>
      <w:r>
        <w:rPr>
          <w:rFonts w:ascii="Arial" w:eastAsia="Arial" w:hAnsi="Arial" w:cs="Arial"/>
          <w:sz w:val="20"/>
          <w:szCs w:val="20"/>
        </w:rPr>
        <w:t>Bartlett's</w:t>
      </w:r>
      <w:proofErr w:type="spellEnd"/>
      <w:r>
        <w:rPr>
          <w:rFonts w:ascii="Arial" w:eastAsia="Arial" w:hAnsi="Arial" w:cs="Arial"/>
          <w:sz w:val="20"/>
          <w:szCs w:val="20"/>
        </w:rPr>
        <w:t xml:space="preserve"> Familiar </w:t>
      </w:r>
      <w:proofErr w:type="spellStart"/>
      <w:r>
        <w:rPr>
          <w:rFonts w:ascii="Arial" w:eastAsia="Arial" w:hAnsi="Arial" w:cs="Arial"/>
          <w:sz w:val="20"/>
          <w:szCs w:val="20"/>
        </w:rPr>
        <w:t>Quotations</w:t>
      </w:r>
      <w:proofErr w:type="spellEnd"/>
      <w:r>
        <w:rPr>
          <w:rFonts w:ascii="Arial" w:eastAsia="Arial" w:hAnsi="Arial" w:cs="Arial"/>
          <w:sz w:val="20"/>
          <w:szCs w:val="20"/>
        </w:rPr>
        <w:t xml:space="preserve">, 10ª edição. Boston: Little, Brown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Company</w:t>
      </w:r>
      <w:proofErr w:type="spellEnd"/>
      <w:r>
        <w:rPr>
          <w:rFonts w:ascii="Arial" w:eastAsia="Arial" w:hAnsi="Arial" w:cs="Arial"/>
          <w:sz w:val="20"/>
          <w:szCs w:val="20"/>
        </w:rPr>
        <w:t>, 1919.</w:t>
      </w:r>
    </w:p>
  </w:footnote>
  <w:footnote w:id="4">
    <w:p w14:paraId="136A6EAF" w14:textId="77777777" w:rsidR="00E55A12" w:rsidRDefault="00E55A12" w:rsidP="00E55A12">
      <w:pPr>
        <w:rPr>
          <w:sz w:val="20"/>
          <w:szCs w:val="20"/>
        </w:rPr>
      </w:pPr>
      <w:r>
        <w:rPr>
          <w:vertAlign w:val="superscript"/>
        </w:rPr>
        <w:footnoteRef/>
      </w:r>
      <w:r>
        <w:rPr>
          <w:sz w:val="20"/>
          <w:szCs w:val="20"/>
        </w:rPr>
        <w:t xml:space="preserve"> PLATÃO. A República. São Paulo: Martin Claret, 2000.</w:t>
      </w:r>
    </w:p>
  </w:footnote>
  <w:footnote w:id="5">
    <w:p w14:paraId="7524F062"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ARISTÓTELES. </w:t>
      </w:r>
      <w:r>
        <w:rPr>
          <w:i/>
          <w:color w:val="000000"/>
          <w:sz w:val="20"/>
          <w:szCs w:val="20"/>
        </w:rPr>
        <w:t>Política</w:t>
      </w:r>
      <w:r>
        <w:rPr>
          <w:color w:val="000000"/>
          <w:sz w:val="20"/>
          <w:szCs w:val="20"/>
        </w:rPr>
        <w:t>. Livro I, Capítulo 2.</w:t>
      </w:r>
    </w:p>
  </w:footnote>
  <w:footnote w:id="6">
    <w:p w14:paraId="2526E460" w14:textId="77777777" w:rsidR="00E55A12" w:rsidRDefault="00E55A12" w:rsidP="00E55A12">
      <w:pPr>
        <w:rPr>
          <w:sz w:val="20"/>
          <w:szCs w:val="20"/>
        </w:rPr>
      </w:pPr>
      <w:r>
        <w:rPr>
          <w:vertAlign w:val="superscript"/>
        </w:rPr>
        <w:footnoteRef/>
      </w:r>
      <w:r>
        <w:rPr>
          <w:sz w:val="20"/>
          <w:szCs w:val="20"/>
        </w:rPr>
        <w:t xml:space="preserve"> MAQUIAVEL, Nicolau. O Príncipe. São Paulo: Martins Fontes, 2001.</w:t>
      </w:r>
    </w:p>
  </w:footnote>
  <w:footnote w:id="7">
    <w:p w14:paraId="60140B9E"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Do contrato social</w:t>
      </w:r>
      <w:r>
        <w:rPr>
          <w:color w:val="000000"/>
          <w:sz w:val="20"/>
          <w:szCs w:val="20"/>
        </w:rPr>
        <w:t>. São Paulo: Abril Cultural, 1973. Coleção Os Pensadores.</w:t>
      </w:r>
    </w:p>
  </w:footnote>
  <w:footnote w:id="8">
    <w:p w14:paraId="7C0E96F1" w14:textId="77777777" w:rsidR="00E55A12" w:rsidRDefault="00E55A12" w:rsidP="00E55A12">
      <w:pPr>
        <w:rPr>
          <w:sz w:val="20"/>
          <w:szCs w:val="20"/>
        </w:rPr>
      </w:pPr>
      <w:r>
        <w:rPr>
          <w:vertAlign w:val="superscript"/>
        </w:rPr>
        <w:footnoteRef/>
      </w:r>
      <w:r>
        <w:rPr>
          <w:sz w:val="20"/>
          <w:szCs w:val="20"/>
        </w:rPr>
        <w:t xml:space="preserve"> DAHL, Robert A. Poliarquia: Participação e Oposição. São Paulo: Edusp, 1997.</w:t>
      </w:r>
    </w:p>
  </w:footnote>
  <w:footnote w:id="9">
    <w:p w14:paraId="56C1A6FE" w14:textId="77777777" w:rsidR="00E55A12" w:rsidRDefault="00E55A12" w:rsidP="00E55A12">
      <w:pPr>
        <w:rPr>
          <w:sz w:val="20"/>
          <w:szCs w:val="20"/>
        </w:rPr>
      </w:pPr>
      <w:r>
        <w:rPr>
          <w:vertAlign w:val="superscript"/>
        </w:rPr>
        <w:footnoteRef/>
      </w:r>
      <w:r>
        <w:rPr>
          <w:sz w:val="20"/>
          <w:szCs w:val="20"/>
        </w:rPr>
        <w:t xml:space="preserve"> ORWELL, George. A Revolução dos Bichos. Londres: </w:t>
      </w:r>
      <w:proofErr w:type="spellStart"/>
      <w:r>
        <w:rPr>
          <w:sz w:val="20"/>
          <w:szCs w:val="20"/>
        </w:rPr>
        <w:t>Secker</w:t>
      </w:r>
      <w:proofErr w:type="spellEnd"/>
      <w:r>
        <w:rPr>
          <w:sz w:val="20"/>
          <w:szCs w:val="20"/>
        </w:rPr>
        <w:t xml:space="preserve"> </w:t>
      </w:r>
      <w:proofErr w:type="spellStart"/>
      <w:r>
        <w:rPr>
          <w:sz w:val="20"/>
          <w:szCs w:val="20"/>
        </w:rPr>
        <w:t>and</w:t>
      </w:r>
      <w:proofErr w:type="spellEnd"/>
      <w:r>
        <w:rPr>
          <w:sz w:val="20"/>
          <w:szCs w:val="20"/>
        </w:rPr>
        <w:t xml:space="preserve"> Warburg, 1945.  </w:t>
      </w:r>
    </w:p>
  </w:footnote>
  <w:footnote w:id="10">
    <w:p w14:paraId="5E303976" w14:textId="77777777" w:rsidR="00E55A12" w:rsidRDefault="00E55A12" w:rsidP="00E55A12">
      <w:pPr>
        <w:rPr>
          <w:sz w:val="20"/>
          <w:szCs w:val="20"/>
        </w:rPr>
      </w:pPr>
      <w:r>
        <w:rPr>
          <w:vertAlign w:val="superscript"/>
        </w:rPr>
        <w:footnoteRef/>
      </w:r>
      <w:r>
        <w:rPr>
          <w:sz w:val="20"/>
          <w:szCs w:val="20"/>
        </w:rPr>
        <w:t xml:space="preserve"> Foucault, Michel. Vigiar e Punir. Rio de Janeiro: Vozes, 1975.</w:t>
      </w:r>
    </w:p>
  </w:footnote>
  <w:footnote w:id="11">
    <w:p w14:paraId="7B193FE0"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w:t>
      </w:r>
      <w:r>
        <w:rPr>
          <w:b/>
          <w:color w:val="000000"/>
          <w:sz w:val="20"/>
          <w:szCs w:val="20"/>
        </w:rPr>
        <w:t>.</w:t>
      </w:r>
      <w:r>
        <w:rPr>
          <w:color w:val="000000"/>
          <w:sz w:val="20"/>
          <w:szCs w:val="20"/>
        </w:rPr>
        <w:t xml:space="preserve"> </w:t>
      </w:r>
      <w:r>
        <w:rPr>
          <w:i/>
          <w:color w:val="000000"/>
          <w:sz w:val="20"/>
          <w:szCs w:val="20"/>
        </w:rPr>
        <w:t>A Condição Humana</w:t>
      </w:r>
      <w:r>
        <w:rPr>
          <w:color w:val="000000"/>
          <w:sz w:val="20"/>
          <w:szCs w:val="20"/>
        </w:rPr>
        <w:t>. São Paulo: Editora Perspectiva, 1993.</w:t>
      </w:r>
    </w:p>
  </w:footnote>
  <w:footnote w:id="12">
    <w:p w14:paraId="12B476AE" w14:textId="77777777" w:rsidR="00E55A12" w:rsidRDefault="00E55A12" w:rsidP="00E55A12">
      <w:pPr>
        <w:rPr>
          <w:sz w:val="16"/>
          <w:szCs w:val="16"/>
        </w:rPr>
      </w:pPr>
      <w:r>
        <w:rPr>
          <w:vertAlign w:val="superscript"/>
        </w:rPr>
        <w:footnoteRef/>
      </w:r>
      <w:r>
        <w:rPr>
          <w:sz w:val="20"/>
          <w:szCs w:val="20"/>
        </w:rPr>
        <w:t xml:space="preserve"> </w:t>
      </w:r>
      <w:r>
        <w:rPr>
          <w:sz w:val="20"/>
          <w:szCs w:val="20"/>
          <w:highlight w:val="yellow"/>
        </w:rPr>
        <w:t xml:space="preserve">STEINBERG, Jonathan. Bismarck: A Life. Oxford: Oxford </w:t>
      </w:r>
      <w:proofErr w:type="spellStart"/>
      <w:r>
        <w:rPr>
          <w:sz w:val="20"/>
          <w:szCs w:val="20"/>
          <w:highlight w:val="yellow"/>
        </w:rPr>
        <w:t>University</w:t>
      </w:r>
      <w:proofErr w:type="spellEnd"/>
      <w:r>
        <w:rPr>
          <w:sz w:val="20"/>
          <w:szCs w:val="20"/>
          <w:highlight w:val="yellow"/>
        </w:rPr>
        <w:t xml:space="preserve"> Press, 2011.</w:t>
      </w:r>
    </w:p>
  </w:footnote>
  <w:footnote w:id="13">
    <w:p w14:paraId="30399FE4"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TOCQUEVILLE, Alexis de. </w:t>
      </w:r>
      <w:r>
        <w:rPr>
          <w:i/>
          <w:color w:val="000000"/>
          <w:sz w:val="20"/>
          <w:szCs w:val="20"/>
        </w:rPr>
        <w:t>Democracia na América</w:t>
      </w:r>
      <w:r>
        <w:rPr>
          <w:color w:val="000000"/>
          <w:sz w:val="20"/>
          <w:szCs w:val="20"/>
        </w:rPr>
        <w:t>. Livro I, Capítulo XV.</w:t>
      </w:r>
    </w:p>
  </w:footnote>
  <w:footnote w:id="14">
    <w:p w14:paraId="2DB7CDE3"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SMITH, Adam. </w:t>
      </w:r>
      <w:r>
        <w:rPr>
          <w:i/>
          <w:color w:val="000000"/>
          <w:sz w:val="20"/>
          <w:szCs w:val="20"/>
        </w:rPr>
        <w:t>A Riqueza das Nações</w:t>
      </w:r>
      <w:r>
        <w:rPr>
          <w:color w:val="000000"/>
          <w:sz w:val="20"/>
          <w:szCs w:val="20"/>
        </w:rPr>
        <w:t>. Livro I, Capítulo II.</w:t>
      </w:r>
    </w:p>
  </w:footnote>
  <w:footnote w:id="15">
    <w:p w14:paraId="7F62520E"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MADISON, James. </w:t>
      </w:r>
      <w:r>
        <w:rPr>
          <w:i/>
          <w:color w:val="000000"/>
          <w:sz w:val="20"/>
          <w:szCs w:val="20"/>
        </w:rPr>
        <w:t xml:space="preserve">The </w:t>
      </w:r>
      <w:proofErr w:type="spellStart"/>
      <w:r>
        <w:rPr>
          <w:i/>
          <w:color w:val="000000"/>
          <w:sz w:val="20"/>
          <w:szCs w:val="20"/>
        </w:rPr>
        <w:t>Federalist</w:t>
      </w:r>
      <w:proofErr w:type="spellEnd"/>
      <w:r>
        <w:rPr>
          <w:i/>
          <w:color w:val="000000"/>
          <w:sz w:val="20"/>
          <w:szCs w:val="20"/>
        </w:rPr>
        <w:t xml:space="preserve"> Papers</w:t>
      </w:r>
      <w:r>
        <w:rPr>
          <w:color w:val="000000"/>
          <w:sz w:val="20"/>
          <w:szCs w:val="20"/>
        </w:rPr>
        <w:t>, nº 10.</w:t>
      </w:r>
    </w:p>
  </w:footnote>
  <w:footnote w:id="16">
    <w:p w14:paraId="79F2E60F"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TOCQUEVILLE, Alexis de. </w:t>
      </w:r>
      <w:r>
        <w:rPr>
          <w:i/>
          <w:color w:val="000000"/>
          <w:sz w:val="20"/>
          <w:szCs w:val="20"/>
        </w:rPr>
        <w:t>Democracia na América</w:t>
      </w:r>
      <w:r>
        <w:rPr>
          <w:color w:val="000000"/>
          <w:sz w:val="20"/>
          <w:szCs w:val="20"/>
        </w:rPr>
        <w:t>. Livro I, Capítulo XV.</w:t>
      </w:r>
    </w:p>
  </w:footnote>
  <w:footnote w:id="17">
    <w:p w14:paraId="7670BAC4"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MILL, John Stuart. </w:t>
      </w:r>
      <w:r>
        <w:rPr>
          <w:i/>
          <w:color w:val="000000"/>
          <w:sz w:val="20"/>
          <w:szCs w:val="20"/>
        </w:rPr>
        <w:t>Sobre a Liberdade</w:t>
      </w:r>
      <w:r>
        <w:rPr>
          <w:color w:val="000000"/>
          <w:sz w:val="20"/>
          <w:szCs w:val="20"/>
        </w:rPr>
        <w:t>. 1859.</w:t>
      </w:r>
    </w:p>
  </w:footnote>
  <w:footnote w:id="18">
    <w:p w14:paraId="5DB9F201" w14:textId="77777777" w:rsidR="00E55A12" w:rsidRDefault="00E55A12" w:rsidP="00E55A12">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19">
    <w:p w14:paraId="4185F37E"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BACON, Francis. </w:t>
      </w:r>
      <w:proofErr w:type="spellStart"/>
      <w:r>
        <w:rPr>
          <w:i/>
          <w:color w:val="000000"/>
          <w:sz w:val="20"/>
          <w:szCs w:val="20"/>
        </w:rPr>
        <w:t>Novum</w:t>
      </w:r>
      <w:proofErr w:type="spellEnd"/>
      <w:r>
        <w:rPr>
          <w:i/>
          <w:color w:val="000000"/>
          <w:sz w:val="20"/>
          <w:szCs w:val="20"/>
        </w:rPr>
        <w:t xml:space="preserve"> </w:t>
      </w:r>
      <w:proofErr w:type="spellStart"/>
      <w:r>
        <w:rPr>
          <w:i/>
          <w:color w:val="000000"/>
          <w:sz w:val="20"/>
          <w:szCs w:val="20"/>
        </w:rPr>
        <w:t>Organum</w:t>
      </w:r>
      <w:proofErr w:type="spellEnd"/>
      <w:r>
        <w:rPr>
          <w:color w:val="000000"/>
          <w:sz w:val="20"/>
          <w:szCs w:val="20"/>
        </w:rPr>
        <w:t>. Tradução de Ruy J. P. de Araujo. São Paulo: Editora Ícone, 2004.</w:t>
      </w:r>
    </w:p>
  </w:footnote>
  <w:footnote w:id="20">
    <w:p w14:paraId="4ADB0E87"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MCLUHAN, Marshall. </w:t>
      </w:r>
      <w:proofErr w:type="spellStart"/>
      <w:r>
        <w:rPr>
          <w:i/>
          <w:color w:val="000000"/>
          <w:sz w:val="20"/>
          <w:szCs w:val="20"/>
        </w:rPr>
        <w:t>Understanding</w:t>
      </w:r>
      <w:proofErr w:type="spellEnd"/>
      <w:r>
        <w:rPr>
          <w:i/>
          <w:color w:val="000000"/>
          <w:sz w:val="20"/>
          <w:szCs w:val="20"/>
        </w:rPr>
        <w:t xml:space="preserve"> </w:t>
      </w:r>
      <w:proofErr w:type="gramStart"/>
      <w:r>
        <w:rPr>
          <w:i/>
          <w:color w:val="000000"/>
          <w:sz w:val="20"/>
          <w:szCs w:val="20"/>
        </w:rPr>
        <w:t>Media</w:t>
      </w:r>
      <w:proofErr w:type="gramEnd"/>
      <w:r>
        <w:rPr>
          <w:i/>
          <w:color w:val="000000"/>
          <w:sz w:val="20"/>
          <w:szCs w:val="20"/>
        </w:rPr>
        <w:t xml:space="preserve">: The </w:t>
      </w:r>
      <w:proofErr w:type="spellStart"/>
      <w:r>
        <w:rPr>
          <w:i/>
          <w:color w:val="000000"/>
          <w:sz w:val="20"/>
          <w:szCs w:val="20"/>
        </w:rPr>
        <w:t>Extensions</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Man</w:t>
      </w:r>
      <w:r>
        <w:rPr>
          <w:color w:val="000000"/>
          <w:sz w:val="20"/>
          <w:szCs w:val="20"/>
        </w:rPr>
        <w:t>. 1964.</w:t>
      </w:r>
    </w:p>
  </w:footnote>
  <w:footnote w:id="21">
    <w:p w14:paraId="50C91E25"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MAQUIAVEL, Nicolau. </w:t>
      </w:r>
      <w:r>
        <w:rPr>
          <w:i/>
          <w:color w:val="000000"/>
          <w:sz w:val="20"/>
          <w:szCs w:val="20"/>
        </w:rPr>
        <w:t>O Príncipe</w:t>
      </w:r>
      <w:r>
        <w:rPr>
          <w:color w:val="000000"/>
          <w:sz w:val="20"/>
          <w:szCs w:val="20"/>
        </w:rPr>
        <w:t>. São Paulo: Martins Fontes, 2001.</w:t>
      </w:r>
    </w:p>
  </w:footnote>
  <w:footnote w:id="22">
    <w:p w14:paraId="4E9647C2" w14:textId="77777777" w:rsidR="00E55A12" w:rsidRDefault="00E55A12" w:rsidP="00E55A12">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23">
    <w:p w14:paraId="764BC0E7" w14:textId="77777777" w:rsidR="00E55A12" w:rsidRDefault="00E55A12" w:rsidP="00E55A12">
      <w:pPr>
        <w:rPr>
          <w:sz w:val="20"/>
          <w:szCs w:val="20"/>
        </w:rPr>
      </w:pPr>
      <w:r>
        <w:rPr>
          <w:vertAlign w:val="superscript"/>
        </w:rPr>
        <w:footnoteRef/>
      </w:r>
      <w:r>
        <w:rPr>
          <w:sz w:val="20"/>
          <w:szCs w:val="20"/>
        </w:rPr>
        <w:t xml:space="preserve"> </w:t>
      </w:r>
      <w:r>
        <w:rPr>
          <w:rFonts w:ascii="Arial" w:eastAsia="Arial" w:hAnsi="Arial" w:cs="Arial"/>
          <w:sz w:val="20"/>
          <w:szCs w:val="20"/>
        </w:rPr>
        <w:t xml:space="preserve">PHILLIPS, Wendell. In: </w:t>
      </w:r>
      <w:proofErr w:type="spellStart"/>
      <w:r>
        <w:rPr>
          <w:rFonts w:ascii="Arial" w:eastAsia="Arial" w:hAnsi="Arial" w:cs="Arial"/>
          <w:sz w:val="20"/>
          <w:szCs w:val="20"/>
        </w:rPr>
        <w:t>Bartlett's</w:t>
      </w:r>
      <w:proofErr w:type="spellEnd"/>
      <w:r>
        <w:rPr>
          <w:rFonts w:ascii="Arial" w:eastAsia="Arial" w:hAnsi="Arial" w:cs="Arial"/>
          <w:sz w:val="20"/>
          <w:szCs w:val="20"/>
        </w:rPr>
        <w:t xml:space="preserve"> Familiar </w:t>
      </w:r>
      <w:proofErr w:type="spellStart"/>
      <w:r>
        <w:rPr>
          <w:rFonts w:ascii="Arial" w:eastAsia="Arial" w:hAnsi="Arial" w:cs="Arial"/>
          <w:sz w:val="20"/>
          <w:szCs w:val="20"/>
        </w:rPr>
        <w:t>Quotations</w:t>
      </w:r>
      <w:proofErr w:type="spellEnd"/>
      <w:r>
        <w:rPr>
          <w:rFonts w:ascii="Arial" w:eastAsia="Arial" w:hAnsi="Arial" w:cs="Arial"/>
          <w:sz w:val="20"/>
          <w:szCs w:val="20"/>
        </w:rPr>
        <w:t xml:space="preserve">, 10ª </w:t>
      </w:r>
      <w:proofErr w:type="spellStart"/>
      <w:proofErr w:type="gramStart"/>
      <w:r>
        <w:rPr>
          <w:rFonts w:ascii="Arial" w:eastAsia="Arial" w:hAnsi="Arial" w:cs="Arial"/>
          <w:sz w:val="20"/>
          <w:szCs w:val="20"/>
        </w:rPr>
        <w:t>edição.Boston</w:t>
      </w:r>
      <w:proofErr w:type="spellEnd"/>
      <w:proofErr w:type="gramEnd"/>
      <w:r>
        <w:rPr>
          <w:rFonts w:ascii="Arial" w:eastAsia="Arial" w:hAnsi="Arial" w:cs="Arial"/>
          <w:sz w:val="20"/>
          <w:szCs w:val="20"/>
        </w:rPr>
        <w:t xml:space="preserve">: Little, Brown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Company</w:t>
      </w:r>
      <w:proofErr w:type="spellEnd"/>
      <w:r>
        <w:rPr>
          <w:rFonts w:ascii="Arial" w:eastAsia="Arial" w:hAnsi="Arial" w:cs="Arial"/>
          <w:sz w:val="20"/>
          <w:szCs w:val="20"/>
        </w:rPr>
        <w:t>, 1919.</w:t>
      </w:r>
    </w:p>
  </w:footnote>
  <w:footnote w:id="24">
    <w:p w14:paraId="53345F8B" w14:textId="77777777" w:rsidR="00E55A12" w:rsidRDefault="00E55A12" w:rsidP="00E55A12">
      <w:pPr>
        <w:rPr>
          <w:sz w:val="20"/>
          <w:szCs w:val="20"/>
        </w:rPr>
      </w:pPr>
      <w:r>
        <w:rPr>
          <w:vertAlign w:val="superscript"/>
        </w:rPr>
        <w:footnoteRef/>
      </w:r>
      <w:r>
        <w:rPr>
          <w:sz w:val="20"/>
          <w:szCs w:val="20"/>
        </w:rPr>
        <w:t xml:space="preserve"> </w:t>
      </w:r>
      <w:proofErr w:type="spellStart"/>
      <w:r>
        <w:rPr>
          <w:sz w:val="20"/>
          <w:szCs w:val="20"/>
        </w:rPr>
        <w:t>Schattschneider</w:t>
      </w:r>
      <w:proofErr w:type="spellEnd"/>
      <w:r>
        <w:rPr>
          <w:sz w:val="20"/>
          <w:szCs w:val="20"/>
        </w:rPr>
        <w:t xml:space="preserve">, Elmer E. The </w:t>
      </w:r>
      <w:proofErr w:type="spellStart"/>
      <w:r>
        <w:rPr>
          <w:sz w:val="20"/>
          <w:szCs w:val="20"/>
        </w:rPr>
        <w:t>Semisovereign</w:t>
      </w:r>
      <w:proofErr w:type="spellEnd"/>
      <w:r>
        <w:rPr>
          <w:sz w:val="20"/>
          <w:szCs w:val="20"/>
        </w:rPr>
        <w:t xml:space="preserve"> People: A </w:t>
      </w:r>
      <w:proofErr w:type="spellStart"/>
      <w:r>
        <w:rPr>
          <w:sz w:val="20"/>
          <w:szCs w:val="20"/>
        </w:rPr>
        <w:t>Realist's</w:t>
      </w:r>
      <w:proofErr w:type="spellEnd"/>
      <w:r>
        <w:rPr>
          <w:sz w:val="20"/>
          <w:szCs w:val="20"/>
        </w:rPr>
        <w:t xml:space="preserve"> </w:t>
      </w:r>
      <w:proofErr w:type="spellStart"/>
      <w:r>
        <w:rPr>
          <w:sz w:val="20"/>
          <w:szCs w:val="20"/>
        </w:rPr>
        <w:t>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Democracy</w:t>
      </w:r>
      <w:proofErr w:type="spellEnd"/>
      <w:r>
        <w:rPr>
          <w:sz w:val="20"/>
          <w:szCs w:val="20"/>
        </w:rPr>
        <w:t xml:space="preserve"> in </w:t>
      </w:r>
      <w:proofErr w:type="spellStart"/>
      <w:r>
        <w:rPr>
          <w:sz w:val="20"/>
          <w:szCs w:val="20"/>
        </w:rPr>
        <w:t>America.Nova</w:t>
      </w:r>
      <w:proofErr w:type="spellEnd"/>
      <w:r>
        <w:rPr>
          <w:sz w:val="20"/>
          <w:szCs w:val="20"/>
        </w:rPr>
        <w:t xml:space="preserve"> York: Holt, </w:t>
      </w:r>
      <w:proofErr w:type="spellStart"/>
      <w:r>
        <w:rPr>
          <w:sz w:val="20"/>
          <w:szCs w:val="20"/>
        </w:rPr>
        <w:t>Rinehart</w:t>
      </w:r>
      <w:proofErr w:type="spellEnd"/>
      <w:r>
        <w:rPr>
          <w:sz w:val="20"/>
          <w:szCs w:val="20"/>
        </w:rPr>
        <w:t xml:space="preserve"> </w:t>
      </w:r>
      <w:proofErr w:type="spellStart"/>
      <w:r>
        <w:rPr>
          <w:sz w:val="20"/>
          <w:szCs w:val="20"/>
        </w:rPr>
        <w:t>and</w:t>
      </w:r>
      <w:proofErr w:type="spellEnd"/>
      <w:r>
        <w:rPr>
          <w:sz w:val="20"/>
          <w:szCs w:val="20"/>
        </w:rPr>
        <w:t xml:space="preserve"> Winston, 1960.</w:t>
      </w:r>
    </w:p>
  </w:footnote>
  <w:footnote w:id="25">
    <w:p w14:paraId="1B423A7B"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FRIEDMAN, Milton. </w:t>
      </w:r>
      <w:r>
        <w:rPr>
          <w:i/>
          <w:color w:val="000000"/>
          <w:sz w:val="20"/>
          <w:szCs w:val="20"/>
        </w:rPr>
        <w:t>Capitalismo e Liberdade</w:t>
      </w:r>
      <w:r>
        <w:rPr>
          <w:color w:val="000000"/>
          <w:sz w:val="20"/>
          <w:szCs w:val="20"/>
        </w:rPr>
        <w:t>. 1962.</w:t>
      </w:r>
    </w:p>
  </w:footnote>
  <w:footnote w:id="26">
    <w:p w14:paraId="56CA3223"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MADISON, James. </w:t>
      </w:r>
      <w:r>
        <w:rPr>
          <w:i/>
          <w:color w:val="000000"/>
          <w:sz w:val="20"/>
          <w:szCs w:val="20"/>
        </w:rPr>
        <w:t>O Federalista</w:t>
      </w:r>
      <w:r>
        <w:rPr>
          <w:color w:val="000000"/>
          <w:sz w:val="20"/>
          <w:szCs w:val="20"/>
        </w:rPr>
        <w:t>. nº 10. Tradução de Júlio de Oliveira. São Paulo: Nova Fronteira, 1995.</w:t>
      </w:r>
    </w:p>
  </w:footnote>
  <w:footnote w:id="27">
    <w:p w14:paraId="25F23E0F" w14:textId="77777777" w:rsidR="00E55A12" w:rsidRDefault="00E55A12" w:rsidP="00E55A12">
      <w:pPr>
        <w:rPr>
          <w:sz w:val="20"/>
          <w:szCs w:val="20"/>
        </w:rPr>
      </w:pPr>
      <w:r>
        <w:rPr>
          <w:vertAlign w:val="superscript"/>
        </w:rPr>
        <w:footnoteRef/>
      </w:r>
      <w:r>
        <w:rPr>
          <w:sz w:val="20"/>
          <w:szCs w:val="20"/>
        </w:rPr>
        <w:t xml:space="preserve"> JUNG, Carl G. Memories, Dreams, </w:t>
      </w:r>
      <w:proofErr w:type="spellStart"/>
      <w:r>
        <w:rPr>
          <w:sz w:val="20"/>
          <w:szCs w:val="20"/>
        </w:rPr>
        <w:t>Reflections</w:t>
      </w:r>
      <w:proofErr w:type="spellEnd"/>
      <w:r>
        <w:rPr>
          <w:sz w:val="20"/>
          <w:szCs w:val="20"/>
        </w:rPr>
        <w:t xml:space="preserve">. </w:t>
      </w:r>
      <w:proofErr w:type="spellStart"/>
      <w:r>
        <w:rPr>
          <w:sz w:val="20"/>
          <w:szCs w:val="20"/>
        </w:rPr>
        <w:t>Recorded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edited</w:t>
      </w:r>
      <w:proofErr w:type="spellEnd"/>
      <w:r>
        <w:rPr>
          <w:sz w:val="20"/>
          <w:szCs w:val="20"/>
        </w:rPr>
        <w:t xml:space="preserve"> </w:t>
      </w:r>
      <w:proofErr w:type="spellStart"/>
      <w:r>
        <w:rPr>
          <w:sz w:val="20"/>
          <w:szCs w:val="20"/>
        </w:rPr>
        <w:t>by</w:t>
      </w:r>
      <w:proofErr w:type="spellEnd"/>
      <w:r>
        <w:rPr>
          <w:sz w:val="20"/>
          <w:szCs w:val="20"/>
        </w:rPr>
        <w:t xml:space="preserve"> Aniela Jaffé. Nova York: Vintage Books, 1989.</w:t>
      </w:r>
    </w:p>
  </w:footnote>
  <w:footnote w:id="28">
    <w:p w14:paraId="59439B04"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 JR., Martin Luther.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from</w:t>
      </w:r>
      <w:proofErr w:type="spellEnd"/>
      <w:r>
        <w:rPr>
          <w:i/>
          <w:color w:val="000000"/>
          <w:sz w:val="20"/>
          <w:szCs w:val="20"/>
        </w:rPr>
        <w:t xml:space="preserve"> Birmingham </w:t>
      </w:r>
      <w:proofErr w:type="spellStart"/>
      <w:r>
        <w:rPr>
          <w:i/>
          <w:color w:val="000000"/>
          <w:sz w:val="20"/>
          <w:szCs w:val="20"/>
        </w:rPr>
        <w:t>Jail</w:t>
      </w:r>
      <w:proofErr w:type="spellEnd"/>
      <w:r>
        <w:rPr>
          <w:color w:val="000000"/>
          <w:sz w:val="20"/>
          <w:szCs w:val="20"/>
        </w:rPr>
        <w:t>. 1963.</w:t>
      </w:r>
    </w:p>
  </w:footnote>
  <w:footnote w:id="29">
    <w:p w14:paraId="119ED2EE" w14:textId="77777777" w:rsidR="00E55A12" w:rsidRDefault="00E55A12" w:rsidP="00E55A12">
      <w:pPr>
        <w:rPr>
          <w:sz w:val="20"/>
          <w:szCs w:val="20"/>
        </w:rPr>
      </w:pPr>
      <w:r>
        <w:rPr>
          <w:vertAlign w:val="superscript"/>
        </w:rPr>
        <w:footnoteRef/>
      </w:r>
      <w:r>
        <w:rPr>
          <w:sz w:val="20"/>
          <w:szCs w:val="20"/>
        </w:rPr>
        <w:t xml:space="preserve"> MILL, John Stuart. </w:t>
      </w:r>
      <w:proofErr w:type="spellStart"/>
      <w:r>
        <w:rPr>
          <w:sz w:val="20"/>
          <w:szCs w:val="20"/>
        </w:rPr>
        <w:t>On</w:t>
      </w:r>
      <w:proofErr w:type="spellEnd"/>
      <w:r>
        <w:rPr>
          <w:sz w:val="20"/>
          <w:szCs w:val="20"/>
        </w:rPr>
        <w:t xml:space="preserve"> </w:t>
      </w:r>
      <w:proofErr w:type="spellStart"/>
      <w:r>
        <w:rPr>
          <w:sz w:val="20"/>
          <w:szCs w:val="20"/>
        </w:rPr>
        <w:t>Liberty</w:t>
      </w:r>
      <w:proofErr w:type="spellEnd"/>
      <w:r>
        <w:rPr>
          <w:sz w:val="20"/>
          <w:szCs w:val="20"/>
        </w:rPr>
        <w:t xml:space="preserve">. London: </w:t>
      </w:r>
      <w:proofErr w:type="spellStart"/>
      <w:r>
        <w:rPr>
          <w:sz w:val="20"/>
          <w:szCs w:val="20"/>
        </w:rPr>
        <w:t>Longmans</w:t>
      </w:r>
      <w:proofErr w:type="spellEnd"/>
      <w:r>
        <w:rPr>
          <w:sz w:val="20"/>
          <w:szCs w:val="20"/>
        </w:rPr>
        <w:t xml:space="preserve">, Green, Reader </w:t>
      </w:r>
      <w:proofErr w:type="spellStart"/>
      <w:r>
        <w:rPr>
          <w:sz w:val="20"/>
          <w:szCs w:val="20"/>
        </w:rPr>
        <w:t>And</w:t>
      </w:r>
      <w:proofErr w:type="spellEnd"/>
      <w:r>
        <w:rPr>
          <w:sz w:val="20"/>
          <w:szCs w:val="20"/>
        </w:rPr>
        <w:t xml:space="preserve"> Dyer, 1859.</w:t>
      </w:r>
    </w:p>
  </w:footnote>
  <w:footnote w:id="30">
    <w:p w14:paraId="150EAC36" w14:textId="77777777" w:rsidR="00E55A12" w:rsidRDefault="00E55A12" w:rsidP="00E55A12">
      <w:pPr>
        <w:rPr>
          <w:sz w:val="20"/>
          <w:szCs w:val="20"/>
        </w:rPr>
      </w:pPr>
      <w:r>
        <w:rPr>
          <w:vertAlign w:val="superscript"/>
        </w:rPr>
        <w:footnoteRef/>
      </w:r>
      <w:r>
        <w:rPr>
          <w:sz w:val="20"/>
          <w:szCs w:val="20"/>
        </w:rPr>
        <w:t xml:space="preserve"> FREUD, Sigmund. O Futuro de uma Ilusão, 1927.</w:t>
      </w:r>
    </w:p>
  </w:footnote>
  <w:footnote w:id="31">
    <w:p w14:paraId="6EF14C7C"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FROMM, Erich. </w:t>
      </w:r>
      <w:r>
        <w:rPr>
          <w:i/>
          <w:color w:val="000000"/>
          <w:sz w:val="20"/>
          <w:szCs w:val="20"/>
        </w:rPr>
        <w:t>O Medo à Liberdade</w:t>
      </w:r>
      <w:r>
        <w:rPr>
          <w:color w:val="000000"/>
          <w:sz w:val="20"/>
          <w:szCs w:val="20"/>
        </w:rPr>
        <w:t>. 1941.</w:t>
      </w:r>
    </w:p>
  </w:footnote>
  <w:footnote w:id="32">
    <w:p w14:paraId="3A102C14" w14:textId="77777777" w:rsidR="00E55A12" w:rsidRDefault="00E55A12" w:rsidP="00E55A12">
      <w:pPr>
        <w:rPr>
          <w:sz w:val="20"/>
          <w:szCs w:val="20"/>
        </w:rPr>
      </w:pPr>
      <w:r>
        <w:rPr>
          <w:vertAlign w:val="superscript"/>
        </w:rPr>
        <w:footnoteRef/>
      </w:r>
      <w:r>
        <w:rPr>
          <w:sz w:val="20"/>
          <w:szCs w:val="20"/>
        </w:rPr>
        <w:t xml:space="preserve"> MILL, John Stuart. </w:t>
      </w:r>
      <w:proofErr w:type="spellStart"/>
      <w:r>
        <w:rPr>
          <w:sz w:val="20"/>
          <w:szCs w:val="20"/>
        </w:rPr>
        <w:t>On</w:t>
      </w:r>
      <w:proofErr w:type="spellEnd"/>
      <w:r>
        <w:rPr>
          <w:sz w:val="20"/>
          <w:szCs w:val="20"/>
        </w:rPr>
        <w:t xml:space="preserve"> </w:t>
      </w:r>
      <w:proofErr w:type="spellStart"/>
      <w:r>
        <w:rPr>
          <w:sz w:val="20"/>
          <w:szCs w:val="20"/>
        </w:rPr>
        <w:t>Liberty</w:t>
      </w:r>
      <w:proofErr w:type="spellEnd"/>
      <w:r>
        <w:rPr>
          <w:sz w:val="20"/>
          <w:szCs w:val="20"/>
        </w:rPr>
        <w:t xml:space="preserve">. London: </w:t>
      </w:r>
      <w:proofErr w:type="spellStart"/>
      <w:r>
        <w:rPr>
          <w:sz w:val="20"/>
          <w:szCs w:val="20"/>
        </w:rPr>
        <w:t>Longmans</w:t>
      </w:r>
      <w:proofErr w:type="spellEnd"/>
      <w:r>
        <w:rPr>
          <w:sz w:val="20"/>
          <w:szCs w:val="20"/>
        </w:rPr>
        <w:t xml:space="preserve">, Green, Reader </w:t>
      </w:r>
      <w:proofErr w:type="spellStart"/>
      <w:r>
        <w:rPr>
          <w:sz w:val="20"/>
          <w:szCs w:val="20"/>
        </w:rPr>
        <w:t>And</w:t>
      </w:r>
      <w:proofErr w:type="spellEnd"/>
      <w:r>
        <w:rPr>
          <w:sz w:val="20"/>
          <w:szCs w:val="20"/>
        </w:rPr>
        <w:t xml:space="preserve"> Dyer, 1859.</w:t>
      </w:r>
    </w:p>
  </w:footnote>
  <w:footnote w:id="33">
    <w:p w14:paraId="1977DED9" w14:textId="77777777" w:rsidR="00E55A12" w:rsidRDefault="00E55A12" w:rsidP="00E55A12">
      <w:pPr>
        <w:rPr>
          <w:sz w:val="20"/>
          <w:szCs w:val="20"/>
        </w:rPr>
      </w:pPr>
      <w:r>
        <w:rPr>
          <w:vertAlign w:val="superscript"/>
        </w:rPr>
        <w:footnoteRef/>
      </w:r>
      <w:r>
        <w:rPr>
          <w:sz w:val="20"/>
          <w:szCs w:val="20"/>
        </w:rPr>
        <w:t xml:space="preserve"> DESINFORMANTE. Falta de transparência nutre desinformação e afeta checagem, 2023. Disponível em: &lt;</w:t>
      </w:r>
      <w:hyperlink r:id="rId1">
        <w:r>
          <w:rPr>
            <w:color w:val="1155CC"/>
            <w:sz w:val="20"/>
            <w:szCs w:val="20"/>
            <w:u w:val="single"/>
          </w:rPr>
          <w:t>https://desinformante.com.br/transparencia-publica-desinformacao-checagem/</w:t>
        </w:r>
      </w:hyperlink>
      <w:r>
        <w:rPr>
          <w:sz w:val="20"/>
          <w:szCs w:val="20"/>
        </w:rPr>
        <w:t>&gt;Acesso em: 18 dez. 2024.</w:t>
      </w:r>
    </w:p>
  </w:footnote>
  <w:footnote w:id="34">
    <w:p w14:paraId="26ACEDAC"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FRANKL, Viktor. </w:t>
      </w:r>
      <w:r>
        <w:rPr>
          <w:i/>
          <w:color w:val="000000"/>
          <w:sz w:val="20"/>
          <w:szCs w:val="20"/>
        </w:rPr>
        <w:t>Em Busca de Sentido</w:t>
      </w:r>
      <w:r>
        <w:rPr>
          <w:color w:val="000000"/>
          <w:sz w:val="20"/>
          <w:szCs w:val="20"/>
        </w:rPr>
        <w:t>. 1946.</w:t>
      </w:r>
    </w:p>
  </w:footnote>
  <w:footnote w:id="35">
    <w:p w14:paraId="532693DC"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 </w:t>
      </w:r>
      <w:r>
        <w:rPr>
          <w:i/>
          <w:color w:val="000000"/>
          <w:sz w:val="20"/>
          <w:szCs w:val="20"/>
        </w:rPr>
        <w:t>A condição humana</w:t>
      </w:r>
      <w:r>
        <w:rPr>
          <w:color w:val="000000"/>
          <w:sz w:val="20"/>
          <w:szCs w:val="20"/>
        </w:rPr>
        <w:t>. Trad. de Roberto Raposo. 10. ed. Rio de Janeiro: Forense Universitária, 2015.</w:t>
      </w:r>
    </w:p>
  </w:footnote>
  <w:footnote w:id="36">
    <w:p w14:paraId="0A03377E"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ACTON, </w:t>
      </w:r>
      <w:proofErr w:type="spellStart"/>
      <w:r>
        <w:rPr>
          <w:color w:val="000000"/>
          <w:sz w:val="20"/>
          <w:szCs w:val="20"/>
        </w:rPr>
        <w:t>Lord</w:t>
      </w:r>
      <w:proofErr w:type="spellEnd"/>
      <w:r>
        <w:rPr>
          <w:color w:val="000000"/>
          <w:sz w:val="20"/>
          <w:szCs w:val="20"/>
        </w:rPr>
        <w:t xml:space="preserve">.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Bishop </w:t>
      </w:r>
      <w:proofErr w:type="spellStart"/>
      <w:r>
        <w:rPr>
          <w:i/>
          <w:color w:val="000000"/>
          <w:sz w:val="20"/>
          <w:szCs w:val="20"/>
        </w:rPr>
        <w:t>Mandell</w:t>
      </w:r>
      <w:proofErr w:type="spellEnd"/>
      <w:r>
        <w:rPr>
          <w:i/>
          <w:color w:val="000000"/>
          <w:sz w:val="20"/>
          <w:szCs w:val="20"/>
        </w:rPr>
        <w:t xml:space="preserve"> </w:t>
      </w:r>
      <w:proofErr w:type="spellStart"/>
      <w:r>
        <w:rPr>
          <w:i/>
          <w:color w:val="000000"/>
          <w:sz w:val="20"/>
          <w:szCs w:val="20"/>
        </w:rPr>
        <w:t>Creighton</w:t>
      </w:r>
      <w:proofErr w:type="spellEnd"/>
      <w:r>
        <w:rPr>
          <w:color w:val="000000"/>
          <w:sz w:val="20"/>
          <w:szCs w:val="20"/>
        </w:rPr>
        <w:t>. 1887.</w:t>
      </w:r>
    </w:p>
  </w:footnote>
  <w:footnote w:id="37">
    <w:p w14:paraId="387484B6" w14:textId="77777777" w:rsidR="00E55A12" w:rsidRDefault="00E55A12" w:rsidP="00E55A12">
      <w:pPr>
        <w:rPr>
          <w:sz w:val="20"/>
          <w:szCs w:val="20"/>
        </w:rPr>
      </w:pPr>
      <w:r>
        <w:rPr>
          <w:vertAlign w:val="superscript"/>
        </w:rPr>
        <w:footnoteRef/>
      </w:r>
      <w:r>
        <w:rPr>
          <w:sz w:val="20"/>
          <w:szCs w:val="20"/>
        </w:rPr>
        <w:t xml:space="preserve"> JUNG, Carl G. Memories, Dreams, </w:t>
      </w:r>
      <w:proofErr w:type="spellStart"/>
      <w:r>
        <w:rPr>
          <w:sz w:val="20"/>
          <w:szCs w:val="20"/>
        </w:rPr>
        <w:t>Reflections</w:t>
      </w:r>
      <w:proofErr w:type="spellEnd"/>
      <w:r>
        <w:rPr>
          <w:sz w:val="20"/>
          <w:szCs w:val="20"/>
        </w:rPr>
        <w:t xml:space="preserve">. </w:t>
      </w:r>
      <w:proofErr w:type="spellStart"/>
      <w:r>
        <w:rPr>
          <w:sz w:val="20"/>
          <w:szCs w:val="20"/>
        </w:rPr>
        <w:t>Recorded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edited</w:t>
      </w:r>
      <w:proofErr w:type="spellEnd"/>
      <w:r>
        <w:rPr>
          <w:sz w:val="20"/>
          <w:szCs w:val="20"/>
        </w:rPr>
        <w:t xml:space="preserve"> </w:t>
      </w:r>
      <w:proofErr w:type="spellStart"/>
      <w:r>
        <w:rPr>
          <w:sz w:val="20"/>
          <w:szCs w:val="20"/>
        </w:rPr>
        <w:t>by</w:t>
      </w:r>
      <w:proofErr w:type="spellEnd"/>
      <w:r>
        <w:rPr>
          <w:sz w:val="20"/>
          <w:szCs w:val="20"/>
        </w:rPr>
        <w:t xml:space="preserve"> Aniela Jaffé. Nova York: Vintage Books, 1989.</w:t>
      </w:r>
    </w:p>
  </w:footnote>
  <w:footnote w:id="38">
    <w:p w14:paraId="69140CD6"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39">
    <w:p w14:paraId="413D5BF6" w14:textId="77777777" w:rsidR="00E55A12" w:rsidRDefault="00E55A12" w:rsidP="00E55A12">
      <w:pPr>
        <w:rPr>
          <w:sz w:val="20"/>
          <w:szCs w:val="20"/>
        </w:rPr>
      </w:pPr>
      <w:r>
        <w:rPr>
          <w:vertAlign w:val="superscript"/>
        </w:rPr>
        <w:footnoteRef/>
      </w:r>
      <w:r>
        <w:rPr>
          <w:sz w:val="20"/>
          <w:szCs w:val="20"/>
        </w:rPr>
        <w:t xml:space="preserve"> FROMM, Erich. O Medo à Liberdade. Rio de Janeiro: Zahar Editores, 1983.</w:t>
      </w:r>
    </w:p>
  </w:footnote>
  <w:footnote w:id="40">
    <w:p w14:paraId="69FDCD9F"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FRANKL, Viktor. </w:t>
      </w:r>
      <w:r>
        <w:rPr>
          <w:i/>
          <w:color w:val="000000"/>
          <w:sz w:val="20"/>
          <w:szCs w:val="20"/>
        </w:rPr>
        <w:t>Em Busca de Sentido</w:t>
      </w:r>
      <w:r>
        <w:rPr>
          <w:color w:val="000000"/>
          <w:sz w:val="20"/>
          <w:szCs w:val="20"/>
        </w:rPr>
        <w:t>. 1946.</w:t>
      </w:r>
    </w:p>
  </w:footnote>
  <w:footnote w:id="41">
    <w:p w14:paraId="48C6441F"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 JR., Martin Luther. </w:t>
      </w:r>
      <w:proofErr w:type="spellStart"/>
      <w:r>
        <w:rPr>
          <w:i/>
          <w:color w:val="000000"/>
          <w:sz w:val="20"/>
          <w:szCs w:val="20"/>
        </w:rPr>
        <w:t>Keep</w:t>
      </w:r>
      <w:proofErr w:type="spellEnd"/>
      <w:r>
        <w:rPr>
          <w:i/>
          <w:color w:val="000000"/>
          <w:sz w:val="20"/>
          <w:szCs w:val="20"/>
        </w:rPr>
        <w:t xml:space="preserve"> Moving </w:t>
      </w:r>
      <w:proofErr w:type="spellStart"/>
      <w:r>
        <w:rPr>
          <w:i/>
          <w:color w:val="000000"/>
          <w:sz w:val="20"/>
          <w:szCs w:val="20"/>
        </w:rPr>
        <w:t>from</w:t>
      </w:r>
      <w:proofErr w:type="spellEnd"/>
      <w:r>
        <w:rPr>
          <w:i/>
          <w:color w:val="000000"/>
          <w:sz w:val="20"/>
          <w:szCs w:val="20"/>
        </w:rPr>
        <w:t xml:space="preserve"> </w:t>
      </w:r>
      <w:proofErr w:type="spellStart"/>
      <w:r>
        <w:rPr>
          <w:i/>
          <w:color w:val="000000"/>
          <w:sz w:val="20"/>
          <w:szCs w:val="20"/>
        </w:rPr>
        <w:t>This</w:t>
      </w:r>
      <w:proofErr w:type="spellEnd"/>
      <w:r>
        <w:rPr>
          <w:i/>
          <w:color w:val="000000"/>
          <w:sz w:val="20"/>
          <w:szCs w:val="20"/>
        </w:rPr>
        <w:t xml:space="preserve"> Mountain</w:t>
      </w:r>
      <w:r>
        <w:rPr>
          <w:color w:val="000000"/>
          <w:sz w:val="20"/>
          <w:szCs w:val="20"/>
        </w:rPr>
        <w:t>, 1965.</w:t>
      </w:r>
    </w:p>
  </w:footnote>
  <w:footnote w:id="42">
    <w:p w14:paraId="793040A9"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TOCQUEVILLE, Alexis de. </w:t>
      </w:r>
      <w:r>
        <w:rPr>
          <w:i/>
          <w:color w:val="000000"/>
          <w:sz w:val="20"/>
          <w:szCs w:val="20"/>
        </w:rPr>
        <w:t>Democracia na América</w:t>
      </w:r>
      <w:r>
        <w:rPr>
          <w:color w:val="000000"/>
          <w:sz w:val="20"/>
          <w:szCs w:val="20"/>
        </w:rPr>
        <w:t>. Livro I, Capítulo XV.</w:t>
      </w:r>
    </w:p>
  </w:footnote>
  <w:footnote w:id="43">
    <w:p w14:paraId="4B2D86B5"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LEWIN, Kurt. </w:t>
      </w:r>
      <w:proofErr w:type="spellStart"/>
      <w:r>
        <w:rPr>
          <w:color w:val="000000"/>
          <w:sz w:val="20"/>
          <w:szCs w:val="20"/>
        </w:rPr>
        <w:t>Psychology</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process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group</w:t>
      </w:r>
      <w:proofErr w:type="spellEnd"/>
      <w:r>
        <w:rPr>
          <w:color w:val="000000"/>
          <w:sz w:val="20"/>
          <w:szCs w:val="20"/>
        </w:rPr>
        <w:t xml:space="preserve"> living. </w:t>
      </w:r>
      <w:proofErr w:type="spellStart"/>
      <w:r>
        <w:rPr>
          <w:i/>
          <w:color w:val="000000"/>
          <w:sz w:val="20"/>
          <w:szCs w:val="20"/>
        </w:rPr>
        <w:t>Journal</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Social </w:t>
      </w:r>
      <w:proofErr w:type="spellStart"/>
      <w:r>
        <w:rPr>
          <w:i/>
          <w:color w:val="000000"/>
          <w:sz w:val="20"/>
          <w:szCs w:val="20"/>
        </w:rPr>
        <w:t>Issues</w:t>
      </w:r>
      <w:proofErr w:type="spellEnd"/>
      <w:r>
        <w:rPr>
          <w:color w:val="000000"/>
          <w:sz w:val="20"/>
          <w:szCs w:val="20"/>
        </w:rPr>
        <w:t>, v. 1, n. 1, 1943.</w:t>
      </w:r>
    </w:p>
  </w:footnote>
  <w:footnote w:id="44">
    <w:p w14:paraId="2C95BC93"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45">
    <w:p w14:paraId="07701FAF"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LASSWELL, Harold. </w:t>
      </w:r>
      <w:proofErr w:type="spellStart"/>
      <w:r>
        <w:rPr>
          <w:i/>
          <w:color w:val="000000"/>
          <w:sz w:val="20"/>
          <w:szCs w:val="20"/>
        </w:rPr>
        <w:t>Politics</w:t>
      </w:r>
      <w:proofErr w:type="spellEnd"/>
      <w:r>
        <w:rPr>
          <w:i/>
          <w:color w:val="000000"/>
          <w:sz w:val="20"/>
          <w:szCs w:val="20"/>
        </w:rPr>
        <w:t xml:space="preserve">: Who </w:t>
      </w:r>
      <w:proofErr w:type="spellStart"/>
      <w:r>
        <w:rPr>
          <w:i/>
          <w:color w:val="000000"/>
          <w:sz w:val="20"/>
          <w:szCs w:val="20"/>
        </w:rPr>
        <w:t>Gets</w:t>
      </w:r>
      <w:proofErr w:type="spellEnd"/>
      <w:r>
        <w:rPr>
          <w:i/>
          <w:color w:val="000000"/>
          <w:sz w:val="20"/>
          <w:szCs w:val="20"/>
        </w:rPr>
        <w:t xml:space="preserve"> </w:t>
      </w:r>
      <w:proofErr w:type="spellStart"/>
      <w:r>
        <w:rPr>
          <w:i/>
          <w:color w:val="000000"/>
          <w:sz w:val="20"/>
          <w:szCs w:val="20"/>
        </w:rPr>
        <w:t>What</w:t>
      </w:r>
      <w:proofErr w:type="spellEnd"/>
      <w:r>
        <w:rPr>
          <w:i/>
          <w:color w:val="000000"/>
          <w:sz w:val="20"/>
          <w:szCs w:val="20"/>
        </w:rPr>
        <w:t xml:space="preserve">, When, </w:t>
      </w:r>
      <w:proofErr w:type="spellStart"/>
      <w:r>
        <w:rPr>
          <w:i/>
          <w:color w:val="000000"/>
          <w:sz w:val="20"/>
          <w:szCs w:val="20"/>
        </w:rPr>
        <w:t>How</w:t>
      </w:r>
      <w:proofErr w:type="spellEnd"/>
      <w:r>
        <w:rPr>
          <w:color w:val="000000"/>
          <w:sz w:val="20"/>
          <w:szCs w:val="20"/>
        </w:rPr>
        <w:t>. 1936.</w:t>
      </w:r>
    </w:p>
  </w:footnote>
  <w:footnote w:id="46">
    <w:p w14:paraId="737C2C9A"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MICHELS, Robert. </w:t>
      </w:r>
      <w:proofErr w:type="spellStart"/>
      <w:r>
        <w:rPr>
          <w:i/>
          <w:color w:val="000000"/>
          <w:sz w:val="20"/>
          <w:szCs w:val="20"/>
        </w:rPr>
        <w:t>Parties</w:t>
      </w:r>
      <w:proofErr w:type="spellEnd"/>
      <w:r>
        <w:rPr>
          <w:i/>
          <w:color w:val="000000"/>
          <w:sz w:val="20"/>
          <w:szCs w:val="20"/>
        </w:rPr>
        <w:t xml:space="preserve">: A </w:t>
      </w:r>
      <w:proofErr w:type="spellStart"/>
      <w:r>
        <w:rPr>
          <w:i/>
          <w:color w:val="000000"/>
          <w:sz w:val="20"/>
          <w:szCs w:val="20"/>
        </w:rPr>
        <w:t>Sociological</w:t>
      </w:r>
      <w:proofErr w:type="spellEnd"/>
      <w:r>
        <w:rPr>
          <w:i/>
          <w:color w:val="000000"/>
          <w:sz w:val="20"/>
          <w:szCs w:val="20"/>
        </w:rPr>
        <w:t xml:space="preserve"> </w:t>
      </w:r>
      <w:proofErr w:type="spellStart"/>
      <w:r>
        <w:rPr>
          <w:i/>
          <w:color w:val="000000"/>
          <w:sz w:val="20"/>
          <w:szCs w:val="20"/>
        </w:rPr>
        <w:t>Study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Organizations</w:t>
      </w:r>
      <w:proofErr w:type="spellEnd"/>
      <w:r>
        <w:rPr>
          <w:color w:val="000000"/>
          <w:sz w:val="20"/>
          <w:szCs w:val="20"/>
        </w:rPr>
        <w:t>. 1911.</w:t>
      </w:r>
    </w:p>
  </w:footnote>
  <w:footnote w:id="47">
    <w:p w14:paraId="7DC7FA57" w14:textId="77777777" w:rsidR="00E55A12" w:rsidRDefault="00E55A12" w:rsidP="00E55A12">
      <w:pPr>
        <w:rPr>
          <w:sz w:val="20"/>
          <w:szCs w:val="20"/>
        </w:rPr>
      </w:pPr>
      <w:r>
        <w:rPr>
          <w:vertAlign w:val="superscript"/>
        </w:rPr>
        <w:footnoteRef/>
      </w:r>
      <w:r>
        <w:rPr>
          <w:sz w:val="20"/>
          <w:szCs w:val="20"/>
        </w:rPr>
        <w:t xml:space="preserve"> ASCH, </w:t>
      </w:r>
      <w:proofErr w:type="spellStart"/>
      <w:r>
        <w:rPr>
          <w:sz w:val="20"/>
          <w:szCs w:val="20"/>
        </w:rPr>
        <w:t>Solomon</w:t>
      </w:r>
      <w:proofErr w:type="spellEnd"/>
      <w:r>
        <w:rPr>
          <w:sz w:val="20"/>
          <w:szCs w:val="20"/>
        </w:rPr>
        <w:t xml:space="preserve"> E. </w:t>
      </w:r>
      <w:proofErr w:type="spellStart"/>
      <w:r>
        <w:rPr>
          <w:sz w:val="20"/>
          <w:szCs w:val="20"/>
        </w:rPr>
        <w:t>Studies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independence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conformity</w:t>
      </w:r>
      <w:proofErr w:type="spellEnd"/>
      <w:r>
        <w:rPr>
          <w:sz w:val="20"/>
          <w:szCs w:val="20"/>
        </w:rPr>
        <w:t xml:space="preserve">: A </w:t>
      </w:r>
      <w:proofErr w:type="spellStart"/>
      <w:r>
        <w:rPr>
          <w:sz w:val="20"/>
          <w:szCs w:val="20"/>
        </w:rPr>
        <w:t>minority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against</w:t>
      </w:r>
      <w:proofErr w:type="spellEnd"/>
      <w:r>
        <w:rPr>
          <w:sz w:val="20"/>
          <w:szCs w:val="20"/>
        </w:rPr>
        <w:t xml:space="preserve"> a </w:t>
      </w:r>
      <w:proofErr w:type="spellStart"/>
      <w:r>
        <w:rPr>
          <w:sz w:val="20"/>
          <w:szCs w:val="20"/>
        </w:rPr>
        <w:t>unanimous</w:t>
      </w:r>
      <w:proofErr w:type="spellEnd"/>
      <w:r>
        <w:rPr>
          <w:sz w:val="20"/>
          <w:szCs w:val="20"/>
        </w:rPr>
        <w:t xml:space="preserve"> </w:t>
      </w:r>
      <w:proofErr w:type="spellStart"/>
      <w:r>
        <w:rPr>
          <w:sz w:val="20"/>
          <w:szCs w:val="20"/>
        </w:rPr>
        <w:t>majority</w:t>
      </w:r>
      <w:proofErr w:type="spellEnd"/>
      <w:r>
        <w:rPr>
          <w:sz w:val="20"/>
          <w:szCs w:val="20"/>
        </w:rPr>
        <w:t xml:space="preserve">. </w:t>
      </w:r>
      <w:proofErr w:type="spellStart"/>
      <w:r>
        <w:rPr>
          <w:sz w:val="20"/>
          <w:szCs w:val="20"/>
        </w:rPr>
        <w:t>Psychological</w:t>
      </w:r>
      <w:proofErr w:type="spellEnd"/>
      <w:r>
        <w:rPr>
          <w:sz w:val="20"/>
          <w:szCs w:val="20"/>
        </w:rPr>
        <w:t xml:space="preserve"> </w:t>
      </w:r>
      <w:proofErr w:type="spellStart"/>
      <w:r>
        <w:rPr>
          <w:sz w:val="20"/>
          <w:szCs w:val="20"/>
        </w:rPr>
        <w:t>Monographs</w:t>
      </w:r>
      <w:proofErr w:type="spellEnd"/>
      <w:r>
        <w:rPr>
          <w:sz w:val="20"/>
          <w:szCs w:val="20"/>
        </w:rPr>
        <w:t>, vol. 70, n. 9, 1956.</w:t>
      </w:r>
    </w:p>
  </w:footnote>
  <w:footnote w:id="48">
    <w:p w14:paraId="7BDBD91B" w14:textId="77777777" w:rsidR="00E55A12" w:rsidRDefault="00E55A12" w:rsidP="00E55A12">
      <w:pPr>
        <w:rPr>
          <w:sz w:val="20"/>
          <w:szCs w:val="20"/>
        </w:rPr>
      </w:pPr>
      <w:r>
        <w:rPr>
          <w:vertAlign w:val="superscript"/>
        </w:rPr>
        <w:footnoteRef/>
      </w:r>
      <w:r>
        <w:rPr>
          <w:sz w:val="20"/>
          <w:szCs w:val="20"/>
        </w:rPr>
        <w:t xml:space="preserve"> FOUCAULT, Michel. História da Sexualidade I: A Vontade de Saber. Rio de Janeiro: Edições Graal, 1988.</w:t>
      </w:r>
    </w:p>
  </w:footnote>
  <w:footnote w:id="49">
    <w:p w14:paraId="3C24EA9A"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CIALDINI, Robert. </w:t>
      </w:r>
      <w:proofErr w:type="spellStart"/>
      <w:r>
        <w:rPr>
          <w:i/>
          <w:color w:val="000000"/>
          <w:sz w:val="20"/>
          <w:szCs w:val="20"/>
        </w:rPr>
        <w:t>Influence</w:t>
      </w:r>
      <w:proofErr w:type="spellEnd"/>
      <w:r>
        <w:rPr>
          <w:i/>
          <w:color w:val="000000"/>
          <w:sz w:val="20"/>
          <w:szCs w:val="20"/>
        </w:rPr>
        <w:t xml:space="preserve">: The </w:t>
      </w:r>
      <w:proofErr w:type="spellStart"/>
      <w:r>
        <w:rPr>
          <w:i/>
          <w:color w:val="000000"/>
          <w:sz w:val="20"/>
          <w:szCs w:val="20"/>
        </w:rPr>
        <w:t>Psychology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Persuasion</w:t>
      </w:r>
      <w:proofErr w:type="spellEnd"/>
      <w:r>
        <w:rPr>
          <w:color w:val="000000"/>
          <w:sz w:val="20"/>
          <w:szCs w:val="20"/>
        </w:rPr>
        <w:t>. 1984.</w:t>
      </w:r>
    </w:p>
  </w:footnote>
  <w:footnote w:id="50">
    <w:p w14:paraId="6F48F148"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LEWIN, Kurt. </w:t>
      </w:r>
      <w:proofErr w:type="spellStart"/>
      <w:r>
        <w:rPr>
          <w:color w:val="000000"/>
          <w:sz w:val="20"/>
          <w:szCs w:val="20"/>
        </w:rPr>
        <w:t>Psychology</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process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group</w:t>
      </w:r>
      <w:proofErr w:type="spellEnd"/>
      <w:r>
        <w:rPr>
          <w:color w:val="000000"/>
          <w:sz w:val="20"/>
          <w:szCs w:val="20"/>
        </w:rPr>
        <w:t xml:space="preserve"> living. </w:t>
      </w:r>
      <w:proofErr w:type="spellStart"/>
      <w:r>
        <w:rPr>
          <w:i/>
          <w:color w:val="000000"/>
          <w:sz w:val="20"/>
          <w:szCs w:val="20"/>
        </w:rPr>
        <w:t>Journal</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Social </w:t>
      </w:r>
      <w:proofErr w:type="spellStart"/>
      <w:r>
        <w:rPr>
          <w:i/>
          <w:color w:val="000000"/>
          <w:sz w:val="20"/>
          <w:szCs w:val="20"/>
        </w:rPr>
        <w:t>Issues</w:t>
      </w:r>
      <w:proofErr w:type="spellEnd"/>
      <w:r>
        <w:rPr>
          <w:color w:val="000000"/>
          <w:sz w:val="20"/>
          <w:szCs w:val="20"/>
        </w:rPr>
        <w:t>, v. 1, n. 1, 1943.</w:t>
      </w:r>
    </w:p>
  </w:footnote>
  <w:footnote w:id="51">
    <w:p w14:paraId="5C5D411A"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KAHNEMAN, Daniel. </w:t>
      </w:r>
      <w:proofErr w:type="spellStart"/>
      <w:r>
        <w:rPr>
          <w:i/>
          <w:color w:val="000000"/>
          <w:sz w:val="20"/>
          <w:szCs w:val="20"/>
        </w:rPr>
        <w:t>Thinking</w:t>
      </w:r>
      <w:proofErr w:type="spellEnd"/>
      <w:r>
        <w:rPr>
          <w:i/>
          <w:color w:val="000000"/>
          <w:sz w:val="20"/>
          <w:szCs w:val="20"/>
        </w:rPr>
        <w:t xml:space="preserve">, Fast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Slow</w:t>
      </w:r>
      <w:proofErr w:type="spellEnd"/>
      <w:r>
        <w:rPr>
          <w:color w:val="000000"/>
          <w:sz w:val="20"/>
          <w:szCs w:val="20"/>
        </w:rPr>
        <w:t>. 2011.</w:t>
      </w:r>
    </w:p>
  </w:footnote>
  <w:footnote w:id="52">
    <w:p w14:paraId="00977C82"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SCHEIN, Edgar. </w:t>
      </w:r>
      <w:proofErr w:type="spellStart"/>
      <w:r>
        <w:rPr>
          <w:i/>
          <w:color w:val="000000"/>
          <w:sz w:val="20"/>
          <w:szCs w:val="20"/>
        </w:rPr>
        <w:t>Organizational</w:t>
      </w:r>
      <w:proofErr w:type="spellEnd"/>
      <w:r>
        <w:rPr>
          <w:i/>
          <w:color w:val="000000"/>
          <w:sz w:val="20"/>
          <w:szCs w:val="20"/>
        </w:rPr>
        <w:t xml:space="preserve"> Culture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Leadership</w:t>
      </w:r>
      <w:proofErr w:type="spellEnd"/>
      <w:r>
        <w:rPr>
          <w:color w:val="000000"/>
          <w:sz w:val="20"/>
          <w:szCs w:val="20"/>
        </w:rPr>
        <w:t>. 1985.</w:t>
      </w:r>
    </w:p>
  </w:footnote>
  <w:footnote w:id="53">
    <w:p w14:paraId="4E903695"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Manuel. </w:t>
      </w:r>
      <w:r>
        <w:rPr>
          <w:i/>
          <w:color w:val="000000"/>
          <w:sz w:val="20"/>
          <w:szCs w:val="20"/>
        </w:rPr>
        <w:t>A Sociedade em Rede</w:t>
      </w:r>
      <w:r>
        <w:rPr>
          <w:color w:val="000000"/>
          <w:sz w:val="20"/>
          <w:szCs w:val="20"/>
        </w:rPr>
        <w:t>. 1996.</w:t>
      </w:r>
    </w:p>
  </w:footnote>
  <w:footnote w:id="54">
    <w:p w14:paraId="0D8AC42E"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OLSON, </w:t>
      </w:r>
      <w:proofErr w:type="spellStart"/>
      <w:r>
        <w:rPr>
          <w:color w:val="000000"/>
          <w:sz w:val="20"/>
          <w:szCs w:val="20"/>
        </w:rPr>
        <w:t>Mancur</w:t>
      </w:r>
      <w:proofErr w:type="spellEnd"/>
      <w:r>
        <w:rPr>
          <w:color w:val="000000"/>
          <w:sz w:val="20"/>
          <w:szCs w:val="20"/>
        </w:rPr>
        <w:t xml:space="preserve">. </w:t>
      </w:r>
      <w:r>
        <w:rPr>
          <w:i/>
          <w:color w:val="000000"/>
          <w:sz w:val="20"/>
          <w:szCs w:val="20"/>
        </w:rPr>
        <w:t xml:space="preserve">The </w:t>
      </w:r>
      <w:proofErr w:type="spellStart"/>
      <w:r>
        <w:rPr>
          <w:i/>
          <w:color w:val="000000"/>
          <w:sz w:val="20"/>
          <w:szCs w:val="20"/>
        </w:rPr>
        <w:t>Logic</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Collective</w:t>
      </w:r>
      <w:proofErr w:type="spellEnd"/>
      <w:r>
        <w:rPr>
          <w:i/>
          <w:color w:val="000000"/>
          <w:sz w:val="20"/>
          <w:szCs w:val="20"/>
        </w:rPr>
        <w:t xml:space="preserve"> </w:t>
      </w:r>
      <w:proofErr w:type="spellStart"/>
      <w:r>
        <w:rPr>
          <w:i/>
          <w:color w:val="000000"/>
          <w:sz w:val="20"/>
          <w:szCs w:val="20"/>
        </w:rPr>
        <w:t>Action</w:t>
      </w:r>
      <w:proofErr w:type="spellEnd"/>
      <w:r>
        <w:rPr>
          <w:color w:val="000000"/>
          <w:sz w:val="20"/>
          <w:szCs w:val="20"/>
        </w:rPr>
        <w:t>. 1965.</w:t>
      </w:r>
    </w:p>
  </w:footnote>
  <w:footnote w:id="55">
    <w:p w14:paraId="1F94D3AF" w14:textId="77777777" w:rsidR="00E55A12" w:rsidRDefault="00E55A12" w:rsidP="00E55A12">
      <w:pPr>
        <w:rPr>
          <w:sz w:val="20"/>
          <w:szCs w:val="20"/>
        </w:rPr>
      </w:pPr>
      <w:r>
        <w:rPr>
          <w:vertAlign w:val="superscript"/>
        </w:rPr>
        <w:footnoteRef/>
      </w:r>
      <w:r>
        <w:rPr>
          <w:sz w:val="20"/>
          <w:szCs w:val="20"/>
        </w:rPr>
        <w:t xml:space="preserve"> KUHN, Thomas S. A Estrutura das Revoluções Científicas. São Paulo: Perspectiva, 2003.</w:t>
      </w:r>
    </w:p>
  </w:footnote>
  <w:footnote w:id="56">
    <w:p w14:paraId="2B89922E" w14:textId="77777777" w:rsidR="00E55A12" w:rsidRDefault="00E55A12" w:rsidP="00E55A12">
      <w:pPr>
        <w:rPr>
          <w:sz w:val="20"/>
          <w:szCs w:val="20"/>
        </w:rPr>
      </w:pPr>
      <w:r>
        <w:rPr>
          <w:vertAlign w:val="superscript"/>
        </w:rPr>
        <w:footnoteRef/>
      </w:r>
      <w:r>
        <w:rPr>
          <w:sz w:val="20"/>
          <w:szCs w:val="20"/>
        </w:rPr>
        <w:t xml:space="preserve"> HABERMAS, Jürgen. </w:t>
      </w:r>
      <w:proofErr w:type="spellStart"/>
      <w:r>
        <w:rPr>
          <w:sz w:val="20"/>
          <w:szCs w:val="20"/>
        </w:rPr>
        <w:t>Between</w:t>
      </w:r>
      <w:proofErr w:type="spellEnd"/>
      <w:r>
        <w:rPr>
          <w:sz w:val="20"/>
          <w:szCs w:val="20"/>
        </w:rPr>
        <w:t xml:space="preserve"> </w:t>
      </w:r>
      <w:proofErr w:type="spellStart"/>
      <w:r>
        <w:rPr>
          <w:sz w:val="20"/>
          <w:szCs w:val="20"/>
        </w:rPr>
        <w:t>Facts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Norms</w:t>
      </w:r>
      <w:proofErr w:type="spellEnd"/>
      <w:r>
        <w:rPr>
          <w:sz w:val="20"/>
          <w:szCs w:val="20"/>
        </w:rPr>
        <w:t xml:space="preserve">: </w:t>
      </w:r>
      <w:proofErr w:type="spellStart"/>
      <w:r>
        <w:rPr>
          <w:sz w:val="20"/>
          <w:szCs w:val="20"/>
        </w:rPr>
        <w:t>Contributions</w:t>
      </w:r>
      <w:proofErr w:type="spellEnd"/>
      <w:r>
        <w:rPr>
          <w:sz w:val="20"/>
          <w:szCs w:val="20"/>
        </w:rPr>
        <w:t xml:space="preserve"> </w:t>
      </w:r>
      <w:proofErr w:type="spellStart"/>
      <w:r>
        <w:rPr>
          <w:sz w:val="20"/>
          <w:szCs w:val="20"/>
        </w:rPr>
        <w:t>to</w:t>
      </w:r>
      <w:proofErr w:type="spellEnd"/>
      <w:r>
        <w:rPr>
          <w:sz w:val="20"/>
          <w:szCs w:val="20"/>
        </w:rPr>
        <w:t xml:space="preserve"> a </w:t>
      </w:r>
      <w:proofErr w:type="spellStart"/>
      <w:r>
        <w:rPr>
          <w:sz w:val="20"/>
          <w:szCs w:val="20"/>
        </w:rPr>
        <w:t>Discourse</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of</w:t>
      </w:r>
      <w:proofErr w:type="spellEnd"/>
      <w:r>
        <w:rPr>
          <w:sz w:val="20"/>
          <w:szCs w:val="20"/>
        </w:rPr>
        <w:t xml:space="preserve"> Law </w:t>
      </w:r>
      <w:proofErr w:type="spellStart"/>
      <w:r>
        <w:rPr>
          <w:sz w:val="20"/>
          <w:szCs w:val="20"/>
        </w:rPr>
        <w:t>and</w:t>
      </w:r>
      <w:proofErr w:type="spellEnd"/>
      <w:r>
        <w:rPr>
          <w:sz w:val="20"/>
          <w:szCs w:val="20"/>
        </w:rPr>
        <w:t xml:space="preserve"> </w:t>
      </w:r>
      <w:proofErr w:type="spellStart"/>
      <w:r>
        <w:rPr>
          <w:sz w:val="20"/>
          <w:szCs w:val="20"/>
        </w:rPr>
        <w:t>Democracy</w:t>
      </w:r>
      <w:proofErr w:type="spellEnd"/>
      <w:r>
        <w:rPr>
          <w:sz w:val="20"/>
          <w:szCs w:val="20"/>
        </w:rPr>
        <w:t>. Massachusetts: MIT Press, 1996.</w:t>
      </w:r>
    </w:p>
  </w:footnote>
  <w:footnote w:id="57">
    <w:p w14:paraId="57B9ABA0" w14:textId="77777777" w:rsidR="00E55A12" w:rsidRDefault="00E55A12" w:rsidP="00E55A12">
      <w:pPr>
        <w:rPr>
          <w:sz w:val="20"/>
          <w:szCs w:val="20"/>
        </w:rPr>
      </w:pPr>
      <w:r>
        <w:rPr>
          <w:vertAlign w:val="superscript"/>
        </w:rPr>
        <w:footnoteRef/>
      </w:r>
      <w:r>
        <w:rPr>
          <w:sz w:val="20"/>
          <w:szCs w:val="20"/>
        </w:rPr>
        <w:t xml:space="preserve"> BRUNER, Jerome. The Culture </w:t>
      </w:r>
      <w:proofErr w:type="spellStart"/>
      <w:r>
        <w:rPr>
          <w:sz w:val="20"/>
          <w:szCs w:val="20"/>
        </w:rPr>
        <w:t>of</w:t>
      </w:r>
      <w:proofErr w:type="spellEnd"/>
      <w:r>
        <w:rPr>
          <w:sz w:val="20"/>
          <w:szCs w:val="20"/>
        </w:rPr>
        <w:t xml:space="preserve"> </w:t>
      </w:r>
      <w:proofErr w:type="spellStart"/>
      <w:r>
        <w:rPr>
          <w:sz w:val="20"/>
          <w:szCs w:val="20"/>
        </w:rPr>
        <w:t>Education</w:t>
      </w:r>
      <w:proofErr w:type="spellEnd"/>
      <w:r>
        <w:rPr>
          <w:sz w:val="20"/>
          <w:szCs w:val="20"/>
        </w:rPr>
        <w:t xml:space="preserve">. Massachusetts: Harvard </w:t>
      </w:r>
      <w:proofErr w:type="spellStart"/>
      <w:r>
        <w:rPr>
          <w:sz w:val="20"/>
          <w:szCs w:val="20"/>
        </w:rPr>
        <w:t>University</w:t>
      </w:r>
      <w:proofErr w:type="spellEnd"/>
      <w:r>
        <w:rPr>
          <w:sz w:val="20"/>
          <w:szCs w:val="20"/>
        </w:rPr>
        <w:t xml:space="preserve"> Press, 1996.</w:t>
      </w:r>
    </w:p>
  </w:footnote>
  <w:footnote w:id="58">
    <w:p w14:paraId="08FA0CD1" w14:textId="77777777" w:rsidR="00E55A12" w:rsidRDefault="00E55A12" w:rsidP="00E55A12">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59">
    <w:p w14:paraId="7BCA72C8" w14:textId="77777777" w:rsidR="00E55A12" w:rsidRDefault="00E55A12" w:rsidP="00E55A12">
      <w:pPr>
        <w:rPr>
          <w:sz w:val="20"/>
          <w:szCs w:val="20"/>
        </w:rPr>
      </w:pPr>
      <w:r>
        <w:rPr>
          <w:vertAlign w:val="superscript"/>
        </w:rPr>
        <w:footnoteRef/>
      </w:r>
      <w:r>
        <w:rPr>
          <w:sz w:val="20"/>
          <w:szCs w:val="20"/>
        </w:rPr>
        <w:t xml:space="preserve"> CORNELL, Joseph B. </w:t>
      </w:r>
      <w:proofErr w:type="spellStart"/>
      <w:r>
        <w:rPr>
          <w:sz w:val="20"/>
          <w:szCs w:val="20"/>
        </w:rPr>
        <w:t>Sharing</w:t>
      </w:r>
      <w:proofErr w:type="spellEnd"/>
      <w:r>
        <w:rPr>
          <w:sz w:val="20"/>
          <w:szCs w:val="20"/>
        </w:rPr>
        <w:t xml:space="preserve"> </w:t>
      </w:r>
      <w:proofErr w:type="spellStart"/>
      <w:r>
        <w:rPr>
          <w:sz w:val="20"/>
          <w:szCs w:val="20"/>
        </w:rPr>
        <w:t>Nature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Children</w:t>
      </w:r>
      <w:proofErr w:type="spellEnd"/>
      <w:r>
        <w:rPr>
          <w:sz w:val="20"/>
          <w:szCs w:val="20"/>
        </w:rPr>
        <w:t xml:space="preserve">. Califórnia: Dawn </w:t>
      </w:r>
      <w:proofErr w:type="spellStart"/>
      <w:r>
        <w:rPr>
          <w:sz w:val="20"/>
          <w:szCs w:val="20"/>
        </w:rPr>
        <w:t>Publications</w:t>
      </w:r>
      <w:proofErr w:type="spellEnd"/>
      <w:r>
        <w:rPr>
          <w:sz w:val="20"/>
          <w:szCs w:val="20"/>
        </w:rPr>
        <w:t>, 1998.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12"/>
    <w:rsid w:val="00277640"/>
    <w:rsid w:val="002C643E"/>
    <w:rsid w:val="00912337"/>
    <w:rsid w:val="00995F3D"/>
    <w:rsid w:val="00C72C63"/>
    <w:rsid w:val="00E55A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6147847"/>
  <w15:chartTrackingRefBased/>
  <w15:docId w15:val="{41A52ED1-058E-E84E-82EA-891E3F4C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A12"/>
    <w:pPr>
      <w:spacing w:after="0" w:line="240" w:lineRule="auto"/>
    </w:pPr>
    <w:rPr>
      <w:rFonts w:ascii="Aptos" w:eastAsia="Aptos" w:hAnsi="Aptos" w:cs="Aptos"/>
      <w:kern w:val="0"/>
      <w:lang w:eastAsia="pt-BR"/>
      <w14:ligatures w14:val="none"/>
    </w:rPr>
  </w:style>
  <w:style w:type="paragraph" w:styleId="Ttulo1">
    <w:name w:val="heading 1"/>
    <w:basedOn w:val="Normal"/>
    <w:next w:val="Normal"/>
    <w:link w:val="Ttulo1Char"/>
    <w:uiPriority w:val="9"/>
    <w:qFormat/>
    <w:rsid w:val="00E55A1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E55A1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E55A1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E55A1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har"/>
    <w:uiPriority w:val="9"/>
    <w:semiHidden/>
    <w:unhideWhenUsed/>
    <w:qFormat/>
    <w:rsid w:val="00E55A12"/>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har"/>
    <w:uiPriority w:val="9"/>
    <w:semiHidden/>
    <w:unhideWhenUsed/>
    <w:qFormat/>
    <w:rsid w:val="00E55A1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har"/>
    <w:uiPriority w:val="9"/>
    <w:semiHidden/>
    <w:unhideWhenUsed/>
    <w:qFormat/>
    <w:rsid w:val="00E55A1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har"/>
    <w:uiPriority w:val="9"/>
    <w:semiHidden/>
    <w:unhideWhenUsed/>
    <w:qFormat/>
    <w:rsid w:val="00E55A1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har"/>
    <w:uiPriority w:val="9"/>
    <w:semiHidden/>
    <w:unhideWhenUsed/>
    <w:qFormat/>
    <w:rsid w:val="00E55A1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5A1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55A1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55A1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55A1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55A1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55A1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5A1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5A1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5A12"/>
    <w:rPr>
      <w:rFonts w:eastAsiaTheme="majorEastAsia" w:cstheme="majorBidi"/>
      <w:color w:val="272727" w:themeColor="text1" w:themeTint="D8"/>
    </w:rPr>
  </w:style>
  <w:style w:type="paragraph" w:styleId="Ttulo">
    <w:name w:val="Title"/>
    <w:basedOn w:val="Normal"/>
    <w:next w:val="Normal"/>
    <w:link w:val="TtuloChar"/>
    <w:uiPriority w:val="10"/>
    <w:qFormat/>
    <w:rsid w:val="00E55A1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E55A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5A1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E55A1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5A1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oChar">
    <w:name w:val="Citação Char"/>
    <w:basedOn w:val="Fontepargpadro"/>
    <w:link w:val="Citao"/>
    <w:uiPriority w:val="29"/>
    <w:rsid w:val="00E55A12"/>
    <w:rPr>
      <w:i/>
      <w:iCs/>
      <w:color w:val="404040" w:themeColor="text1" w:themeTint="BF"/>
    </w:rPr>
  </w:style>
  <w:style w:type="paragraph" w:styleId="PargrafodaLista">
    <w:name w:val="List Paragraph"/>
    <w:basedOn w:val="Normal"/>
    <w:uiPriority w:val="34"/>
    <w:qFormat/>
    <w:rsid w:val="00E55A1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eIntensa">
    <w:name w:val="Intense Emphasis"/>
    <w:basedOn w:val="Fontepargpadro"/>
    <w:uiPriority w:val="21"/>
    <w:qFormat/>
    <w:rsid w:val="00E55A12"/>
    <w:rPr>
      <w:i/>
      <w:iCs/>
      <w:color w:val="0F4761" w:themeColor="accent1" w:themeShade="BF"/>
    </w:rPr>
  </w:style>
  <w:style w:type="paragraph" w:styleId="CitaoIntensa">
    <w:name w:val="Intense Quote"/>
    <w:basedOn w:val="Normal"/>
    <w:next w:val="Normal"/>
    <w:link w:val="CitaoIntensaChar"/>
    <w:uiPriority w:val="30"/>
    <w:qFormat/>
    <w:rsid w:val="00E55A1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E55A12"/>
    <w:rPr>
      <w:i/>
      <w:iCs/>
      <w:color w:val="0F4761" w:themeColor="accent1" w:themeShade="BF"/>
    </w:rPr>
  </w:style>
  <w:style w:type="character" w:styleId="RefernciaIntensa">
    <w:name w:val="Intense Reference"/>
    <w:basedOn w:val="Fontepargpadro"/>
    <w:uiPriority w:val="32"/>
    <w:qFormat/>
    <w:rsid w:val="00E55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esinformante.com.br/transparencia-publica-desinformacao-checage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5095</Words>
  <Characters>27516</Characters>
  <Application>Microsoft Office Word</Application>
  <DocSecurity>0</DocSecurity>
  <Lines>229</Lines>
  <Paragraphs>65</Paragraphs>
  <ScaleCrop>false</ScaleCrop>
  <Company/>
  <LinksUpToDate>false</LinksUpToDate>
  <CharactersWithSpaces>32546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2025-09-27T17:08:00Z</dcterms:created>
  <dcterms:modified xsi:type="dcterms:W3CDTF">2025-09-27T17:08:00Z</dcterms:modified>
</cp:coreProperties>
</file>