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0994B" w14:textId="0D5DDA82" w:rsidR="00FC4448" w:rsidRPr="006054FA" w:rsidRDefault="006054FA" w:rsidP="006054FA">
      <w:pPr>
        <w:spacing w:after="0" w:line="240" w:lineRule="auto"/>
        <w:rPr>
          <w:rFonts w:ascii="Times New Roman" w:eastAsia="Times New Roman" w:hAnsi="Times New Roman" w:cs="Times New Roman"/>
          <w:bCs/>
          <w:sz w:val="24"/>
          <w:szCs w:val="24"/>
          <w:lang w:val="pt-BR"/>
        </w:rPr>
      </w:pPr>
      <w:r w:rsidRPr="006054FA">
        <w:rPr>
          <w:rFonts w:ascii="Times New Roman" w:eastAsia="Times New Roman" w:hAnsi="Times New Roman" w:cs="Times New Roman"/>
          <w:bCs/>
          <w:sz w:val="24"/>
          <w:szCs w:val="24"/>
          <w:lang w:val="pt-BR"/>
        </w:rPr>
        <w:t xml:space="preserve">Instituto Brasileiro </w:t>
      </w:r>
      <w:r>
        <w:rPr>
          <w:rFonts w:ascii="Times New Roman" w:eastAsia="Times New Roman" w:hAnsi="Times New Roman" w:cs="Times New Roman"/>
          <w:bCs/>
          <w:sz w:val="24"/>
          <w:szCs w:val="24"/>
          <w:lang w:val="pt-BR"/>
        </w:rPr>
        <w:t>d</w:t>
      </w:r>
      <w:r w:rsidRPr="006054FA">
        <w:rPr>
          <w:rFonts w:ascii="Times New Roman" w:eastAsia="Times New Roman" w:hAnsi="Times New Roman" w:cs="Times New Roman"/>
          <w:bCs/>
          <w:sz w:val="24"/>
          <w:szCs w:val="24"/>
          <w:lang w:val="pt-BR"/>
        </w:rPr>
        <w:t>e Ensino, Desenvolvimento E Pesquisa</w:t>
      </w:r>
    </w:p>
    <w:p w14:paraId="3AB5A2F2" w14:textId="2EB5A3E1" w:rsidR="00FC4448" w:rsidRPr="006054FA" w:rsidRDefault="006054FA" w:rsidP="006054FA">
      <w:pPr>
        <w:spacing w:after="0" w:line="240" w:lineRule="auto"/>
        <w:rPr>
          <w:rFonts w:ascii="Times New Roman" w:eastAsia="Times New Roman" w:hAnsi="Times New Roman" w:cs="Times New Roman"/>
          <w:bCs/>
          <w:sz w:val="24"/>
          <w:szCs w:val="24"/>
          <w:lang w:val="pt-BR"/>
        </w:rPr>
      </w:pPr>
      <w:r w:rsidRPr="006054FA">
        <w:rPr>
          <w:rFonts w:ascii="Times New Roman" w:eastAsia="Times New Roman" w:hAnsi="Times New Roman" w:cs="Times New Roman"/>
          <w:bCs/>
          <w:sz w:val="24"/>
          <w:szCs w:val="24"/>
          <w:lang w:val="pt-BR"/>
        </w:rPr>
        <w:t xml:space="preserve">Mestrado Profissional Em Ciência Política </w:t>
      </w:r>
      <w:r>
        <w:rPr>
          <w:rFonts w:ascii="Times New Roman" w:eastAsia="Times New Roman" w:hAnsi="Times New Roman" w:cs="Times New Roman"/>
          <w:bCs/>
          <w:sz w:val="24"/>
          <w:szCs w:val="24"/>
          <w:lang w:val="pt-BR"/>
        </w:rPr>
        <w:t>e</w:t>
      </w:r>
      <w:r w:rsidRPr="006054FA">
        <w:rPr>
          <w:rFonts w:ascii="Times New Roman" w:eastAsia="Times New Roman" w:hAnsi="Times New Roman" w:cs="Times New Roman"/>
          <w:bCs/>
          <w:sz w:val="24"/>
          <w:szCs w:val="24"/>
          <w:lang w:val="pt-BR"/>
        </w:rPr>
        <w:t xml:space="preserve"> Relações Internacionais</w:t>
      </w:r>
    </w:p>
    <w:p w14:paraId="3CD9B5BD" w14:textId="77777777" w:rsidR="00FC4448" w:rsidRPr="006054FA" w:rsidRDefault="00FC4448" w:rsidP="006054FA">
      <w:pPr>
        <w:spacing w:after="0" w:line="240" w:lineRule="auto"/>
        <w:rPr>
          <w:rFonts w:ascii="Times New Roman" w:eastAsia="Times New Roman" w:hAnsi="Times New Roman" w:cs="Times New Roman"/>
          <w:sz w:val="24"/>
          <w:szCs w:val="24"/>
          <w:lang w:val="pt-BR"/>
        </w:rPr>
      </w:pPr>
      <w:r w:rsidRPr="006054FA">
        <w:rPr>
          <w:rFonts w:ascii="Times New Roman" w:eastAsia="Times New Roman" w:hAnsi="Times New Roman" w:cs="Times New Roman"/>
          <w:b/>
          <w:bCs/>
          <w:sz w:val="24"/>
          <w:szCs w:val="24"/>
          <w:lang w:val="pt-BR"/>
        </w:rPr>
        <w:t>Disciplina:</w:t>
      </w:r>
      <w:r w:rsidRPr="006054FA">
        <w:rPr>
          <w:rFonts w:ascii="Times New Roman" w:eastAsia="Times New Roman" w:hAnsi="Times New Roman" w:cs="Times New Roman"/>
          <w:sz w:val="24"/>
          <w:szCs w:val="24"/>
          <w:lang w:val="pt-BR"/>
        </w:rPr>
        <w:t xml:space="preserve"> Relações Institucionais e Captura de Interesses: Atores Econômicos e Processo Legislativo</w:t>
      </w:r>
    </w:p>
    <w:p w14:paraId="6E0B8F28" w14:textId="3711F992" w:rsidR="00FC4448" w:rsidRPr="006054FA" w:rsidRDefault="00FC4448" w:rsidP="006054FA">
      <w:pPr>
        <w:spacing w:after="0" w:line="240" w:lineRule="auto"/>
        <w:rPr>
          <w:rFonts w:ascii="Times New Roman" w:eastAsia="Times New Roman" w:hAnsi="Times New Roman" w:cs="Times New Roman"/>
          <w:sz w:val="24"/>
          <w:szCs w:val="24"/>
          <w:lang w:val="pt-BR"/>
        </w:rPr>
      </w:pPr>
      <w:r w:rsidRPr="006054FA">
        <w:rPr>
          <w:rFonts w:ascii="Times New Roman" w:eastAsia="Times New Roman" w:hAnsi="Times New Roman" w:cs="Times New Roman"/>
          <w:b/>
          <w:bCs/>
          <w:sz w:val="24"/>
          <w:szCs w:val="24"/>
          <w:lang w:val="pt-BR"/>
        </w:rPr>
        <w:t>Docente:</w:t>
      </w:r>
      <w:r w:rsidRPr="006054FA">
        <w:rPr>
          <w:rFonts w:ascii="Times New Roman" w:eastAsia="Times New Roman" w:hAnsi="Times New Roman" w:cs="Times New Roman"/>
          <w:bCs/>
          <w:sz w:val="24"/>
          <w:szCs w:val="24"/>
          <w:lang w:val="pt-BR"/>
        </w:rPr>
        <w:t xml:space="preserve"> </w:t>
      </w:r>
      <w:r w:rsidRPr="006054FA">
        <w:rPr>
          <w:rFonts w:ascii="Times New Roman" w:eastAsia="Times New Roman" w:hAnsi="Times New Roman" w:cs="Times New Roman"/>
          <w:sz w:val="24"/>
          <w:szCs w:val="24"/>
          <w:lang w:val="pt-BR"/>
        </w:rPr>
        <w:t>Dra. Marcela Machado</w:t>
      </w:r>
    </w:p>
    <w:p w14:paraId="41D72F58" w14:textId="552705AA" w:rsidR="00FF1122" w:rsidRDefault="00460E35" w:rsidP="006054FA">
      <w:pPr>
        <w:spacing w:after="0" w:line="240" w:lineRule="auto"/>
        <w:rPr>
          <w:rFonts w:ascii="Times New Roman" w:hAnsi="Times New Roman" w:cs="Times New Roman"/>
          <w:sz w:val="24"/>
          <w:szCs w:val="24"/>
          <w:lang w:val="pt-BR"/>
        </w:rPr>
      </w:pPr>
      <w:r w:rsidRPr="006054FA">
        <w:rPr>
          <w:rFonts w:ascii="Times New Roman" w:hAnsi="Times New Roman" w:cs="Times New Roman"/>
          <w:b/>
          <w:sz w:val="24"/>
          <w:szCs w:val="24"/>
          <w:lang w:val="pt-BR"/>
        </w:rPr>
        <w:t>Discente:</w:t>
      </w:r>
      <w:r w:rsidRPr="006054FA">
        <w:rPr>
          <w:rFonts w:ascii="Times New Roman" w:hAnsi="Times New Roman" w:cs="Times New Roman"/>
          <w:sz w:val="24"/>
          <w:szCs w:val="24"/>
          <w:lang w:val="pt-BR"/>
        </w:rPr>
        <w:t xml:space="preserve"> </w:t>
      </w:r>
      <w:r w:rsidR="00FF1122" w:rsidRPr="00FF1122">
        <w:rPr>
          <w:rFonts w:ascii="Times New Roman" w:hAnsi="Times New Roman" w:cs="Times New Roman"/>
          <w:sz w:val="24"/>
          <w:szCs w:val="24"/>
          <w:lang w:val="pt-BR"/>
        </w:rPr>
        <w:t xml:space="preserve">Christine Tavares </w:t>
      </w:r>
      <w:proofErr w:type="spellStart"/>
      <w:r w:rsidR="00FF1122" w:rsidRPr="00FF1122">
        <w:rPr>
          <w:rFonts w:ascii="Times New Roman" w:hAnsi="Times New Roman" w:cs="Times New Roman"/>
          <w:sz w:val="24"/>
          <w:szCs w:val="24"/>
          <w:lang w:val="pt-BR"/>
        </w:rPr>
        <w:t>Méro</w:t>
      </w:r>
      <w:proofErr w:type="spellEnd"/>
    </w:p>
    <w:p w14:paraId="71FCDE9A" w14:textId="4352E91D" w:rsidR="00FF1122" w:rsidRDefault="00FF1122" w:rsidP="006054FA">
      <w:pPr>
        <w:spacing w:after="0" w:line="240" w:lineRule="auto"/>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FF1122">
        <w:rPr>
          <w:rFonts w:ascii="Times New Roman" w:hAnsi="Times New Roman" w:cs="Times New Roman"/>
          <w:sz w:val="24"/>
          <w:szCs w:val="24"/>
          <w:lang w:val="pt-BR"/>
        </w:rPr>
        <w:t>Iury Henrique Cardoso de Melo</w:t>
      </w:r>
    </w:p>
    <w:p w14:paraId="439E0D88" w14:textId="74D341F0" w:rsidR="00006322" w:rsidRDefault="00FF1122" w:rsidP="006054FA">
      <w:pPr>
        <w:spacing w:after="0" w:line="240" w:lineRule="auto"/>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00460E35" w:rsidRPr="006054FA">
        <w:rPr>
          <w:rFonts w:ascii="Times New Roman" w:hAnsi="Times New Roman" w:cs="Times New Roman"/>
          <w:sz w:val="24"/>
          <w:szCs w:val="24"/>
          <w:lang w:val="pt-BR"/>
        </w:rPr>
        <w:t xml:space="preserve">Pedro </w:t>
      </w:r>
      <w:r w:rsidR="00FC4448" w:rsidRPr="006054FA">
        <w:rPr>
          <w:rFonts w:ascii="Times New Roman" w:hAnsi="Times New Roman" w:cs="Times New Roman"/>
          <w:sz w:val="24"/>
          <w:szCs w:val="24"/>
          <w:lang w:val="pt-BR"/>
        </w:rPr>
        <w:t xml:space="preserve">Paulo </w:t>
      </w:r>
      <w:r w:rsidR="00460E35" w:rsidRPr="006054FA">
        <w:rPr>
          <w:rFonts w:ascii="Times New Roman" w:hAnsi="Times New Roman" w:cs="Times New Roman"/>
          <w:sz w:val="24"/>
          <w:szCs w:val="24"/>
          <w:lang w:val="pt-BR"/>
        </w:rPr>
        <w:t>Henrichs</w:t>
      </w:r>
      <w:r w:rsidR="00FC4448" w:rsidRPr="006054FA">
        <w:rPr>
          <w:rFonts w:ascii="Times New Roman" w:hAnsi="Times New Roman" w:cs="Times New Roman"/>
          <w:sz w:val="24"/>
          <w:szCs w:val="24"/>
          <w:lang w:val="pt-BR"/>
        </w:rPr>
        <w:t xml:space="preserve"> Neto</w:t>
      </w:r>
    </w:p>
    <w:p w14:paraId="3BA2F534" w14:textId="20960A89" w:rsidR="00FF1122" w:rsidRDefault="00FF1122" w:rsidP="006054FA">
      <w:pPr>
        <w:spacing w:after="0" w:line="240" w:lineRule="auto"/>
        <w:rPr>
          <w:rFonts w:ascii="Times New Roman" w:hAnsi="Times New Roman" w:cs="Times New Roman"/>
          <w:sz w:val="24"/>
          <w:szCs w:val="24"/>
          <w:lang w:val="pt-BR"/>
        </w:rPr>
      </w:pPr>
      <w:r>
        <w:rPr>
          <w:rFonts w:ascii="Times New Roman" w:hAnsi="Times New Roman" w:cs="Times New Roman"/>
          <w:sz w:val="24"/>
          <w:szCs w:val="24"/>
          <w:lang w:val="pt-BR"/>
        </w:rPr>
        <w:t xml:space="preserve">                 </w:t>
      </w:r>
      <w:proofErr w:type="spellStart"/>
      <w:r w:rsidRPr="00FF1122">
        <w:rPr>
          <w:rFonts w:ascii="Times New Roman" w:hAnsi="Times New Roman" w:cs="Times New Roman"/>
          <w:sz w:val="24"/>
          <w:szCs w:val="24"/>
          <w:lang w:val="pt-BR"/>
        </w:rPr>
        <w:t>Santusa</w:t>
      </w:r>
      <w:proofErr w:type="spellEnd"/>
      <w:r w:rsidRPr="00FF1122">
        <w:rPr>
          <w:rFonts w:ascii="Times New Roman" w:hAnsi="Times New Roman" w:cs="Times New Roman"/>
          <w:sz w:val="24"/>
          <w:szCs w:val="24"/>
          <w:lang w:val="pt-BR"/>
        </w:rPr>
        <w:t xml:space="preserve"> Pereira Santana</w:t>
      </w:r>
    </w:p>
    <w:p w14:paraId="697B64AD" w14:textId="10A887B4" w:rsidR="00FF1122" w:rsidRPr="006054FA" w:rsidRDefault="00FF1122" w:rsidP="006054FA">
      <w:pPr>
        <w:spacing w:after="0" w:line="240" w:lineRule="auto"/>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FF1122">
        <w:rPr>
          <w:rFonts w:ascii="Times New Roman" w:hAnsi="Times New Roman" w:cs="Times New Roman"/>
          <w:sz w:val="24"/>
          <w:szCs w:val="24"/>
          <w:lang w:val="pt-BR"/>
        </w:rPr>
        <w:t>Viviana Covatti</w:t>
      </w:r>
    </w:p>
    <w:p w14:paraId="5BECE577" w14:textId="77777777" w:rsidR="00006322" w:rsidRDefault="00006322" w:rsidP="00006322">
      <w:pPr>
        <w:rPr>
          <w:rFonts w:ascii="Times New Roman" w:hAnsi="Times New Roman" w:cs="Times New Roman"/>
          <w:sz w:val="24"/>
          <w:szCs w:val="24"/>
          <w:lang w:val="pt-BR"/>
        </w:rPr>
      </w:pPr>
    </w:p>
    <w:p w14:paraId="2BA1351A" w14:textId="72A39C5B" w:rsidR="00FC4448" w:rsidRDefault="00FC4448" w:rsidP="006054FA">
      <w:pPr>
        <w:jc w:val="center"/>
        <w:rPr>
          <w:rStyle w:val="Forte"/>
          <w:rFonts w:ascii="Times New Roman" w:hAnsi="Times New Roman" w:cs="Times New Roman"/>
          <w:b w:val="0"/>
          <w:color w:val="000000"/>
          <w:sz w:val="24"/>
          <w:szCs w:val="24"/>
          <w:lang w:val="pt-BR"/>
        </w:rPr>
      </w:pPr>
      <w:r w:rsidRPr="006054FA">
        <w:rPr>
          <w:rStyle w:val="Forte"/>
          <w:rFonts w:ascii="Times New Roman" w:hAnsi="Times New Roman" w:cs="Times New Roman"/>
          <w:b w:val="0"/>
          <w:color w:val="000000"/>
          <w:sz w:val="24"/>
          <w:szCs w:val="24"/>
          <w:lang w:val="pt-BR"/>
        </w:rPr>
        <w:t>PLANO ESTRATÉGICO DE INFLUÊNCIA PARA A RATIFICAÇÃO DO ACORDO MERCOSUL–UNIÃO EUROPEIA</w:t>
      </w:r>
    </w:p>
    <w:p w14:paraId="09B24586" w14:textId="77777777" w:rsidR="006054FA" w:rsidRPr="00006322" w:rsidRDefault="006054FA" w:rsidP="006054FA">
      <w:pPr>
        <w:jc w:val="center"/>
        <w:rPr>
          <w:rFonts w:ascii="Times New Roman" w:hAnsi="Times New Roman" w:cs="Times New Roman"/>
          <w:sz w:val="24"/>
          <w:szCs w:val="24"/>
          <w:lang w:val="pt-BR"/>
        </w:rPr>
      </w:pPr>
    </w:p>
    <w:p w14:paraId="627F03A8" w14:textId="48F4264B" w:rsidR="00FC4448" w:rsidRPr="00006322" w:rsidRDefault="00FC4448" w:rsidP="006054FA">
      <w:pPr>
        <w:pStyle w:val="Ttulo1"/>
        <w:spacing w:before="0" w:line="360" w:lineRule="auto"/>
        <w:jc w:val="both"/>
        <w:rPr>
          <w:rFonts w:ascii="Times New Roman" w:hAnsi="Times New Roman" w:cs="Times New Roman"/>
          <w:color w:val="000000"/>
          <w:sz w:val="24"/>
          <w:szCs w:val="24"/>
          <w:lang w:val="pt-BR"/>
        </w:rPr>
      </w:pPr>
      <w:r w:rsidRPr="00006322">
        <w:rPr>
          <w:rStyle w:val="Forte"/>
          <w:rFonts w:ascii="Times New Roman" w:hAnsi="Times New Roman" w:cs="Times New Roman"/>
          <w:b/>
          <w:bCs/>
          <w:color w:val="000000"/>
          <w:sz w:val="24"/>
          <w:szCs w:val="24"/>
          <w:lang w:val="pt-BR"/>
        </w:rPr>
        <w:t>RESUMO</w:t>
      </w:r>
    </w:p>
    <w:p w14:paraId="6EE16790" w14:textId="62CDB365" w:rsidR="006054FA" w:rsidRDefault="00FC4448" w:rsidP="006054FA">
      <w:pPr>
        <w:pStyle w:val="NormalWeb"/>
        <w:spacing w:before="0" w:beforeAutospacing="0" w:line="360" w:lineRule="auto"/>
        <w:ind w:firstLine="851"/>
        <w:jc w:val="both"/>
        <w:rPr>
          <w:color w:val="000000"/>
        </w:rPr>
      </w:pPr>
      <w:r w:rsidRPr="00FC4448">
        <w:rPr>
          <w:color w:val="000000"/>
        </w:rPr>
        <w:t xml:space="preserve">Este trabalho apresenta um plano estratégico de influência política voltado à ratificação do Acordo Mercosul–União Europeia, com foco específico na defesa dos interesses da indústria automotiva representada pela Associação Nacional dos Fabricantes de Veículos Automotores (ANFAVEA). As negociações, iniciadas em 1999 e concluídas tecnicamente em dezembro de 2024, consolidaram prazos amplos de desgravação tarifária e mecanismos de proteção considerados essenciais para evitar a desindustrialização e permitir a transição tecnológica para veículos elétricos e de hidrogênio. A partir do referencial teórico das relações governamentais, do </w:t>
      </w:r>
      <w:proofErr w:type="spellStart"/>
      <w:r w:rsidRPr="00FC4448">
        <w:rPr>
          <w:color w:val="000000"/>
        </w:rPr>
        <w:t>neoinstitucionalismo</w:t>
      </w:r>
      <w:proofErr w:type="spellEnd"/>
      <w:r w:rsidRPr="00FC4448">
        <w:rPr>
          <w:color w:val="000000"/>
        </w:rPr>
        <w:t xml:space="preserve"> e dos estudos sobre lobby e políticas públicas, examinam-se as arenas decisórias, os atores relevantes e as estratégias diretas e indiretas de </w:t>
      </w:r>
      <w:proofErr w:type="spellStart"/>
      <w:r w:rsidRPr="00FC4448">
        <w:rPr>
          <w:color w:val="000000"/>
        </w:rPr>
        <w:t>advocacy</w:t>
      </w:r>
      <w:proofErr w:type="spellEnd"/>
      <w:r w:rsidRPr="00FC4448">
        <w:rPr>
          <w:color w:val="000000"/>
        </w:rPr>
        <w:t xml:space="preserve"> necessárias para garantir que o texto aprovado preserve integralmente o capítulo automotivo. O estudo demonstra que a eficácia do plano depende da articulação entre governo, setor produtivo, sindicatos, governadores e instâncias regionais como o </w:t>
      </w:r>
      <w:proofErr w:type="spellStart"/>
      <w:r w:rsidRPr="00FC4448">
        <w:rPr>
          <w:color w:val="000000"/>
        </w:rPr>
        <w:t>Parlasur</w:t>
      </w:r>
      <w:proofErr w:type="spellEnd"/>
      <w:r w:rsidRPr="00FC4448">
        <w:rPr>
          <w:color w:val="000000"/>
        </w:rPr>
        <w:t>, além de comunicação estratégica capaz de moldar o ambiente político e social durante o processo legislativo de ratificação</w:t>
      </w:r>
      <w:r w:rsidR="006054FA">
        <w:rPr>
          <w:color w:val="000000"/>
        </w:rPr>
        <w:t>.</w:t>
      </w:r>
    </w:p>
    <w:p w14:paraId="45BF773F" w14:textId="0EF81D2D" w:rsidR="00FC4448" w:rsidRDefault="006054FA" w:rsidP="006054FA">
      <w:pPr>
        <w:pStyle w:val="NormalWeb"/>
        <w:spacing w:before="0" w:beforeAutospacing="0" w:line="360" w:lineRule="auto"/>
        <w:jc w:val="both"/>
        <w:rPr>
          <w:color w:val="000000"/>
        </w:rPr>
      </w:pPr>
      <w:r w:rsidRPr="00FC4448">
        <w:rPr>
          <w:rStyle w:val="Forte"/>
          <w:color w:val="000000"/>
        </w:rPr>
        <w:t>Palavras-chave</w:t>
      </w:r>
      <w:r>
        <w:rPr>
          <w:color w:val="000000"/>
        </w:rPr>
        <w:t xml:space="preserve">: </w:t>
      </w:r>
      <w:r w:rsidR="00FC4448" w:rsidRPr="00FC4448">
        <w:rPr>
          <w:color w:val="000000"/>
        </w:rPr>
        <w:t xml:space="preserve">Acordo Mercosul–União Europeia; Indústria automotiva; ANFAVEA; Relações governamentais; Lobby; </w:t>
      </w:r>
      <w:r w:rsidR="00FF1122" w:rsidRPr="00FC4448">
        <w:rPr>
          <w:color w:val="000000"/>
        </w:rPr>
        <w:t>políticas</w:t>
      </w:r>
      <w:r w:rsidR="00FC4448" w:rsidRPr="00FC4448">
        <w:rPr>
          <w:color w:val="000000"/>
        </w:rPr>
        <w:t xml:space="preserve"> públicas.</w:t>
      </w:r>
    </w:p>
    <w:p w14:paraId="6477AE08" w14:textId="77777777" w:rsidR="006054FA" w:rsidRPr="00006322" w:rsidRDefault="006054FA" w:rsidP="006054FA">
      <w:pPr>
        <w:pStyle w:val="NormalWeb"/>
        <w:spacing w:before="0" w:beforeAutospacing="0" w:line="360" w:lineRule="auto"/>
        <w:jc w:val="both"/>
      </w:pPr>
    </w:p>
    <w:p w14:paraId="5D4E9037" w14:textId="40F66DA2" w:rsidR="00FC4448" w:rsidRPr="00006322" w:rsidRDefault="00FC4448" w:rsidP="006054FA">
      <w:pPr>
        <w:pStyle w:val="Ttulo1"/>
        <w:spacing w:line="360" w:lineRule="auto"/>
        <w:ind w:firstLine="851"/>
        <w:jc w:val="both"/>
        <w:rPr>
          <w:rFonts w:ascii="Times New Roman" w:hAnsi="Times New Roman" w:cs="Times New Roman"/>
          <w:color w:val="000000"/>
          <w:sz w:val="24"/>
          <w:szCs w:val="24"/>
          <w:lang w:val="pt-BR"/>
        </w:rPr>
      </w:pPr>
      <w:r w:rsidRPr="00006322">
        <w:rPr>
          <w:rStyle w:val="Forte"/>
          <w:rFonts w:ascii="Times New Roman" w:hAnsi="Times New Roman" w:cs="Times New Roman"/>
          <w:b/>
          <w:bCs/>
          <w:color w:val="000000"/>
          <w:sz w:val="24"/>
          <w:szCs w:val="24"/>
          <w:lang w:val="pt-BR"/>
        </w:rPr>
        <w:lastRenderedPageBreak/>
        <w:t>INTRODUÇÃO</w:t>
      </w:r>
    </w:p>
    <w:p w14:paraId="29FF7023" w14:textId="742F5BF8" w:rsidR="00FC4448" w:rsidRPr="00FC4448" w:rsidRDefault="00FC4448" w:rsidP="006054FA">
      <w:pPr>
        <w:pStyle w:val="NormalWeb"/>
        <w:spacing w:before="0" w:beforeAutospacing="0" w:after="0" w:afterAutospacing="0" w:line="360" w:lineRule="auto"/>
        <w:ind w:firstLine="851"/>
        <w:jc w:val="both"/>
        <w:rPr>
          <w:color w:val="000000"/>
        </w:rPr>
      </w:pPr>
      <w:r w:rsidRPr="00FC4448">
        <w:rPr>
          <w:color w:val="000000"/>
        </w:rPr>
        <w:t xml:space="preserve">A relação entre governos, setores produtivos e instituições legislativas tornou-se, nas últimas décadas, um campo central de estudo para a compreensão dos processos decisórios em democracias contemporâneas. A literatura especializada sobre </w:t>
      </w:r>
      <w:proofErr w:type="spellStart"/>
      <w:r w:rsidRPr="00FC4448">
        <w:rPr>
          <w:color w:val="000000"/>
        </w:rPr>
        <w:t>advocacy</w:t>
      </w:r>
      <w:proofErr w:type="spellEnd"/>
      <w:r w:rsidRPr="00FC4448">
        <w:rPr>
          <w:color w:val="000000"/>
        </w:rPr>
        <w:t>, lobby e relações governamentais evidência que políticas públicas raramente são produto exclusivo da atuação estatal, sendo moldadas pela interação contínua entre atores privados, agentes públicos, organizações da sociedade civil e instâncias multilaterais (BAUMGARTNER; LEECH, 1998; MANCUSO, 2015; FARIA; RIBEIRO, 2010). No contexto latino-americano, marcado por industrialização tardia, estruturas econômicas híbridas e ciclos de abertura e proteção, a participação organizada do setor produtivo adquire papel ainda mais relevante na defesa de interesses econômicos estruturantes.</w:t>
      </w:r>
    </w:p>
    <w:p w14:paraId="477DC69B" w14:textId="77777777" w:rsidR="00FC4448" w:rsidRPr="00FC4448" w:rsidRDefault="00FC4448" w:rsidP="006054FA">
      <w:pPr>
        <w:pStyle w:val="NormalWeb"/>
        <w:spacing w:before="0" w:beforeAutospacing="0" w:after="0" w:afterAutospacing="0" w:line="360" w:lineRule="auto"/>
        <w:ind w:firstLine="851"/>
        <w:jc w:val="both"/>
        <w:rPr>
          <w:color w:val="000000"/>
        </w:rPr>
      </w:pPr>
      <w:r w:rsidRPr="00FC4448">
        <w:rPr>
          <w:color w:val="000000"/>
        </w:rPr>
        <w:t>É nesse ambiente que se insere o processo de negociação e ratificação do Acordo Mercosul–União Europeia, considerado o mais longo e complexo esforço de integração birregional conduzido pelos Estados do Cone Sul. Iniciado em 1999, o acordo atravessou sucessivas fases de avanço e estagnação, motivadas por impasses políticos, mudanças de governo, divergências comerciais e pressões internacionais. Entre todos os temas negociados, o setor automotivo consolidou-se como um dos pontos mais sensíveis devido ao seu peso econômico, tecnológico e laboral, além da profunda assimetria entre a indústria europeia e a indústria dos países do Mercosul.</w:t>
      </w:r>
    </w:p>
    <w:p w14:paraId="3F39049F" w14:textId="77777777" w:rsidR="00FC4448" w:rsidRPr="00FC4448" w:rsidRDefault="00FC4448" w:rsidP="006054FA">
      <w:pPr>
        <w:pStyle w:val="NormalWeb"/>
        <w:spacing w:before="0" w:beforeAutospacing="0" w:after="0" w:afterAutospacing="0" w:line="360" w:lineRule="auto"/>
        <w:ind w:firstLine="851"/>
        <w:jc w:val="both"/>
        <w:rPr>
          <w:color w:val="000000"/>
        </w:rPr>
      </w:pPr>
      <w:r w:rsidRPr="00FC4448">
        <w:rPr>
          <w:color w:val="000000"/>
        </w:rPr>
        <w:t>O destravamento do capítulo automotivo em</w:t>
      </w:r>
      <w:r w:rsidRPr="00FC4448">
        <w:rPr>
          <w:rStyle w:val="apple-converted-space"/>
          <w:color w:val="000000"/>
        </w:rPr>
        <w:t> </w:t>
      </w:r>
      <w:r w:rsidRPr="00FC4448">
        <w:rPr>
          <w:rStyle w:val="Forte"/>
          <w:color w:val="000000"/>
        </w:rPr>
        <w:t>18 de dezembro de 2024</w:t>
      </w:r>
      <w:r w:rsidRPr="00FC4448">
        <w:rPr>
          <w:rStyle w:val="apple-converted-space"/>
          <w:color w:val="000000"/>
        </w:rPr>
        <w:t> </w:t>
      </w:r>
      <w:r w:rsidRPr="00FC4448">
        <w:rPr>
          <w:color w:val="000000"/>
        </w:rPr>
        <w:t xml:space="preserve">representou um marco significativo, ao estabelecer prazos amplos de desgravação tarifária – de dezoito anos para veículos tradicionais e até trinta anos para veículos de novas tecnologias – acompanhados de regras de origem, mecanismos de revisão e instrumentos de proteção comercial. Esses elementos, negociados com forte atuação técnica e política da ANFAVEA, visam evitar choques abruptos de competitividade, preservar empregos qualificados e permitir que o Mercosul realize sua transição para a mobilidade elétrica de forma gradual e sustentável. Como aponta </w:t>
      </w:r>
      <w:proofErr w:type="spellStart"/>
      <w:r w:rsidRPr="00FC4448">
        <w:rPr>
          <w:color w:val="000000"/>
        </w:rPr>
        <w:t>Moravcsik</w:t>
      </w:r>
      <w:proofErr w:type="spellEnd"/>
      <w:r w:rsidRPr="00FC4448">
        <w:rPr>
          <w:color w:val="000000"/>
        </w:rPr>
        <w:t xml:space="preserve"> (1997), a formação de acordos internacionais decorre, em grande medida, da articulação de interesses domésticos capazes de influenciar governos e moldar posições negociadoras.</w:t>
      </w:r>
    </w:p>
    <w:p w14:paraId="09731936" w14:textId="77777777" w:rsidR="00FC4448" w:rsidRPr="00FC4448" w:rsidRDefault="00FC4448" w:rsidP="006054FA">
      <w:pPr>
        <w:pStyle w:val="NormalWeb"/>
        <w:spacing w:before="0" w:beforeAutospacing="0" w:after="0" w:afterAutospacing="0" w:line="360" w:lineRule="auto"/>
        <w:ind w:firstLine="851"/>
        <w:jc w:val="both"/>
        <w:rPr>
          <w:color w:val="000000"/>
        </w:rPr>
      </w:pPr>
      <w:r w:rsidRPr="00FC4448">
        <w:rPr>
          <w:color w:val="000000"/>
        </w:rPr>
        <w:t>Encerrada a fase técnica, o acordo entra em momento decisivo:</w:t>
      </w:r>
      <w:r w:rsidRPr="00FC4448">
        <w:rPr>
          <w:rStyle w:val="apple-converted-space"/>
          <w:color w:val="000000"/>
        </w:rPr>
        <w:t> </w:t>
      </w:r>
      <w:r w:rsidRPr="00FC4448">
        <w:rPr>
          <w:rStyle w:val="Forte"/>
          <w:color w:val="000000"/>
        </w:rPr>
        <w:t>a etapa de ratificação legislativa</w:t>
      </w:r>
      <w:r w:rsidRPr="00FC4448">
        <w:rPr>
          <w:color w:val="000000"/>
        </w:rPr>
        <w:t xml:space="preserve">, na qual parlamentos nacionais de Brasil, Argentina, Paraguai e Uruguai deverão aprovar o texto. Trata-se de uma fase política, sujeita a pressões internas e externas, disputas narrativas, incertezas eleitorais e variações conjunturais. Para garantir que o núcleo do acordo – </w:t>
      </w:r>
      <w:r w:rsidRPr="00FC4448">
        <w:rPr>
          <w:color w:val="000000"/>
        </w:rPr>
        <w:lastRenderedPageBreak/>
        <w:t>especialmente seu capítulo automotivo – seja mantido, torna-se indispensável a construção de um plano estratégico de influência que articule atores públicos e privados, molde percepções, antecipe riscos e consolide apoio majoritário nas arenas decisórias.</w:t>
      </w:r>
    </w:p>
    <w:p w14:paraId="1F9AF11B" w14:textId="77777777" w:rsidR="00FC4448" w:rsidRPr="00FC4448" w:rsidRDefault="00FC4448" w:rsidP="006054FA">
      <w:pPr>
        <w:pStyle w:val="NormalWeb"/>
        <w:spacing w:before="0" w:beforeAutospacing="0" w:after="0" w:afterAutospacing="0" w:line="360" w:lineRule="auto"/>
        <w:ind w:firstLine="851"/>
        <w:jc w:val="both"/>
        <w:rPr>
          <w:color w:val="000000"/>
        </w:rPr>
      </w:pPr>
      <w:r w:rsidRPr="00FC4448">
        <w:rPr>
          <w:color w:val="000000"/>
        </w:rPr>
        <w:t xml:space="preserve">Este trabalho tem como objetivo central apresentar um plano de relações governamentais que permita à ANFAVEA atuar de maneira estruturada e eficaz no processo de ratificação do acordo. O estudo parte de referenciais teóricos sobre grupos de interesse, políticas comerciais e regimes internacionais, integrando contribuições de autores que analisam como atores privados influenciam decisões de política externa e interna (PUTNAM, 1988; KEOHANE; NYE, 2012; MILNER, 1997). A partir desse arcabouço, realiza-se uma análise do cenário político, identifica-se os atores relevantes e detalham-se estratégias diretas e indiretas de </w:t>
      </w:r>
      <w:proofErr w:type="spellStart"/>
      <w:r w:rsidRPr="00FC4448">
        <w:rPr>
          <w:color w:val="000000"/>
        </w:rPr>
        <w:t>advocacy</w:t>
      </w:r>
      <w:proofErr w:type="spellEnd"/>
      <w:r w:rsidRPr="00FC4448">
        <w:rPr>
          <w:color w:val="000000"/>
        </w:rPr>
        <w:t>, seguidas de um cronograma operacional e critérios de avaliação do plano.</w:t>
      </w:r>
    </w:p>
    <w:p w14:paraId="777EC324" w14:textId="153F49A6" w:rsidR="00FC4448" w:rsidRPr="00006322" w:rsidRDefault="00FC4448" w:rsidP="006054FA">
      <w:pPr>
        <w:pStyle w:val="NormalWeb"/>
        <w:spacing w:before="0" w:beforeAutospacing="0" w:after="0" w:afterAutospacing="0" w:line="360" w:lineRule="auto"/>
        <w:ind w:firstLine="851"/>
        <w:jc w:val="both"/>
      </w:pPr>
      <w:r w:rsidRPr="00FC4448">
        <w:rPr>
          <w:color w:val="000000"/>
        </w:rPr>
        <w:t>O texto está organizado em quatro seções principais, além desta introdução. A primeira apresenta o problema e os objetivos do plano estratégico. A segunda desenvolve a análise do cenário político e institucional. A terceira detalha as estratégias de influência direta e indireta. A quarta apresenta o cronograma, os recursos necessários e os mecanismos de monitoramento e avaliação. Por fim, são apresentadas as considerações finais e as referências utilizadas.</w:t>
      </w:r>
    </w:p>
    <w:p w14:paraId="1029F59D" w14:textId="77777777" w:rsidR="00FC4448" w:rsidRPr="00FC4448" w:rsidRDefault="00FC4448" w:rsidP="006054FA">
      <w:pPr>
        <w:pStyle w:val="NormalWeb"/>
        <w:spacing w:before="0" w:beforeAutospacing="0" w:after="0" w:afterAutospacing="0" w:line="360" w:lineRule="auto"/>
        <w:ind w:firstLine="851"/>
        <w:jc w:val="both"/>
        <w:rPr>
          <w:color w:val="000000"/>
        </w:rPr>
      </w:pPr>
      <w:r w:rsidRPr="00FC4448">
        <w:rPr>
          <w:color w:val="000000"/>
        </w:rPr>
        <w:t>O processo de negociação e ratificação do Acordo Mercosul–União Europeia insere-se em um cenário político complexo em que diferentes arenas institucionais interagem, entrelaçando interesses estatais, empresariais, regionais e sociais. A literatura de políticas públicas demonstra que decisões dessa natureza dependem não apenas de suas justificativas técnicas, mas da capacidade dos atores envolvidos de mobilizar recursos, construir narrativas, influenciar percepções e moldar o debate público (BAUMGARTNER; LEECH, 1998). Assim, compreender o ambiente político em que o acordo tramita é essencial para o desenvolvimento de estratégias eficazes de influência.</w:t>
      </w:r>
    </w:p>
    <w:p w14:paraId="34C043C1" w14:textId="77777777" w:rsidR="00FC4448" w:rsidRPr="00FC4448" w:rsidRDefault="00FC4448" w:rsidP="006054FA">
      <w:pPr>
        <w:pStyle w:val="NormalWeb"/>
        <w:spacing w:before="0" w:beforeAutospacing="0" w:after="0" w:afterAutospacing="0" w:line="360" w:lineRule="auto"/>
        <w:ind w:firstLine="851"/>
        <w:jc w:val="both"/>
        <w:rPr>
          <w:color w:val="000000"/>
        </w:rPr>
      </w:pPr>
      <w:r w:rsidRPr="00FC4448">
        <w:rPr>
          <w:color w:val="000000"/>
        </w:rPr>
        <w:t xml:space="preserve">No caso específico do capítulo automotivo, o desafio torna-se ainda maior devido à sua relevância econômica e simbólica. A indústria automotiva é responsável por parcela significativa do PIB industrial, emprega mão de obra altamente qualificada, possui cadeias de fornecedores de elevada complexidade e desempenha papel estratégico na transição energética em curso. Essa centralidade explica por que o setor foi historicamente tratado como sensível nas negociações e por que os prazos de desgravação tarifária se tornaram, ao longo dos anos, o principal ponto de disputa. A União Europeia buscava abertura acelerada, justificando sua posição com base em ganhos de </w:t>
      </w:r>
      <w:r w:rsidRPr="00FC4448">
        <w:rPr>
          <w:color w:val="000000"/>
        </w:rPr>
        <w:lastRenderedPageBreak/>
        <w:t>competitividade e previsibilidade regulatória. Já o Mercosul, apoiado em análises técnicas de entidades como a ANFAVEA e em projeções econômicas de ministérios nacionais, defendia a necessidade de prazos mais longos para evitar impactos abruptos sobre empregos e produção.</w:t>
      </w:r>
    </w:p>
    <w:p w14:paraId="4EF41409" w14:textId="77777777" w:rsidR="00FC4448" w:rsidRPr="00FC4448" w:rsidRDefault="00FC4448" w:rsidP="006054FA">
      <w:pPr>
        <w:pStyle w:val="NormalWeb"/>
        <w:spacing w:before="0" w:beforeAutospacing="0" w:after="0" w:afterAutospacing="0" w:line="360" w:lineRule="auto"/>
        <w:ind w:firstLine="851"/>
        <w:jc w:val="both"/>
        <w:rPr>
          <w:color w:val="000000"/>
        </w:rPr>
      </w:pPr>
      <w:r w:rsidRPr="00FC4448">
        <w:rPr>
          <w:color w:val="000000"/>
        </w:rPr>
        <w:t>A assimetria industrial entre os blocos confere sentido a essa posição. Estudos comparativos demonstram que a capacidade inovadora e a escala produtiva europeias superam as do Mercosul, especialmente na produção de veículos elétricos, baterias e componentes avançados, segmentos que passam a definir a competitividade global do setor (OCDE, 2023). Nesse contexto, a transição energética emerge como elemento estruturante das discussões, pois envolve investimentos elevados, incorporação de tecnologias limpas, reconfiguração de cadeias produtivas e adaptação da força de trabalho. Países que realizaram esse movimento, como Alemanha, Japão e Coreia do Sul, adotaram políticas industriais robustas e proteção transitória de seus mercados, demonstrando que a abertura comercial não ocorre de forma descolada de políticas nacionais de inovação.</w:t>
      </w:r>
    </w:p>
    <w:p w14:paraId="04B17DB5" w14:textId="77777777" w:rsidR="00FC4448" w:rsidRPr="00FC4448" w:rsidRDefault="00FC4448" w:rsidP="006054FA">
      <w:pPr>
        <w:pStyle w:val="NormalWeb"/>
        <w:spacing w:before="0" w:beforeAutospacing="0" w:after="0" w:afterAutospacing="0" w:line="360" w:lineRule="auto"/>
        <w:ind w:firstLine="851"/>
        <w:jc w:val="both"/>
        <w:rPr>
          <w:color w:val="000000"/>
        </w:rPr>
      </w:pPr>
      <w:r w:rsidRPr="00FC4448">
        <w:rPr>
          <w:color w:val="000000"/>
        </w:rPr>
        <w:t>O acordo fechado em dezembro de 2024 reflete esse entendimento ao prever períodos amplos de desgravação, chegando a trinta anos para veículos elétricos e tecnologias emergentes, além de regras de origem ajustadas à realidade regional. Esses instrumentos não foram negociados como concessões isoladas, mas como parte de um arcabouço coerente destinado a assegurar uma transição ordenada, condição indispensável para que o Mercosul não amplie sua dependência tecnológica. A literatura sobre regimes internacionais enfatiza que arranjos desse tipo são produtos de compromissos domésticos e pressões externas que interagem de forma não linear (PUTNAM, 1988). O acordo reflete, assim, a convergência entre interesses industriais, políticos e diplomáticos.</w:t>
      </w:r>
    </w:p>
    <w:p w14:paraId="28303377" w14:textId="77777777" w:rsidR="00FC4448" w:rsidRPr="00FC4448" w:rsidRDefault="00FC4448" w:rsidP="006054FA">
      <w:pPr>
        <w:pStyle w:val="NormalWeb"/>
        <w:spacing w:before="0" w:beforeAutospacing="0" w:after="0" w:afterAutospacing="0" w:line="360" w:lineRule="auto"/>
        <w:ind w:firstLine="851"/>
        <w:jc w:val="both"/>
        <w:rPr>
          <w:color w:val="000000"/>
        </w:rPr>
      </w:pPr>
      <w:r w:rsidRPr="00FC4448">
        <w:rPr>
          <w:color w:val="000000"/>
        </w:rPr>
        <w:t xml:space="preserve">No entanto, a conclusão técnica das negociações não implica sua imediata validação. Pelo contrário, inicia-se o momento mais vulnerável de acordos internacionais: a etapa de ratificação legislativa. Como apontam </w:t>
      </w:r>
      <w:proofErr w:type="spellStart"/>
      <w:r w:rsidRPr="00FC4448">
        <w:rPr>
          <w:color w:val="000000"/>
        </w:rPr>
        <w:t>Milner</w:t>
      </w:r>
      <w:proofErr w:type="spellEnd"/>
      <w:r w:rsidRPr="00FC4448">
        <w:rPr>
          <w:color w:val="000000"/>
        </w:rPr>
        <w:t xml:space="preserve"> (1997) e </w:t>
      </w:r>
      <w:proofErr w:type="spellStart"/>
      <w:r w:rsidRPr="00FC4448">
        <w:rPr>
          <w:color w:val="000000"/>
        </w:rPr>
        <w:t>Moravcsik</w:t>
      </w:r>
      <w:proofErr w:type="spellEnd"/>
      <w:r w:rsidRPr="00FC4448">
        <w:rPr>
          <w:color w:val="000000"/>
        </w:rPr>
        <w:t xml:space="preserve"> (1997), os processos internos de aprovação são permeados por disputas distributivas, coalizões instáveis e incentivos eleitorais que podem redesenhar o cálculo racional de parlamentares e governos. A ratificação envolve custos políticos, pressões de grupos econômicos e riscos reputacionais, elementos que podem ser explorados por opositores do acordo ou por atores que buscam renegociar aspectos específicos.</w:t>
      </w:r>
    </w:p>
    <w:p w14:paraId="5C33243C" w14:textId="77777777" w:rsidR="00FC4448" w:rsidRPr="00FC4448" w:rsidRDefault="00FC4448" w:rsidP="006054FA">
      <w:pPr>
        <w:pStyle w:val="NormalWeb"/>
        <w:spacing w:before="0" w:beforeAutospacing="0" w:after="0" w:afterAutospacing="0" w:line="360" w:lineRule="auto"/>
        <w:ind w:firstLine="851"/>
        <w:jc w:val="both"/>
        <w:rPr>
          <w:color w:val="000000"/>
        </w:rPr>
      </w:pPr>
      <w:r w:rsidRPr="00FC4448">
        <w:rPr>
          <w:color w:val="000000"/>
        </w:rPr>
        <w:t xml:space="preserve">A compreensão das arenas decisórias revela que o processo é fragmentado e </w:t>
      </w:r>
      <w:proofErr w:type="spellStart"/>
      <w:r w:rsidRPr="00FC4448">
        <w:rPr>
          <w:color w:val="000000"/>
        </w:rPr>
        <w:t>multiescalar</w:t>
      </w:r>
      <w:proofErr w:type="spellEnd"/>
      <w:r w:rsidRPr="00FC4448">
        <w:rPr>
          <w:color w:val="000000"/>
        </w:rPr>
        <w:t xml:space="preserve">. No âmbito regional, o Grupo Mercado Comum (GMC) permanece como instância de coordenação política entre os países do Mercosul. Embora não possua competência legislativa, suas </w:t>
      </w:r>
      <w:r w:rsidRPr="00FC4448">
        <w:rPr>
          <w:color w:val="000000"/>
        </w:rPr>
        <w:lastRenderedPageBreak/>
        <w:t xml:space="preserve">manifestações influenciam o ambiente político interno e atuam como sinalizadores do compromisso dos governos. Da mesma forma, o </w:t>
      </w:r>
      <w:proofErr w:type="spellStart"/>
      <w:r w:rsidRPr="00FC4448">
        <w:rPr>
          <w:color w:val="000000"/>
        </w:rPr>
        <w:t>Parlasur</w:t>
      </w:r>
      <w:proofErr w:type="spellEnd"/>
      <w:r w:rsidRPr="00FC4448">
        <w:rPr>
          <w:color w:val="000000"/>
        </w:rPr>
        <w:t xml:space="preserve"> funciona como uma arena de legitimação discursiva. Embora suas resoluções não sejam vinculantes, possuem capacidade de antecipar debates, mobilizar opiniões e pressionar atores nacionais, razão pela qual sua inclusão no plano de influência é indispensável.</w:t>
      </w:r>
    </w:p>
    <w:p w14:paraId="310200FE" w14:textId="77777777" w:rsidR="00FC4448" w:rsidRPr="00FC4448" w:rsidRDefault="00FC4448" w:rsidP="006054FA">
      <w:pPr>
        <w:pStyle w:val="NormalWeb"/>
        <w:spacing w:before="0" w:beforeAutospacing="0" w:after="0" w:afterAutospacing="0" w:line="360" w:lineRule="auto"/>
        <w:ind w:firstLine="851"/>
        <w:jc w:val="both"/>
        <w:rPr>
          <w:color w:val="000000"/>
        </w:rPr>
      </w:pPr>
      <w:r w:rsidRPr="00FC4448">
        <w:rPr>
          <w:color w:val="000000"/>
        </w:rPr>
        <w:t xml:space="preserve">No nível doméstico, as arenas decisórias se multiplicam. No Executivo brasileiro, o Ministério do Desenvolvimento, Indústria, Comércio e Serviços (MDIC) assume papel técnico central ao avaliar impactos econômicos e negociar ajustes regulatórios. O Ministério das Relações Exteriores (MRE) atua na interlocução diplomática e coordena a posição internacional do país, ao passo que a Casa Civil exerce função articuladora entre ministérios e Congresso. A literatura de </w:t>
      </w:r>
      <w:proofErr w:type="spellStart"/>
      <w:r w:rsidRPr="00FC4448">
        <w:rPr>
          <w:color w:val="000000"/>
        </w:rPr>
        <w:t>neoinstitucionalismo</w:t>
      </w:r>
      <w:proofErr w:type="spellEnd"/>
      <w:r w:rsidRPr="00FC4448">
        <w:rPr>
          <w:color w:val="000000"/>
        </w:rPr>
        <w:t xml:space="preserve"> considera esse arranjo uma configuração típica de “jogo em dois níveis” (PUTNAM, 1988), na qual o sucesso internacional depende da construção prévia de uma coalizão doméstica sustentável.</w:t>
      </w:r>
    </w:p>
    <w:p w14:paraId="34ECD908" w14:textId="77777777" w:rsidR="00FC4448" w:rsidRPr="00FC4448" w:rsidRDefault="00FC4448" w:rsidP="006054FA">
      <w:pPr>
        <w:pStyle w:val="NormalWeb"/>
        <w:spacing w:before="0" w:beforeAutospacing="0" w:after="0" w:afterAutospacing="0" w:line="360" w:lineRule="auto"/>
        <w:ind w:firstLine="851"/>
        <w:jc w:val="both"/>
        <w:rPr>
          <w:color w:val="000000"/>
        </w:rPr>
      </w:pPr>
      <w:r w:rsidRPr="00FC4448">
        <w:rPr>
          <w:color w:val="000000"/>
        </w:rPr>
        <w:t xml:space="preserve">No Legislativo, o processo de apreciação envolve comissões temáticas com trajetórias e incentivos distintos. A Comissão de Relações Exteriores e Defesa Nacional (CREDN) e a Comissão de Constituição e Justiça (CCJ) da Câmara analisam respectivamente o mérito e a constitucionalidade do acordo, seguidas por deliberação no Plenário. No Senado, a Comissão de Relações Exteriores (CRE) desempenha papel análogo e tende historicamente a atuar com maior tecnicidade, embora não esteja imune a pressões políticas. O modelo decisório brasileiro, ao demandar aprovação em duas casas legislativas com diferentes composições e dinâmicas, amplia a necessidade de estratégias de </w:t>
      </w:r>
      <w:proofErr w:type="spellStart"/>
      <w:r w:rsidRPr="00FC4448">
        <w:rPr>
          <w:color w:val="000000"/>
        </w:rPr>
        <w:t>advocacy</w:t>
      </w:r>
      <w:proofErr w:type="spellEnd"/>
      <w:r w:rsidRPr="00FC4448">
        <w:rPr>
          <w:color w:val="000000"/>
        </w:rPr>
        <w:t xml:space="preserve"> ajustadas às sensibilidades de cada arena.</w:t>
      </w:r>
    </w:p>
    <w:p w14:paraId="7D4EC9B1" w14:textId="77777777" w:rsidR="00FC4448" w:rsidRPr="00FC4448" w:rsidRDefault="00FC4448" w:rsidP="006054FA">
      <w:pPr>
        <w:pStyle w:val="NormalWeb"/>
        <w:spacing w:before="0" w:beforeAutospacing="0" w:after="0" w:afterAutospacing="0" w:line="360" w:lineRule="auto"/>
        <w:ind w:firstLine="851"/>
        <w:jc w:val="both"/>
        <w:rPr>
          <w:color w:val="000000"/>
        </w:rPr>
      </w:pPr>
      <w:r w:rsidRPr="00FC4448">
        <w:rPr>
          <w:color w:val="000000"/>
        </w:rPr>
        <w:t xml:space="preserve">Nesse ambiente, torna-se imprescindível mapear os stakeholders. A ANFAVEA possui posição altamente favorável ao texto e forte capacidade de articulação. Os sindicatos metalúrgicos compartilham preocupações relacionadas a empregos e estrutura produtiva, configurando aliados naturais. Governadores de estados industriais, como São Paulo, Minas Gerais, Paraná e Rio Grande do Sul, exercem influência significativa sobre bancadas e podem atuar como multiplicadores de pressão política. Em contrapartida, setores do agronegócio tendem a defender uma aprovação célere, pois concentram os principais ganhos imediatos do acordo, podendo pressionar pela redução dos prazos de proteção automotiva. Grupos ambientalistas, por sua vez, podem ser seduzidos por narrativas que associam prazos longos à postergação da transição verde, ainda que essa interpretação não encontre respaldo técnico. Por fim, atores internacionais, como a Comissão </w:t>
      </w:r>
      <w:r w:rsidRPr="00FC4448">
        <w:rPr>
          <w:color w:val="000000"/>
        </w:rPr>
        <w:lastRenderedPageBreak/>
        <w:t>Europeia, podem tentar influenciar a percepção pública mediante declarações que sugiram abertura a revisões, o que exigirá monitoramento diplomático cuidadoso.</w:t>
      </w:r>
    </w:p>
    <w:p w14:paraId="529C7792" w14:textId="77777777" w:rsidR="00FC4448" w:rsidRPr="00FC4448" w:rsidRDefault="00FC4448" w:rsidP="006054FA">
      <w:pPr>
        <w:pStyle w:val="NormalWeb"/>
        <w:spacing w:before="0" w:beforeAutospacing="0" w:after="0" w:afterAutospacing="0" w:line="360" w:lineRule="auto"/>
        <w:ind w:firstLine="851"/>
        <w:jc w:val="both"/>
        <w:rPr>
          <w:color w:val="000000"/>
        </w:rPr>
      </w:pPr>
      <w:r w:rsidRPr="00FC4448">
        <w:rPr>
          <w:color w:val="000000"/>
        </w:rPr>
        <w:t xml:space="preserve">Diante desse cenário, a formulação de estratégias de influência deve articular ações diretas e indiretas. A tradição analítica de Baumgartner e </w:t>
      </w:r>
      <w:proofErr w:type="spellStart"/>
      <w:r w:rsidRPr="00FC4448">
        <w:rPr>
          <w:color w:val="000000"/>
        </w:rPr>
        <w:t>Leech</w:t>
      </w:r>
      <w:proofErr w:type="spellEnd"/>
      <w:r w:rsidRPr="00FC4448">
        <w:rPr>
          <w:color w:val="000000"/>
        </w:rPr>
        <w:t xml:space="preserve"> (1998) demonstra que grupos de interesse eficazes são aqueles capazes de adaptar sua atuação a diferentes ambientes decisórios, construindo canais duradouros com parlamentares, burocracias estatais e sociedade civil. No caso da ANFAVEA, isso implica atuar de maneira técnica e politicamente sensível. A atuação direta envolve reuniões com parlamentares-chave, fornecimento de notas técnicas aprofundadas, participação em audiências públicas e articulação constante com MDIC, MRE e Casa Civil. Esse conjunto de ações visa consolidar uma “memória técnica” do acordo nos gabinetes legislativos e evitar que percepções distorcidas se consolidem.</w:t>
      </w:r>
    </w:p>
    <w:p w14:paraId="57A40802" w14:textId="77777777" w:rsidR="00FC4448" w:rsidRPr="00FC4448" w:rsidRDefault="00FC4448" w:rsidP="006054FA">
      <w:pPr>
        <w:pStyle w:val="NormalWeb"/>
        <w:spacing w:before="0" w:beforeAutospacing="0" w:after="0" w:afterAutospacing="0" w:line="360" w:lineRule="auto"/>
        <w:ind w:firstLine="851"/>
        <w:jc w:val="both"/>
        <w:rPr>
          <w:color w:val="000000"/>
        </w:rPr>
      </w:pPr>
      <w:r w:rsidRPr="00FC4448">
        <w:rPr>
          <w:color w:val="000000"/>
        </w:rPr>
        <w:t xml:space="preserve">As estratégias indiretas, igualmente necessárias, compreendem a atuação em meios de comunicação, a construção de coalizões com sindicatos e federações industriais, o diálogo com especialistas e a utilização do </w:t>
      </w:r>
      <w:proofErr w:type="spellStart"/>
      <w:r w:rsidRPr="00FC4448">
        <w:rPr>
          <w:color w:val="000000"/>
        </w:rPr>
        <w:t>Parlasur</w:t>
      </w:r>
      <w:proofErr w:type="spellEnd"/>
      <w:r w:rsidRPr="00FC4448">
        <w:rPr>
          <w:color w:val="000000"/>
        </w:rPr>
        <w:t xml:space="preserve"> como espaço de legitimação política regional. A teoria da agenda pública indica que narrativas eficazes possuem maior alcance do que argumentos puramente normativos (KINGDON, 2003). Assim, é essencial desenvolver mensagens capazes de conectar a proteção temporária do setor automotivo à preservação de empregos qualificados, à modernização tecnológica e à transição energética sustentável.</w:t>
      </w:r>
    </w:p>
    <w:p w14:paraId="4AD42B1D" w14:textId="77777777" w:rsidR="00FC4448" w:rsidRPr="00FC4448" w:rsidRDefault="00FC4448" w:rsidP="006054FA">
      <w:pPr>
        <w:pStyle w:val="NormalWeb"/>
        <w:spacing w:before="0" w:beforeAutospacing="0" w:after="0" w:afterAutospacing="0" w:line="360" w:lineRule="auto"/>
        <w:ind w:firstLine="851"/>
        <w:jc w:val="both"/>
        <w:rPr>
          <w:color w:val="000000"/>
        </w:rPr>
      </w:pPr>
      <w:r w:rsidRPr="00FC4448">
        <w:rPr>
          <w:color w:val="000000"/>
        </w:rPr>
        <w:t>As narrativas desempenham papel estruturante nesse processo. A defesa da manutenção dos prazos de desgravação deve evitar a retórica do protecionismo e se ancorar no conceito de “competitividade estratégica”, segundo o qual políticas industriais temporárias constituem instrumentos legítimos para evitar choques econômicos e assegurar condições mínimas de concorrência. Ao mesmo tempo, é fundamental compreender que a disputa discursiva não se dá apenas no plano econômico, mas também no plano simbólico. A percepção de que o Mercosul estaria retardando a transição energética deve ser contestada mediante dados e análises que demonstrem que a proteção negociada visa justamente permitir que os países do bloco possam realizar investimentos e desenvolver capacidades tecnológicas em ritmo sustentável.</w:t>
      </w:r>
    </w:p>
    <w:p w14:paraId="4886D113" w14:textId="77777777" w:rsidR="00FC4448" w:rsidRPr="00FC4448" w:rsidRDefault="00FC4448" w:rsidP="006054FA">
      <w:pPr>
        <w:pStyle w:val="NormalWeb"/>
        <w:spacing w:before="0" w:beforeAutospacing="0" w:after="0" w:afterAutospacing="0" w:line="360" w:lineRule="auto"/>
        <w:ind w:firstLine="851"/>
        <w:jc w:val="both"/>
        <w:rPr>
          <w:color w:val="000000"/>
        </w:rPr>
      </w:pPr>
      <w:r w:rsidRPr="00FC4448">
        <w:rPr>
          <w:color w:val="000000"/>
        </w:rPr>
        <w:t xml:space="preserve">Outra dimensão fundamental do plano reside na construção de um cronograma detalhado, que permita acompanhar a evolução legislativa e adequar ações a cada momento do processo. A literatura de </w:t>
      </w:r>
      <w:proofErr w:type="spellStart"/>
      <w:r w:rsidRPr="00FC4448">
        <w:rPr>
          <w:color w:val="000000"/>
        </w:rPr>
        <w:t>policy</w:t>
      </w:r>
      <w:proofErr w:type="spellEnd"/>
      <w:r w:rsidRPr="00FC4448">
        <w:rPr>
          <w:color w:val="000000"/>
        </w:rPr>
        <w:t xml:space="preserve"> </w:t>
      </w:r>
      <w:proofErr w:type="spellStart"/>
      <w:r w:rsidRPr="00FC4448">
        <w:rPr>
          <w:color w:val="000000"/>
        </w:rPr>
        <w:t>process</w:t>
      </w:r>
      <w:proofErr w:type="spellEnd"/>
      <w:r w:rsidRPr="00FC4448">
        <w:rPr>
          <w:color w:val="000000"/>
        </w:rPr>
        <w:t xml:space="preserve"> enfatiza que janelas de oportunidade são temporárias e dependem de alinhamentos circunstanciais entre problemas, soluções e atores (KINGDON, 2003). Assim, a </w:t>
      </w:r>
      <w:r w:rsidRPr="00FC4448">
        <w:rPr>
          <w:color w:val="000000"/>
        </w:rPr>
        <w:lastRenderedPageBreak/>
        <w:t>organização do trabalho em ciclos trimestrais possibilita planejamento dinâmico e antecipação de cenários, especialmente em contexto de instabilidade política.</w:t>
      </w:r>
    </w:p>
    <w:p w14:paraId="5407DE75" w14:textId="77777777" w:rsidR="006054FA" w:rsidRDefault="00FC4448" w:rsidP="006054FA">
      <w:pPr>
        <w:pStyle w:val="NormalWeb"/>
        <w:spacing w:before="0" w:beforeAutospacing="0" w:after="0" w:afterAutospacing="0" w:line="360" w:lineRule="auto"/>
        <w:ind w:firstLine="851"/>
        <w:jc w:val="both"/>
        <w:rPr>
          <w:color w:val="000000"/>
        </w:rPr>
      </w:pPr>
      <w:r w:rsidRPr="00FC4448">
        <w:rPr>
          <w:color w:val="000000"/>
        </w:rPr>
        <w:t>Por fim, nenhum plano estratégico se completa sem mecanismos de monitoramento e avaliação. Acompanhamento legislativo semanal, análise sistemática da imprensa, detecção de movimentos da União Europeia e rastreamento de alterações de posicionamento parlamentar são elementos essenciais para a mitigação de riscos. O estabelecimento de indicadores claros — como preservação do texto automotivo, emissão de pareceres favoráveis e manutenção de apoio público de governadores e sindicatos — permite avaliar a efetividade do plano e realizar ajustes constantes.</w:t>
      </w:r>
    </w:p>
    <w:p w14:paraId="615B99CE" w14:textId="77777777" w:rsidR="006054FA" w:rsidRDefault="006054FA" w:rsidP="006054FA">
      <w:pPr>
        <w:pStyle w:val="NormalWeb"/>
        <w:spacing w:before="0" w:beforeAutospacing="0" w:after="0" w:afterAutospacing="0" w:line="360" w:lineRule="auto"/>
        <w:ind w:firstLine="851"/>
        <w:jc w:val="both"/>
        <w:rPr>
          <w:rStyle w:val="Forte"/>
          <w:color w:val="000000"/>
        </w:rPr>
      </w:pPr>
    </w:p>
    <w:p w14:paraId="76302A65" w14:textId="4CEDFEFA" w:rsidR="00FC4448" w:rsidRPr="00006322" w:rsidRDefault="00FC4448" w:rsidP="006054FA">
      <w:pPr>
        <w:pStyle w:val="NormalWeb"/>
        <w:spacing w:before="0" w:beforeAutospacing="0" w:after="0" w:afterAutospacing="0" w:line="360" w:lineRule="auto"/>
        <w:ind w:firstLine="851"/>
        <w:jc w:val="both"/>
        <w:rPr>
          <w:color w:val="000000"/>
        </w:rPr>
      </w:pPr>
      <w:r w:rsidRPr="00006322">
        <w:rPr>
          <w:rStyle w:val="Forte"/>
          <w:color w:val="000000"/>
        </w:rPr>
        <w:t>CONSIDERAÇÕES FINAIS</w:t>
      </w:r>
    </w:p>
    <w:p w14:paraId="2A2E9FD5" w14:textId="77777777" w:rsidR="006054FA" w:rsidRDefault="00FC4448" w:rsidP="006054FA">
      <w:pPr>
        <w:pStyle w:val="NormalWeb"/>
        <w:spacing w:before="0" w:beforeAutospacing="0" w:after="0" w:afterAutospacing="0" w:line="360" w:lineRule="auto"/>
        <w:ind w:firstLine="851"/>
        <w:jc w:val="both"/>
        <w:rPr>
          <w:color w:val="000000"/>
        </w:rPr>
      </w:pPr>
      <w:r w:rsidRPr="00FC4448">
        <w:rPr>
          <w:color w:val="000000"/>
        </w:rPr>
        <w:t>O processo de ratificação do Acordo Mercosul–União Europeia representa um dos momentos mais decisivos das últimas décadas para a política industrial e comercial dos países do bloco, especialmente para o Brasil. Ao longo de mais de vinte e cinco anos de negociações, sucessivas equipes técnicas e diplomáticas buscaram conciliar demandas legítimas de abertura comercial com a necessidade de proteger setores estratégicos, entre os quais o automotivo ocupa posição central pela complexidade de sua cadeia produtiva, pelo volume de empregos que mobiliza e pela importância para a transição energética em curso no cenário global. A conclusão técnica do capítulo automotivo em dezembro de 2024, com a definição de prazos amplos de desgravação e mecanismos robustos de proteção, constitui importante vitória negociadora que só se manterá se o texto for preservado integralmente durante sua tramitação legislativa.</w:t>
      </w:r>
    </w:p>
    <w:p w14:paraId="4E24A688" w14:textId="3B403B45" w:rsidR="00FC4448" w:rsidRPr="00FC4448" w:rsidRDefault="00FC4448" w:rsidP="006054FA">
      <w:pPr>
        <w:pStyle w:val="NormalWeb"/>
        <w:spacing w:before="0" w:beforeAutospacing="0" w:after="0" w:afterAutospacing="0" w:line="360" w:lineRule="auto"/>
        <w:ind w:firstLine="851"/>
        <w:jc w:val="both"/>
        <w:rPr>
          <w:color w:val="000000"/>
        </w:rPr>
      </w:pPr>
      <w:r w:rsidRPr="00FC4448">
        <w:rPr>
          <w:color w:val="000000"/>
        </w:rPr>
        <w:t xml:space="preserve">A etapa de ratificação, entretanto, inaugura nova fase do processo, marcada por dinâmicas políticas internas, disputas discursivas e influências externas que podem reabrir controvérsias ou introduzir pressões por revisões. Por essa razão, torna-se indispensável a elaboração de um plano estratégico de relações governamentais que articule, de forma coerente e fundamentada, ações de </w:t>
      </w:r>
      <w:proofErr w:type="spellStart"/>
      <w:r w:rsidRPr="00FC4448">
        <w:rPr>
          <w:color w:val="000000"/>
        </w:rPr>
        <w:t>advocacy</w:t>
      </w:r>
      <w:proofErr w:type="spellEnd"/>
      <w:r w:rsidRPr="00FC4448">
        <w:rPr>
          <w:color w:val="000000"/>
        </w:rPr>
        <w:t>, mobilização política, comunicação e produção técnica de alto nível. Tal plano deve ser capaz de integrar atores com diferentes interesses — setor produtivo, sindicatos, governadores, ministérios, parlamentares e organismos regionais — em torno de uma narrativa consistente que destaque a importância dos prazos negociados como instrumento de competitividade e não como mecanismo de proteção indevida.</w:t>
      </w:r>
    </w:p>
    <w:p w14:paraId="6F157DC7" w14:textId="77777777" w:rsidR="00FC4448" w:rsidRPr="00FC4448" w:rsidRDefault="00FC4448" w:rsidP="006054FA">
      <w:pPr>
        <w:pStyle w:val="NormalWeb"/>
        <w:spacing w:before="0" w:beforeAutospacing="0" w:after="0" w:afterAutospacing="0" w:line="360" w:lineRule="auto"/>
        <w:ind w:firstLine="851"/>
        <w:jc w:val="both"/>
        <w:rPr>
          <w:color w:val="000000"/>
        </w:rPr>
      </w:pPr>
      <w:r w:rsidRPr="00FC4448">
        <w:rPr>
          <w:color w:val="000000"/>
        </w:rPr>
        <w:t xml:space="preserve">A literatura especializada demonstra que processos de formulação e implementação de políticas públicas são marcados por interações complexas entre atores estatais e não estatais, </w:t>
      </w:r>
      <w:r w:rsidRPr="00FC4448">
        <w:rPr>
          <w:color w:val="000000"/>
        </w:rPr>
        <w:lastRenderedPageBreak/>
        <w:t xml:space="preserve">exigindo estratégias que combinem capacidade analítica, engajamento institucional e comunicação eficaz. No caso da ANFAVEA, sua legitimidade técnica, seu papel histórico no desenvolvimento industrial brasileiro e sua posição central na cadeia automotiva conferem-lhe autoridade para conduzir o processo de </w:t>
      </w:r>
      <w:proofErr w:type="spellStart"/>
      <w:r w:rsidRPr="00FC4448">
        <w:rPr>
          <w:color w:val="000000"/>
        </w:rPr>
        <w:t>advocacy</w:t>
      </w:r>
      <w:proofErr w:type="spellEnd"/>
      <w:r w:rsidRPr="00FC4448">
        <w:rPr>
          <w:color w:val="000000"/>
        </w:rPr>
        <w:t xml:space="preserve"> com robustez e credibilidade. A articulação com o Ministério do Desenvolvimento, Indústria, Comércio e Serviços, com o Ministério das Relações Exteriores e com a Casa Civil adiciona densidade institucional às ações propostas, ao passo que o diálogo com sindicatos e governadores amplia o alcance político das mensagens.</w:t>
      </w:r>
    </w:p>
    <w:p w14:paraId="736C2C41" w14:textId="77777777" w:rsidR="006054FA" w:rsidRDefault="00FC4448" w:rsidP="006054FA">
      <w:pPr>
        <w:pStyle w:val="NormalWeb"/>
        <w:spacing w:before="0" w:beforeAutospacing="0" w:after="0" w:afterAutospacing="0" w:line="360" w:lineRule="auto"/>
        <w:ind w:firstLine="851"/>
        <w:jc w:val="both"/>
        <w:rPr>
          <w:color w:val="000000"/>
        </w:rPr>
      </w:pPr>
      <w:r w:rsidRPr="00FC4448">
        <w:rPr>
          <w:color w:val="000000"/>
        </w:rPr>
        <w:t>O plano apresentado demonstra que a defesa dos prazos e salvaguardas negociados não se baseia em interesses corporativos, mas na necessidade de garantir condições mínimas de concorrência e sustentabilidade industrial em um contexto global de transição tecnológica acelerada. Países desenvolvidos que lideram a produção de veículos elétricos adotaram políticas industriais robustas e mecanismos de proteção temporária, reforçando que a trajetória proposta pelo Mercosul não é exceção, mas alinhamento a práticas internacionais.</w:t>
      </w:r>
    </w:p>
    <w:p w14:paraId="2CFC8925" w14:textId="35615E51" w:rsidR="00FC4448" w:rsidRPr="00FC4448" w:rsidRDefault="00FC4448" w:rsidP="006054FA">
      <w:pPr>
        <w:pStyle w:val="NormalWeb"/>
        <w:spacing w:before="0" w:beforeAutospacing="0" w:after="0" w:afterAutospacing="0" w:line="360" w:lineRule="auto"/>
        <w:ind w:firstLine="851"/>
        <w:jc w:val="both"/>
        <w:rPr>
          <w:color w:val="000000"/>
        </w:rPr>
      </w:pPr>
      <w:r w:rsidRPr="00FC4448">
        <w:rPr>
          <w:color w:val="000000"/>
        </w:rPr>
        <w:t>Ao integrar análise teórica, diagnóstico político, estratégias de ação e mecanismos de monitoramento, este trabalho oferece uma abordagem metodológica consistente com o campo de estudos das relações governamentais e com as exigências práticas enfrentadas por atores que buscam influenciar políticas públicas em ambientes democráticos. Mais do que um guia operacional, trata-se de uma reflexão sobre como interesses legítimos podem ser defendidos de forma transparente, estruturada e alinhada ao desenvolvimento socioeconômico do país. Nesse sentido, a ratificação do Acordo Mercosul–União Europeia, com a manutenção integral do capítulo automotivo, não representa apenas uma vitória negocial, mas um passo estratégico para garantir ao Brasil e ao Mercosul condições para participar de maneira soberana e competitiva das transformações tecnológicas que moldam o século XXI.</w:t>
      </w:r>
    </w:p>
    <w:p w14:paraId="6F2612AD" w14:textId="3B1FD387" w:rsidR="00FC4448" w:rsidRDefault="00FC4448" w:rsidP="00FC4448">
      <w:pPr>
        <w:rPr>
          <w:rFonts w:ascii="Times New Roman" w:hAnsi="Times New Roman" w:cs="Times New Roman"/>
          <w:sz w:val="24"/>
          <w:szCs w:val="24"/>
          <w:lang w:val="pt-BR"/>
        </w:rPr>
      </w:pPr>
    </w:p>
    <w:p w14:paraId="4F02C64C" w14:textId="387E2CCC" w:rsidR="006054FA" w:rsidRDefault="006054FA" w:rsidP="00FC4448">
      <w:pPr>
        <w:rPr>
          <w:rFonts w:ascii="Times New Roman" w:hAnsi="Times New Roman" w:cs="Times New Roman"/>
          <w:sz w:val="24"/>
          <w:szCs w:val="24"/>
          <w:lang w:val="pt-BR"/>
        </w:rPr>
      </w:pPr>
    </w:p>
    <w:p w14:paraId="5B896A1F" w14:textId="41B90333" w:rsidR="006054FA" w:rsidRDefault="006054FA" w:rsidP="00FC4448">
      <w:pPr>
        <w:rPr>
          <w:rFonts w:ascii="Times New Roman" w:hAnsi="Times New Roman" w:cs="Times New Roman"/>
          <w:sz w:val="24"/>
          <w:szCs w:val="24"/>
          <w:lang w:val="pt-BR"/>
        </w:rPr>
      </w:pPr>
    </w:p>
    <w:p w14:paraId="71BC907E" w14:textId="77777777" w:rsidR="006054FA" w:rsidRPr="00006322" w:rsidRDefault="006054FA" w:rsidP="00FC4448">
      <w:pPr>
        <w:rPr>
          <w:rFonts w:ascii="Times New Roman" w:hAnsi="Times New Roman" w:cs="Times New Roman"/>
          <w:sz w:val="24"/>
          <w:szCs w:val="24"/>
          <w:lang w:val="pt-BR"/>
        </w:rPr>
      </w:pPr>
    </w:p>
    <w:p w14:paraId="22A76691" w14:textId="6A003139" w:rsidR="00FC4448" w:rsidRPr="00006322" w:rsidRDefault="00FC4448" w:rsidP="006054FA">
      <w:pPr>
        <w:pStyle w:val="Ttulo1"/>
        <w:jc w:val="center"/>
        <w:rPr>
          <w:rFonts w:ascii="Times New Roman" w:hAnsi="Times New Roman" w:cs="Times New Roman"/>
          <w:color w:val="000000"/>
          <w:sz w:val="24"/>
          <w:szCs w:val="24"/>
          <w:lang w:val="pt-BR"/>
        </w:rPr>
      </w:pPr>
      <w:r w:rsidRPr="00006322">
        <w:rPr>
          <w:rStyle w:val="Forte"/>
          <w:rFonts w:ascii="Times New Roman" w:hAnsi="Times New Roman" w:cs="Times New Roman"/>
          <w:b/>
          <w:bCs/>
          <w:color w:val="000000"/>
          <w:sz w:val="24"/>
          <w:szCs w:val="24"/>
          <w:lang w:val="pt-BR"/>
        </w:rPr>
        <w:lastRenderedPageBreak/>
        <w:t>REFERÊNCIAS</w:t>
      </w:r>
    </w:p>
    <w:p w14:paraId="3C179DEF" w14:textId="77777777" w:rsidR="00460E35" w:rsidRPr="00FC4448" w:rsidRDefault="00460E35" w:rsidP="006054FA">
      <w:pPr>
        <w:pStyle w:val="NormalWeb"/>
        <w:rPr>
          <w:color w:val="000000"/>
        </w:rPr>
      </w:pPr>
      <w:r w:rsidRPr="00FC4448">
        <w:rPr>
          <w:color w:val="000000"/>
        </w:rPr>
        <w:t>AGÊNCIA BRASIL.</w:t>
      </w:r>
      <w:r w:rsidRPr="00FC4448">
        <w:rPr>
          <w:rStyle w:val="apple-converted-space"/>
          <w:color w:val="000000"/>
        </w:rPr>
        <w:t> </w:t>
      </w:r>
      <w:r w:rsidRPr="00460E35">
        <w:rPr>
          <w:rStyle w:val="nfase"/>
          <w:rFonts w:eastAsiaTheme="majorEastAsia"/>
          <w:b/>
          <w:color w:val="000000"/>
        </w:rPr>
        <w:t>Acordo Mercosul-UE prolonga eliminação de tarifas do setor automotivo</w:t>
      </w:r>
      <w:r w:rsidRPr="00FC4448">
        <w:rPr>
          <w:color w:val="000000"/>
        </w:rPr>
        <w:t>. 18 dez. 2024. Disponível em:</w:t>
      </w:r>
      <w:r w:rsidRPr="00FC4448">
        <w:rPr>
          <w:rStyle w:val="apple-converted-space"/>
          <w:color w:val="000000"/>
        </w:rPr>
        <w:t> </w:t>
      </w:r>
      <w:hyperlink r:id="rId6" w:history="1">
        <w:r w:rsidRPr="00FC4448">
          <w:rPr>
            <w:rStyle w:val="Hyperlink"/>
            <w:rFonts w:eastAsiaTheme="majorEastAsia"/>
          </w:rPr>
          <w:t>https://agenciabrasil.ebc.com.br</w:t>
        </w:r>
      </w:hyperlink>
      <w:r w:rsidRPr="00FC4448">
        <w:rPr>
          <w:color w:val="000000"/>
        </w:rPr>
        <w:t>. Acesso em: 10 fev. 2025.</w:t>
      </w:r>
    </w:p>
    <w:p w14:paraId="7112C0C6" w14:textId="77777777" w:rsidR="00460E35" w:rsidRPr="00FC4448" w:rsidRDefault="00460E35" w:rsidP="006054FA">
      <w:pPr>
        <w:pStyle w:val="NormalWeb"/>
        <w:rPr>
          <w:color w:val="000000"/>
        </w:rPr>
      </w:pPr>
      <w:r w:rsidRPr="00006322">
        <w:rPr>
          <w:color w:val="000000"/>
          <w:lang w:val="en-US"/>
        </w:rPr>
        <w:t>BAUMGARTNER, Frank; LEECH, Beth.</w:t>
      </w:r>
      <w:r w:rsidRPr="00006322">
        <w:rPr>
          <w:rStyle w:val="apple-converted-space"/>
          <w:color w:val="000000"/>
          <w:lang w:val="en-US"/>
        </w:rPr>
        <w:t> </w:t>
      </w:r>
      <w:r w:rsidRPr="00460E35">
        <w:rPr>
          <w:rStyle w:val="nfase"/>
          <w:rFonts w:eastAsiaTheme="majorEastAsia"/>
          <w:b/>
          <w:color w:val="000000"/>
          <w:lang w:val="en-US"/>
        </w:rPr>
        <w:t>Basic Interests: The Importance of Groups in Politics and in Political Science</w:t>
      </w:r>
      <w:r w:rsidRPr="00006322">
        <w:rPr>
          <w:color w:val="000000"/>
          <w:lang w:val="en-US"/>
        </w:rPr>
        <w:t xml:space="preserve">. </w:t>
      </w:r>
      <w:r w:rsidRPr="00FC4448">
        <w:rPr>
          <w:color w:val="000000"/>
        </w:rPr>
        <w:t xml:space="preserve">Princeton: Princeton </w:t>
      </w:r>
      <w:proofErr w:type="spellStart"/>
      <w:r w:rsidRPr="00FC4448">
        <w:rPr>
          <w:color w:val="000000"/>
        </w:rPr>
        <w:t>University</w:t>
      </w:r>
      <w:proofErr w:type="spellEnd"/>
      <w:r w:rsidRPr="00FC4448">
        <w:rPr>
          <w:color w:val="000000"/>
        </w:rPr>
        <w:t xml:space="preserve"> Press, 1998.</w:t>
      </w:r>
    </w:p>
    <w:p w14:paraId="777A5BCB" w14:textId="77777777" w:rsidR="00460E35" w:rsidRPr="00FC4448" w:rsidRDefault="00460E35" w:rsidP="006054FA">
      <w:pPr>
        <w:pStyle w:val="NormalWeb"/>
        <w:rPr>
          <w:color w:val="000000"/>
        </w:rPr>
      </w:pPr>
      <w:r w:rsidRPr="00FC4448">
        <w:rPr>
          <w:color w:val="000000"/>
        </w:rPr>
        <w:t>FARIA, Carlos Aurélio Pimenta; RIBEIRO, Thiago Moreira de Souza.</w:t>
      </w:r>
      <w:r w:rsidRPr="00FC4448">
        <w:rPr>
          <w:rStyle w:val="apple-converted-space"/>
          <w:color w:val="000000"/>
        </w:rPr>
        <w:t> </w:t>
      </w:r>
      <w:r w:rsidRPr="00FC4448">
        <w:rPr>
          <w:rStyle w:val="nfase"/>
          <w:rFonts w:eastAsiaTheme="majorEastAsia"/>
          <w:color w:val="000000"/>
        </w:rPr>
        <w:t>Relações governamentais e lobby: a participação de grupos de interesse na formulação de políticas públicas</w:t>
      </w:r>
      <w:r w:rsidRPr="00FC4448">
        <w:rPr>
          <w:color w:val="000000"/>
        </w:rPr>
        <w:t xml:space="preserve">. </w:t>
      </w:r>
      <w:r w:rsidRPr="00460E35">
        <w:rPr>
          <w:b/>
          <w:color w:val="000000"/>
        </w:rPr>
        <w:t>Revista de Administração Pública</w:t>
      </w:r>
      <w:r w:rsidRPr="00FC4448">
        <w:rPr>
          <w:color w:val="000000"/>
        </w:rPr>
        <w:t xml:space="preserve"> (RAP), v. 44, n. 6, p. 1471–1497, 2010.</w:t>
      </w:r>
    </w:p>
    <w:p w14:paraId="2C20824B" w14:textId="77777777" w:rsidR="00460E35" w:rsidRPr="00006322" w:rsidRDefault="00460E35" w:rsidP="006054FA">
      <w:pPr>
        <w:pStyle w:val="NormalWeb"/>
        <w:rPr>
          <w:color w:val="000000"/>
          <w:lang w:val="en-US"/>
        </w:rPr>
      </w:pPr>
      <w:r w:rsidRPr="00FC4448">
        <w:rPr>
          <w:color w:val="000000"/>
        </w:rPr>
        <w:t>KEOHANE, Robert; NYE, Joseph.</w:t>
      </w:r>
      <w:r w:rsidRPr="00FC4448">
        <w:rPr>
          <w:rStyle w:val="apple-converted-space"/>
          <w:color w:val="000000"/>
        </w:rPr>
        <w:t> </w:t>
      </w:r>
      <w:r w:rsidRPr="00460E35">
        <w:rPr>
          <w:rStyle w:val="nfase"/>
          <w:rFonts w:eastAsiaTheme="majorEastAsia"/>
          <w:b/>
          <w:color w:val="000000"/>
          <w:lang w:val="en-US"/>
        </w:rPr>
        <w:t>Power and Interdependence</w:t>
      </w:r>
      <w:r w:rsidRPr="00006322">
        <w:rPr>
          <w:color w:val="000000"/>
          <w:lang w:val="en-US"/>
        </w:rPr>
        <w:t>. 4. ed. Boston: Longman, 2012.</w:t>
      </w:r>
    </w:p>
    <w:p w14:paraId="76334159" w14:textId="77777777" w:rsidR="00460E35" w:rsidRPr="00006322" w:rsidRDefault="00460E35" w:rsidP="006054FA">
      <w:pPr>
        <w:pStyle w:val="NormalWeb"/>
        <w:rPr>
          <w:color w:val="000000"/>
          <w:lang w:val="en-US"/>
        </w:rPr>
      </w:pPr>
      <w:r w:rsidRPr="00006322">
        <w:rPr>
          <w:color w:val="000000"/>
          <w:lang w:val="en-US"/>
        </w:rPr>
        <w:t>KINGDON, John W.</w:t>
      </w:r>
      <w:r w:rsidRPr="00006322">
        <w:rPr>
          <w:rStyle w:val="apple-converted-space"/>
          <w:color w:val="000000"/>
          <w:lang w:val="en-US"/>
        </w:rPr>
        <w:t> </w:t>
      </w:r>
      <w:r w:rsidRPr="00460E35">
        <w:rPr>
          <w:rStyle w:val="nfase"/>
          <w:rFonts w:eastAsiaTheme="majorEastAsia"/>
          <w:b/>
          <w:color w:val="000000"/>
          <w:lang w:val="en-US"/>
        </w:rPr>
        <w:t>Agendas, Alternatives, and Public Policies</w:t>
      </w:r>
      <w:r w:rsidRPr="00006322">
        <w:rPr>
          <w:color w:val="000000"/>
          <w:lang w:val="en-US"/>
        </w:rPr>
        <w:t>. 2. ed. New York: Longman, 2003.</w:t>
      </w:r>
    </w:p>
    <w:p w14:paraId="275EE5D3" w14:textId="77777777" w:rsidR="00460E35" w:rsidRPr="00FC4448" w:rsidRDefault="00460E35" w:rsidP="006054FA">
      <w:pPr>
        <w:pStyle w:val="NormalWeb"/>
        <w:rPr>
          <w:color w:val="000000"/>
        </w:rPr>
      </w:pPr>
      <w:r w:rsidRPr="00006322">
        <w:rPr>
          <w:color w:val="000000"/>
          <w:lang w:val="en-US"/>
        </w:rPr>
        <w:t xml:space="preserve">MANCUSO, Wagner </w:t>
      </w:r>
      <w:proofErr w:type="spellStart"/>
      <w:r w:rsidRPr="00006322">
        <w:rPr>
          <w:color w:val="000000"/>
          <w:lang w:val="en-US"/>
        </w:rPr>
        <w:t>Pralon</w:t>
      </w:r>
      <w:proofErr w:type="spellEnd"/>
      <w:r w:rsidRPr="00006322">
        <w:rPr>
          <w:color w:val="000000"/>
          <w:lang w:val="en-US"/>
        </w:rPr>
        <w:t>.</w:t>
      </w:r>
      <w:r w:rsidRPr="00006322">
        <w:rPr>
          <w:rStyle w:val="apple-converted-space"/>
          <w:color w:val="000000"/>
          <w:lang w:val="en-US"/>
        </w:rPr>
        <w:t> </w:t>
      </w:r>
      <w:r w:rsidRPr="00460E35">
        <w:rPr>
          <w:rStyle w:val="nfase"/>
          <w:rFonts w:eastAsiaTheme="majorEastAsia"/>
          <w:b/>
          <w:color w:val="000000"/>
        </w:rPr>
        <w:t>Lobby: o que é, como se faz</w:t>
      </w:r>
      <w:r w:rsidRPr="00460E35">
        <w:rPr>
          <w:b/>
          <w:color w:val="000000"/>
        </w:rPr>
        <w:t>.</w:t>
      </w:r>
      <w:r w:rsidRPr="00FC4448">
        <w:rPr>
          <w:color w:val="000000"/>
        </w:rPr>
        <w:t xml:space="preserve"> São Paulo: Editora Alameda, 2015.</w:t>
      </w:r>
    </w:p>
    <w:p w14:paraId="7EA3981B" w14:textId="77777777" w:rsidR="00460E35" w:rsidRPr="00006322" w:rsidRDefault="00460E35" w:rsidP="006054FA">
      <w:pPr>
        <w:pStyle w:val="NormalWeb"/>
        <w:rPr>
          <w:color w:val="000000"/>
          <w:lang w:val="en-US"/>
        </w:rPr>
      </w:pPr>
      <w:r w:rsidRPr="00FC4448">
        <w:rPr>
          <w:color w:val="000000"/>
        </w:rPr>
        <w:t>MILNER, Helen.</w:t>
      </w:r>
      <w:r w:rsidRPr="00FC4448">
        <w:rPr>
          <w:rStyle w:val="apple-converted-space"/>
          <w:color w:val="000000"/>
        </w:rPr>
        <w:t> </w:t>
      </w:r>
      <w:r w:rsidRPr="00460E35">
        <w:rPr>
          <w:rStyle w:val="nfase"/>
          <w:rFonts w:eastAsiaTheme="majorEastAsia"/>
          <w:b/>
          <w:color w:val="000000"/>
          <w:lang w:val="en-US"/>
        </w:rPr>
        <w:t>Interests, Institutions, and Information: Domestic Politics and International Relations</w:t>
      </w:r>
      <w:r w:rsidRPr="00006322">
        <w:rPr>
          <w:color w:val="000000"/>
          <w:lang w:val="en-US"/>
        </w:rPr>
        <w:t>. Princeton: Princeton University Press, 1997.</w:t>
      </w:r>
    </w:p>
    <w:p w14:paraId="650F3672" w14:textId="77777777" w:rsidR="00460E35" w:rsidRPr="00FC4448" w:rsidRDefault="00460E35" w:rsidP="006054FA">
      <w:pPr>
        <w:pStyle w:val="NormalWeb"/>
        <w:rPr>
          <w:color w:val="000000"/>
        </w:rPr>
      </w:pPr>
      <w:r w:rsidRPr="00006322">
        <w:rPr>
          <w:color w:val="000000"/>
          <w:lang w:val="en-US"/>
        </w:rPr>
        <w:t>MORAVCSIK, Andrew.</w:t>
      </w:r>
      <w:r w:rsidRPr="00006322">
        <w:rPr>
          <w:rStyle w:val="apple-converted-space"/>
          <w:color w:val="000000"/>
          <w:lang w:val="en-US"/>
        </w:rPr>
        <w:t> </w:t>
      </w:r>
      <w:r w:rsidRPr="00006322">
        <w:rPr>
          <w:rStyle w:val="nfase"/>
          <w:rFonts w:eastAsiaTheme="majorEastAsia"/>
          <w:color w:val="000000"/>
          <w:lang w:val="en-US"/>
        </w:rPr>
        <w:t>Taking Preferences Seriously: A Liberal Theory of International Politics</w:t>
      </w:r>
      <w:r w:rsidRPr="00006322">
        <w:rPr>
          <w:color w:val="000000"/>
          <w:lang w:val="en-US"/>
        </w:rPr>
        <w:t xml:space="preserve">. </w:t>
      </w:r>
      <w:proofErr w:type="spellStart"/>
      <w:r w:rsidRPr="00460E35">
        <w:rPr>
          <w:b/>
          <w:color w:val="000000"/>
        </w:rPr>
        <w:t>International</w:t>
      </w:r>
      <w:proofErr w:type="spellEnd"/>
      <w:r w:rsidRPr="00460E35">
        <w:rPr>
          <w:b/>
          <w:color w:val="000000"/>
        </w:rPr>
        <w:t xml:space="preserve"> </w:t>
      </w:r>
      <w:proofErr w:type="spellStart"/>
      <w:r w:rsidRPr="00460E35">
        <w:rPr>
          <w:b/>
          <w:color w:val="000000"/>
        </w:rPr>
        <w:t>Organization</w:t>
      </w:r>
      <w:proofErr w:type="spellEnd"/>
      <w:r w:rsidRPr="00FC4448">
        <w:rPr>
          <w:color w:val="000000"/>
        </w:rPr>
        <w:t>, v. 51, n. 4, p. 513–553, 1997.</w:t>
      </w:r>
    </w:p>
    <w:p w14:paraId="13A8B053" w14:textId="77777777" w:rsidR="00460E35" w:rsidRPr="00006322" w:rsidRDefault="00460E35" w:rsidP="006054FA">
      <w:pPr>
        <w:pStyle w:val="NormalWeb"/>
        <w:rPr>
          <w:color w:val="000000"/>
          <w:lang w:val="en-US"/>
        </w:rPr>
      </w:pPr>
      <w:r w:rsidRPr="00FC4448">
        <w:rPr>
          <w:color w:val="000000"/>
        </w:rPr>
        <w:t>OCDE – Organização para a Cooperação e Desenvolvimento Econômico.</w:t>
      </w:r>
      <w:r w:rsidRPr="00FC4448">
        <w:rPr>
          <w:rStyle w:val="apple-converted-space"/>
          <w:color w:val="000000"/>
        </w:rPr>
        <w:t> </w:t>
      </w:r>
      <w:r w:rsidRPr="00006322">
        <w:rPr>
          <w:rStyle w:val="nfase"/>
          <w:rFonts w:eastAsiaTheme="majorEastAsia"/>
          <w:color w:val="000000"/>
          <w:lang w:val="en-US"/>
        </w:rPr>
        <w:t>Electric Vehicles Outlook 2023</w:t>
      </w:r>
      <w:r w:rsidRPr="00006322">
        <w:rPr>
          <w:color w:val="000000"/>
          <w:lang w:val="en-US"/>
        </w:rPr>
        <w:t>. Paris: OECD/IEA, 2023.</w:t>
      </w:r>
    </w:p>
    <w:p w14:paraId="49810BC3" w14:textId="77777777" w:rsidR="00460E35" w:rsidRPr="00FC4448" w:rsidRDefault="00460E35" w:rsidP="006054FA">
      <w:pPr>
        <w:pStyle w:val="NormalWeb"/>
        <w:rPr>
          <w:color w:val="000000"/>
        </w:rPr>
      </w:pPr>
      <w:r w:rsidRPr="00006322">
        <w:rPr>
          <w:color w:val="000000"/>
          <w:lang w:val="en-US"/>
        </w:rPr>
        <w:t>PUTNAM, Robert.</w:t>
      </w:r>
      <w:r w:rsidRPr="00006322">
        <w:rPr>
          <w:rStyle w:val="apple-converted-space"/>
          <w:color w:val="000000"/>
          <w:lang w:val="en-US"/>
        </w:rPr>
        <w:t> </w:t>
      </w:r>
      <w:r w:rsidRPr="00006322">
        <w:rPr>
          <w:rStyle w:val="nfase"/>
          <w:rFonts w:eastAsiaTheme="majorEastAsia"/>
          <w:color w:val="000000"/>
          <w:lang w:val="en-US"/>
        </w:rPr>
        <w:t>Diplomacy and Domestic Politics: The Logic of Two-Level Games</w:t>
      </w:r>
      <w:r w:rsidRPr="00006322">
        <w:rPr>
          <w:color w:val="000000"/>
          <w:lang w:val="en-US"/>
        </w:rPr>
        <w:t xml:space="preserve">. </w:t>
      </w:r>
      <w:proofErr w:type="spellStart"/>
      <w:r w:rsidRPr="00460E35">
        <w:rPr>
          <w:b/>
          <w:color w:val="000000"/>
        </w:rPr>
        <w:t>International</w:t>
      </w:r>
      <w:proofErr w:type="spellEnd"/>
      <w:r w:rsidRPr="00460E35">
        <w:rPr>
          <w:b/>
          <w:color w:val="000000"/>
        </w:rPr>
        <w:t xml:space="preserve"> </w:t>
      </w:r>
      <w:proofErr w:type="spellStart"/>
      <w:r w:rsidRPr="00460E35">
        <w:rPr>
          <w:b/>
          <w:color w:val="000000"/>
        </w:rPr>
        <w:t>Organization</w:t>
      </w:r>
      <w:proofErr w:type="spellEnd"/>
      <w:r w:rsidRPr="00FC4448">
        <w:rPr>
          <w:color w:val="000000"/>
        </w:rPr>
        <w:t>, v. 42, n. 3, p. 427–460, 1988.</w:t>
      </w:r>
    </w:p>
    <w:p w14:paraId="76AD06BC" w14:textId="77777777" w:rsidR="00460E35" w:rsidRPr="00FC4448" w:rsidRDefault="00460E35" w:rsidP="006054FA">
      <w:pPr>
        <w:pStyle w:val="NormalWeb"/>
        <w:rPr>
          <w:color w:val="000000"/>
        </w:rPr>
      </w:pPr>
      <w:r w:rsidRPr="00FC4448">
        <w:rPr>
          <w:color w:val="000000"/>
        </w:rPr>
        <w:t>UNIÃO EUROPEIA; MERCOSUL.</w:t>
      </w:r>
      <w:r w:rsidRPr="00FC4448">
        <w:rPr>
          <w:rStyle w:val="apple-converted-space"/>
          <w:color w:val="000000"/>
        </w:rPr>
        <w:t> </w:t>
      </w:r>
      <w:r w:rsidRPr="00FC4448">
        <w:rPr>
          <w:rStyle w:val="nfase"/>
          <w:rFonts w:eastAsiaTheme="majorEastAsia"/>
          <w:color w:val="000000"/>
        </w:rPr>
        <w:t>Documentos oficiais das negociações Mercosul–União Europeia</w:t>
      </w:r>
      <w:r w:rsidRPr="00FC4448">
        <w:rPr>
          <w:color w:val="000000"/>
        </w:rPr>
        <w:t>. Disponível em:</w:t>
      </w:r>
      <w:r w:rsidRPr="00FC4448">
        <w:rPr>
          <w:rStyle w:val="apple-converted-space"/>
          <w:color w:val="000000"/>
        </w:rPr>
        <w:t> </w:t>
      </w:r>
      <w:hyperlink r:id="rId7" w:history="1">
        <w:r w:rsidRPr="00FC4448">
          <w:rPr>
            <w:rStyle w:val="Hyperlink"/>
            <w:rFonts w:eastAsiaTheme="majorEastAsia"/>
          </w:rPr>
          <w:t>https://policy.trade.ec.europa.eu/eu-trade-relationships-country-and-region/country-and-region-groups/mercosur_en</w:t>
        </w:r>
      </w:hyperlink>
      <w:r w:rsidRPr="00FC4448">
        <w:rPr>
          <w:color w:val="000000"/>
        </w:rPr>
        <w:t>. Acesso em: 10 fev. 2025.</w:t>
      </w:r>
    </w:p>
    <w:p w14:paraId="78E9170D" w14:textId="292797EB" w:rsidR="00FC4448" w:rsidRPr="00006322" w:rsidRDefault="00FC4448" w:rsidP="00FC4448">
      <w:pPr>
        <w:rPr>
          <w:rFonts w:ascii="Times New Roman" w:hAnsi="Times New Roman" w:cs="Times New Roman"/>
          <w:sz w:val="24"/>
          <w:szCs w:val="24"/>
          <w:lang w:val="pt-BR"/>
        </w:rPr>
      </w:pPr>
    </w:p>
    <w:p w14:paraId="5930DECA" w14:textId="224972C7" w:rsidR="002E0796" w:rsidRPr="00006322" w:rsidRDefault="002E0796" w:rsidP="00FC4448">
      <w:pPr>
        <w:rPr>
          <w:rFonts w:ascii="Times New Roman" w:hAnsi="Times New Roman" w:cs="Times New Roman"/>
          <w:sz w:val="24"/>
          <w:szCs w:val="24"/>
          <w:lang w:val="pt-BR"/>
        </w:rPr>
      </w:pPr>
    </w:p>
    <w:sectPr w:rsidR="002E0796" w:rsidRPr="00006322" w:rsidSect="006054FA">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7D2701F6"/>
    <w:multiLevelType w:val="multilevel"/>
    <w:tmpl w:val="DAD8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603501">
    <w:abstractNumId w:val="8"/>
  </w:num>
  <w:num w:numId="2" w16cid:durableId="2134981247">
    <w:abstractNumId w:val="6"/>
  </w:num>
  <w:num w:numId="3" w16cid:durableId="165370164">
    <w:abstractNumId w:val="5"/>
  </w:num>
  <w:num w:numId="4" w16cid:durableId="1681542597">
    <w:abstractNumId w:val="4"/>
  </w:num>
  <w:num w:numId="5" w16cid:durableId="1840802748">
    <w:abstractNumId w:val="7"/>
  </w:num>
  <w:num w:numId="6" w16cid:durableId="1348407961">
    <w:abstractNumId w:val="3"/>
  </w:num>
  <w:num w:numId="7" w16cid:durableId="1868789976">
    <w:abstractNumId w:val="2"/>
  </w:num>
  <w:num w:numId="8" w16cid:durableId="1567719391">
    <w:abstractNumId w:val="1"/>
  </w:num>
  <w:num w:numId="9" w16cid:durableId="693656182">
    <w:abstractNumId w:val="0"/>
  </w:num>
  <w:num w:numId="10" w16cid:durableId="368583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322"/>
    <w:rsid w:val="00034616"/>
    <w:rsid w:val="0006063C"/>
    <w:rsid w:val="0015074B"/>
    <w:rsid w:val="0029639D"/>
    <w:rsid w:val="002E0796"/>
    <w:rsid w:val="00326F90"/>
    <w:rsid w:val="00460E35"/>
    <w:rsid w:val="006054FA"/>
    <w:rsid w:val="00AA1D8D"/>
    <w:rsid w:val="00B47730"/>
    <w:rsid w:val="00CB0664"/>
    <w:rsid w:val="00E50344"/>
    <w:rsid w:val="00FC4448"/>
    <w:rsid w:val="00FC693F"/>
    <w:rsid w:val="00FF11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1DED99"/>
  <w14:defaultImageDpi w14:val="300"/>
  <w15:docId w15:val="{E11CBC77-40C3-7A47-B621-376CE8293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C4448"/>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character" w:customStyle="1" w:styleId="apple-converted-space">
    <w:name w:val="apple-converted-space"/>
    <w:basedOn w:val="Fontepargpadro"/>
    <w:rsid w:val="00FC4448"/>
  </w:style>
  <w:style w:type="character" w:styleId="Hyperlink">
    <w:name w:val="Hyperlink"/>
    <w:basedOn w:val="Fontepargpadro"/>
    <w:uiPriority w:val="99"/>
    <w:semiHidden/>
    <w:unhideWhenUsed/>
    <w:rsid w:val="00FC444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olicy.trade.ec.europa.eu/eu-trade-relationships-country-and-region/country-and-region-groups/mercosur_e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genciabrasil.ebc.com.br/"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420903-1B5A-46AE-8094-A7709F216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3439</Words>
  <Characters>18572</Characters>
  <Application>Microsoft Office Word</Application>
  <DocSecurity>0</DocSecurity>
  <Lines>154</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Pedro henrichs</cp:lastModifiedBy>
  <cp:revision>2</cp:revision>
  <dcterms:created xsi:type="dcterms:W3CDTF">2025-12-23T23:14:00Z</dcterms:created>
  <dcterms:modified xsi:type="dcterms:W3CDTF">2025-12-23T23:14:00Z</dcterms:modified>
  <cp:category/>
</cp:coreProperties>
</file>