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DAF5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CONTRAFAÇÃO DA AUTONOMIA POLÍTICA: NARRATIVAS, GÊNERO E DESLEGITIMAÇÃO NA PRÉ-CAMPANHA DE RIXI MONCADA EM HONDURAS (2025)</w:t>
      </w:r>
    </w:p>
    <w:p w14:paraId="4050E3E3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RESUMO</w:t>
      </w:r>
    </w:p>
    <w:p w14:paraId="52DB9EC3" w14:textId="4D315BB1" w:rsidR="00F42E49" w:rsidRDefault="00F42E49" w:rsidP="00F42E49">
      <w:pPr>
        <w:pStyle w:val="NormalWeb"/>
        <w:rPr>
          <w:color w:val="000000"/>
        </w:rPr>
      </w:pPr>
      <w:r>
        <w:rPr>
          <w:color w:val="000000"/>
        </w:rPr>
        <w:t xml:space="preserve">Este artigo examina o enquadramento discursivo em torno da candidatura presidencial de </w:t>
      </w:r>
      <w:proofErr w:type="spellStart"/>
      <w:r>
        <w:rPr>
          <w:color w:val="000000"/>
        </w:rPr>
        <w:t>Rixi</w:t>
      </w:r>
      <w:proofErr w:type="spellEnd"/>
      <w:r>
        <w:rPr>
          <w:color w:val="000000"/>
        </w:rPr>
        <w:t xml:space="preserve"> Moncada (Partido LIBRE) em Honduras, abrangendo desde a pré-campanha em maio até ao desfecho eleitoral em dezembro de 2025. A pesquisa adota uma abordagem qualitativa e interpretativa, com base na análise de enquadramento (</w:t>
      </w:r>
      <w:proofErr w:type="spellStart"/>
      <w:r>
        <w:rPr>
          <w:i/>
          <w:iCs/>
          <w:color w:val="000000"/>
        </w:rPr>
        <w:t>framing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analysis</w:t>
      </w:r>
      <w:proofErr w:type="spellEnd"/>
      <w:r>
        <w:rPr>
          <w:color w:val="000000"/>
        </w:rPr>
        <w:t>) e em referências da comunicação política. O objetivo é compreender como a cobertura jornalística, a retórica internacional e as ações de "guerra jurídica" (</w:t>
      </w:r>
      <w:proofErr w:type="spellStart"/>
      <w:r>
        <w:rPr>
          <w:i/>
          <w:iCs/>
          <w:color w:val="000000"/>
        </w:rPr>
        <w:t>lawfare</w:t>
      </w:r>
      <w:proofErr w:type="spellEnd"/>
      <w:r>
        <w:rPr>
          <w:color w:val="000000"/>
        </w:rPr>
        <w:t>) constroem a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contrafação da autonomia política</w:t>
      </w:r>
      <w:r>
        <w:rPr>
          <w:color w:val="000000"/>
        </w:rPr>
        <w:t>. O trabalho identifica assimetria de enquadramentos e narrativas de tutela institucional, culminando na interferência direta da Casa Branca e na manipulação de organismos internacionais (OEA) na semana da eleição. Conclui-se que a deslegitimação simbólica evoluiu para uma sabotagem operacional e geopolítica aberta.</w:t>
      </w:r>
    </w:p>
    <w:p w14:paraId="4E667528" w14:textId="77777777" w:rsidR="00F42E49" w:rsidRDefault="00F42E49" w:rsidP="00F42E49">
      <w:pPr>
        <w:pStyle w:val="NormalWeb"/>
        <w:rPr>
          <w:color w:val="000000"/>
        </w:rPr>
      </w:pPr>
      <w:r>
        <w:rPr>
          <w:b/>
          <w:bCs/>
          <w:color w:val="000000"/>
        </w:rPr>
        <w:t>Palavras-chave: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Gênero; Comunicação Política; Desinformação; Honduras; </w:t>
      </w:r>
      <w:proofErr w:type="spellStart"/>
      <w:r>
        <w:rPr>
          <w:color w:val="000000"/>
        </w:rPr>
        <w:t>Rixi</w:t>
      </w:r>
      <w:proofErr w:type="spellEnd"/>
      <w:r>
        <w:rPr>
          <w:color w:val="000000"/>
        </w:rPr>
        <w:t xml:space="preserve"> Moncada; Ingerência Externa.</w:t>
      </w:r>
    </w:p>
    <w:p w14:paraId="1677F33E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1 INTRODUÇÃO</w:t>
      </w:r>
    </w:p>
    <w:p w14:paraId="12BB4AC6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A política na América Central, marcada por crises democráticas e intervenções externas, tem se reconfigurado em ciclos de intensa polarização. Honduras, em particular, carrega o legado do golpe de Estado de 2009 e, mais recentemente, a ascensão da esquerda ao poder com a eleição da Presidente Xiomara Castro em 2021. Neste cenário complexo, a pré-candidatura de </w:t>
      </w:r>
      <w:proofErr w:type="spellStart"/>
      <w:r>
        <w:rPr>
          <w:color w:val="000000"/>
        </w:rPr>
        <w:t>Rixi</w:t>
      </w:r>
      <w:proofErr w:type="spellEnd"/>
      <w:r>
        <w:rPr>
          <w:color w:val="000000"/>
        </w:rPr>
        <w:t xml:space="preserve"> Moncada pelo Partido LIBRE para as eleições de 2025 não é apenas uma disputa eleitoral, mas um campo de batalha narrativo que sintetiza os desafios contemporâneos da comunicação, da esfera pública e da democracia.</w:t>
      </w:r>
    </w:p>
    <w:p w14:paraId="363038B7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Moncada, advogada e ex-presidente do Conselho Nacional Eleitoral (CNE), é uma figura de continuidade do projeto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zelayista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e, por extensão, um alvo preferencial da oposição e de parte da mídia tradicional e internacional. Este ambiente é o terreno ideal para a manifestação do que se define neste artigo como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contrafação da autonomia política</w:t>
      </w:r>
      <w:r>
        <w:rPr>
          <w:color w:val="000000"/>
        </w:rPr>
        <w:t>: a construção deliberada de uma imagem pública que, por meio de enquadramentos discursivos assimétricos, reduz a credibilidade, a competência e a independência das mulheres em posições de poder, especialmente aquelas alinhadas a projetos políticos progressistas ou de esquerda.</w:t>
      </w:r>
    </w:p>
    <w:p w14:paraId="72FC9374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 período de 1º de maio a 30 de agosto de 2025, correspondente ao início da pré-campanha presidencial, serve como o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corpus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temporal para observar a cristalização dessas narrativas. O objetivo central deste artigo é, portanto, analisar o ambiente comunicacional e simbólico em que a candidatura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é representada, identificando como os enquadramentos midiáticos e a retórica geopolítica reproduzem padrões discursivos que historicamente deslegitimaram lideranças femininas latino-</w:t>
      </w:r>
      <w:r>
        <w:rPr>
          <w:color w:val="000000"/>
        </w:rPr>
        <w:lastRenderedPageBreak/>
        <w:t>americanas, como os observados em Dilma Rousseff (Brasil) e na própria Xiomara Castro (Honduras).</w:t>
      </w:r>
    </w:p>
    <w:p w14:paraId="5EB1B436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Para tanto, o artigo está estruturado em três seções principais: (2) o referencial teórico que articula a propaganda negativa e a crise epistêmica com os estudos de gênero e IA; (3) a metodologia de análise de enquadramento; (4) e (5) a análise e discussão detalhada das categorias narrativas observadas no </w:t>
      </w:r>
      <w:proofErr w:type="gramStart"/>
      <w:r>
        <w:rPr>
          <w:color w:val="000000"/>
        </w:rPr>
        <w:t>caso Moncada</w:t>
      </w:r>
      <w:proofErr w:type="gramEnd"/>
      <w:r>
        <w:rPr>
          <w:color w:val="000000"/>
        </w:rPr>
        <w:t>.</w:t>
      </w:r>
    </w:p>
    <w:p w14:paraId="625B6B2F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2 REFERENCIAL TEÓRICO: POLARIZAÇÃO, GÊNERO E A CRISE DA AUTONOMIA</w:t>
      </w:r>
    </w:p>
    <w:p w14:paraId="682BD5AB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deslegitimação de candidaturas femininas em contextos polarizados mobiliza uma intersecção complexa de fenômenos da comunicação política. A retórica utilizada transcende a crítica factual, mergulhando na manipulação simbólica de gênero, ideologia e competência.</w:t>
      </w:r>
    </w:p>
    <w:p w14:paraId="74B0FB07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2.1 Propaganda Negativa e a Escolha do Alvo</w:t>
      </w:r>
    </w:p>
    <w:p w14:paraId="449B29B0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propaganda negativa é uma tática eleitoral que visa primariamente à desconstrução da imagem do adversário, buscando, segundo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Borba (2015, p. 268)</w:t>
      </w:r>
      <w:r>
        <w:rPr>
          <w:color w:val="000000"/>
        </w:rPr>
        <w:t xml:space="preserve">, converter indecisos ou dissuadir apoiadores do oponente. Em ambientes multipartidários e polarizados, a escolha do alvo é crucial. No caso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>, a estratégia se manifesta em dois eixos de ataque, conforme a tipologia de Borba:</w:t>
      </w:r>
    </w:p>
    <w:p w14:paraId="0F9B1F3B" w14:textId="77777777" w:rsidR="003D1FA8" w:rsidRDefault="003D1FA8" w:rsidP="003D1FA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Forte"/>
          <w:color w:val="000000"/>
        </w:rPr>
        <w:t>Ataque Político (</w:t>
      </w:r>
      <w:proofErr w:type="spellStart"/>
      <w:r>
        <w:rPr>
          <w:rStyle w:val="Forte"/>
          <w:i/>
          <w:iCs/>
          <w:color w:val="000000"/>
        </w:rPr>
        <w:t>Policy</w:t>
      </w:r>
      <w:proofErr w:type="spellEnd"/>
      <w:r>
        <w:rPr>
          <w:rStyle w:val="Forte"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Crítica a propostas de governo, histórico administrativo e alinhamento ideológico (o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zelayismo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e a continuidade do LIBRE).</w:t>
      </w:r>
    </w:p>
    <w:p w14:paraId="4D09C930" w14:textId="77777777" w:rsidR="003D1FA8" w:rsidRDefault="003D1FA8" w:rsidP="003D1FA8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Forte"/>
          <w:color w:val="000000"/>
        </w:rPr>
        <w:t>Ataque Pessoal (</w:t>
      </w:r>
      <w:r>
        <w:rPr>
          <w:rStyle w:val="Forte"/>
          <w:i/>
          <w:iCs/>
          <w:color w:val="000000"/>
        </w:rPr>
        <w:t>Personal</w:t>
      </w:r>
      <w:r>
        <w:rPr>
          <w:rStyle w:val="Forte"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Concentra-se nos atributos pessoais, caráter, ou, no caso de mulheres, na competência e autonomia frente a figuras masculinas. Tais ataques são mais propensos a gerar o "não voto".</w:t>
      </w:r>
    </w:p>
    <w:p w14:paraId="0B781D78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Na era digital, esta tática é potencializada pela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desinformação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rStyle w:val="nfase"/>
          <w:color w:val="000000"/>
        </w:rPr>
        <w:t>disinformation</w:t>
      </w:r>
      <w:proofErr w:type="spellEnd"/>
      <w:r>
        <w:rPr>
          <w:color w:val="000000"/>
        </w:rPr>
        <w:t>), que, conforme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Gomes e Dourado (2019, p. 33)</w:t>
      </w:r>
      <w:r>
        <w:rPr>
          <w:color w:val="000000"/>
        </w:rPr>
        <w:t>, não consiste em erros factuais, mas na fabricação intencional de relatos falsos para fins políticos. A desinformação ataca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confiança nas instituições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 é, em sua essência,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política sabotando a democracia</w:t>
      </w:r>
      <w:r>
        <w:rPr>
          <w:color w:val="000000"/>
        </w:rPr>
        <w:t>.</w:t>
      </w:r>
    </w:p>
    <w:p w14:paraId="1A0F2EB5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2.2 A Crise Epistêmica e a Polarização Tribal</w:t>
      </w:r>
    </w:p>
    <w:p w14:paraId="537F8C60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 sucesso da desinformação repousa sobre uma profunda crise epistêmica.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Fuks e Marques (2022)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descrevem a polarização como um aprofundamento das divisões em que a convivência se torna antagônica e as identidades políticas são reforçadas pelo conflito. Esta dinâmica alimenta o que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Gomes e Dourado (2019, p. 37)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chamam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epistemologia tribal</w:t>
      </w:r>
      <w:r>
        <w:rPr>
          <w:color w:val="000000"/>
        </w:rPr>
        <w:t>, onde a verdade de um relato é determinada pela sua lealdade ideológica à "tribo", não pela evidência empírica.</w:t>
      </w:r>
    </w:p>
    <w:p w14:paraId="5F3928AC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No caso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, a polarização opera transformando sua associação política (LIBRE, Zelaya/Castro) em um signo de desconfiança absoluta para a oposição. Sua figura, sendo </w:t>
      </w:r>
      <w:r>
        <w:rPr>
          <w:color w:val="000000"/>
        </w:rPr>
        <w:lastRenderedPageBreak/>
        <w:t>a candidata do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establishment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 esquerda, deve ser desqualificada a qualquer custo, o que justifica o uso de narrativas extremas e hiperbólicas. A crise de confiança se manifesta na deslegitimação de todo o processo eleitoral, tema historicamente sensível em Honduras.</w:t>
      </w:r>
    </w:p>
    <w:p w14:paraId="2EDA3A9B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2.3 Gênero, Competência e Tutela Simbólica</w:t>
      </w:r>
    </w:p>
    <w:p w14:paraId="05072A46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política latino-americana é rica em exemplos de como o gênero é mobilizado como instrumento de deslegitimação.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Harlow</w:t>
      </w:r>
      <w:proofErr w:type="spellEnd"/>
      <w:r>
        <w:rPr>
          <w:rStyle w:val="Forte"/>
          <w:color w:val="000000"/>
        </w:rPr>
        <w:t xml:space="preserve"> e </w:t>
      </w:r>
      <w:proofErr w:type="spellStart"/>
      <w:r>
        <w:rPr>
          <w:rStyle w:val="Forte"/>
          <w:color w:val="000000"/>
        </w:rPr>
        <w:t>Salaverría</w:t>
      </w:r>
      <w:proofErr w:type="spellEnd"/>
      <w:r>
        <w:rPr>
          <w:rStyle w:val="Forte"/>
          <w:color w:val="000000"/>
        </w:rPr>
        <w:t xml:space="preserve"> (2022, p. 588)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destacam que a desinformação de gênero (</w:t>
      </w:r>
      <w:proofErr w:type="spellStart"/>
      <w:r>
        <w:rPr>
          <w:rStyle w:val="nfase"/>
          <w:color w:val="000000"/>
        </w:rPr>
        <w:t>gendered</w:t>
      </w:r>
      <w:proofErr w:type="spellEnd"/>
      <w:r>
        <w:rPr>
          <w:rStyle w:val="nfase"/>
          <w:color w:val="000000"/>
        </w:rPr>
        <w:t xml:space="preserve"> </w:t>
      </w:r>
      <w:proofErr w:type="spellStart"/>
      <w:r>
        <w:rPr>
          <w:rStyle w:val="nfase"/>
          <w:color w:val="000000"/>
        </w:rPr>
        <w:t>disinformation</w:t>
      </w:r>
      <w:proofErr w:type="spellEnd"/>
      <w:r>
        <w:rPr>
          <w:color w:val="000000"/>
        </w:rPr>
        <w:t>) na região frequentemente foca em estereótipos sexistas para minar a autoridade política feminina. Mulheres são atacadas por sua aparência, vida familiar ou, crucialmente, pela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associação a tutores masculinos</w:t>
      </w:r>
      <w:r>
        <w:rPr>
          <w:color w:val="000000"/>
        </w:rPr>
        <w:t>, questionando sua autonomia.</w:t>
      </w:r>
    </w:p>
    <w:p w14:paraId="7EED6A5C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Essa lógica se aprofunda na desconfiança sobre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competência técnica</w:t>
      </w:r>
      <w:r>
        <w:rPr>
          <w:color w:val="000000"/>
        </w:rPr>
        <w:t xml:space="preserve">. O histórico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no CNE (Conselho Nacional Eleitoral) e como Ministra da Defesa oferece pontos de ancoragem para ataques institucionais. Argumentos que a retratam como "incapaz", "desequilibrada" ou "marionete" buscam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domesticação simbólica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 liderança feminina, restringindo seu papel a esferas que não desafiem o poder patriarcal.</w:t>
      </w:r>
    </w:p>
    <w:p w14:paraId="75164EB1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2.4 Instituições Algorítmicas e a Inteligência Estendida</w:t>
      </w:r>
    </w:p>
    <w:p w14:paraId="73D5E57E" w14:textId="294E7F96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O ambiente no </w:t>
      </w:r>
      <w:proofErr w:type="gramStart"/>
      <w:r>
        <w:rPr>
          <w:color w:val="000000"/>
        </w:rPr>
        <w:t>qual Moncada</w:t>
      </w:r>
      <w:proofErr w:type="gramEnd"/>
      <w:r>
        <w:rPr>
          <w:color w:val="000000"/>
        </w:rPr>
        <w:t xml:space="preserve"> se candidata é regido por novas formas de poder.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 xml:space="preserve">Filgueiras, Mendonça e Almeida (2025) </w:t>
      </w:r>
      <w:r>
        <w:rPr>
          <w:color w:val="000000"/>
        </w:rPr>
        <w:t>argumentam que a emergência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instituições algorítmicas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Inteligência Artificial (IA)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alteram as relações de poder, definindo regras opacas para a interação social. A IA generativa e as ferramentas de automação (</w:t>
      </w:r>
      <w:proofErr w:type="spellStart"/>
      <w:r>
        <w:rPr>
          <w:color w:val="000000"/>
        </w:rPr>
        <w:t>bots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trolls</w:t>
      </w:r>
      <w:r>
        <w:rPr>
          <w:color w:val="000000"/>
        </w:rPr>
        <w:t>) podem ser utilizadas para amplificar os vieses de gênero e polarização, escalando a desinformação de forma inédita.</w:t>
      </w:r>
    </w:p>
    <w:p w14:paraId="6FD20317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IA, ao invés de ser um fator de aprimoramento democrático, torna-se um catalisador de exclusão simbólica, automatizando a criação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câmaras de eco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Style w:val="Forte"/>
          <w:color w:val="000000"/>
        </w:rPr>
        <w:t>BARROS et al., 2024</w:t>
      </w:r>
      <w:r>
        <w:rPr>
          <w:color w:val="000000"/>
        </w:rPr>
        <w:t>) que reforçam a narrativa de deslegitimação. A "inteligência estendida" de que fala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Sampaio et al. (2024)</w:t>
      </w:r>
      <w:r>
        <w:rPr>
          <w:color w:val="000000"/>
        </w:rPr>
        <w:t>, nesse contexto, é usada para fins destrutivos e antidemocráticos.</w:t>
      </w:r>
    </w:p>
    <w:p w14:paraId="66CD6DFB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3 METODOLOGIA</w:t>
      </w:r>
    </w:p>
    <w:p w14:paraId="72013449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 presente estudo adota uma abordagem qualitativa e interpretativa (</w:t>
      </w:r>
      <w:r>
        <w:rPr>
          <w:rStyle w:val="Forte"/>
          <w:color w:val="000000"/>
        </w:rPr>
        <w:t>YIN, 2018</w:t>
      </w:r>
      <w:r>
        <w:rPr>
          <w:color w:val="000000"/>
        </w:rPr>
        <w:t>), baseada na análise de enquadramento (</w:t>
      </w:r>
      <w:proofErr w:type="spellStart"/>
      <w:r>
        <w:rPr>
          <w:rStyle w:val="nfase"/>
          <w:color w:val="000000"/>
        </w:rPr>
        <w:t>framing</w:t>
      </w:r>
      <w:proofErr w:type="spellEnd"/>
      <w:r>
        <w:rPr>
          <w:rStyle w:val="nfase"/>
          <w:color w:val="000000"/>
        </w:rPr>
        <w:t xml:space="preserve"> </w:t>
      </w:r>
      <w:proofErr w:type="spellStart"/>
      <w:r>
        <w:rPr>
          <w:rStyle w:val="nfase"/>
          <w:color w:val="000000"/>
        </w:rPr>
        <w:t>analysis</w:t>
      </w:r>
      <w:proofErr w:type="spellEnd"/>
      <w:r>
        <w:rPr>
          <w:color w:val="000000"/>
        </w:rPr>
        <w:t>), conforme a proposta de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Entman</w:t>
      </w:r>
      <w:proofErr w:type="spellEnd"/>
      <w:r>
        <w:rPr>
          <w:rStyle w:val="Forte"/>
          <w:color w:val="000000"/>
        </w:rPr>
        <w:t xml:space="preserve"> (1993, p. 52)</w:t>
      </w:r>
      <w:r>
        <w:rPr>
          <w:color w:val="000000"/>
        </w:rPr>
        <w:t>. O enquadramento é entendido como o processo de selecionar alguns aspectos de uma realidade percebida e torná-los mais salientes em um texto comunicativo, de modo a promover uma definição do problema, uma interpretação causal, uma avaliação moral e/ou uma recomendação de tratamento.</w:t>
      </w:r>
    </w:p>
    <w:p w14:paraId="333FC942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corpus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empírico foi construído através de uma simulação de coleta de dados em fontes de cobertura regional e internacional, representativas de diferentes espectros editoriais, </w:t>
      </w:r>
      <w:r>
        <w:rPr>
          <w:color w:val="000000"/>
        </w:rPr>
        <w:lastRenderedPageBreak/>
        <w:t>durante o período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1º de maio a 30 de agosto de 2025</w:t>
      </w:r>
      <w:r>
        <w:rPr>
          <w:color w:val="000000"/>
        </w:rPr>
        <w:t xml:space="preserve">, marcando a oficialização da pré-candidatura de </w:t>
      </w:r>
      <w:proofErr w:type="spellStart"/>
      <w:r>
        <w:rPr>
          <w:color w:val="000000"/>
        </w:rPr>
        <w:t>Rixi</w:t>
      </w:r>
      <w:proofErr w:type="spellEnd"/>
      <w:r>
        <w:rPr>
          <w:color w:val="000000"/>
        </w:rPr>
        <w:t xml:space="preserve"> Moncada.</w:t>
      </w:r>
    </w:p>
    <w:p w14:paraId="3118C2AB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corpus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composto por:</w:t>
      </w:r>
    </w:p>
    <w:p w14:paraId="1DF0DDDC" w14:textId="77777777" w:rsidR="003D1FA8" w:rsidRDefault="003D1FA8" w:rsidP="003D1FA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Forte"/>
          <w:color w:val="000000"/>
        </w:rPr>
        <w:t>Cobertura Jornalística Internacional: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Reportagens da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LatAm</w:t>
      </w:r>
      <w:proofErr w:type="spellEnd"/>
      <w:r>
        <w:rPr>
          <w:rStyle w:val="nfase"/>
          <w:color w:val="000000"/>
        </w:rPr>
        <w:t xml:space="preserve"> </w:t>
      </w:r>
      <w:proofErr w:type="spellStart"/>
      <w:r>
        <w:rPr>
          <w:rStyle w:val="nfase"/>
          <w:color w:val="000000"/>
        </w:rPr>
        <w:t>Journalism</w:t>
      </w:r>
      <w:proofErr w:type="spellEnd"/>
      <w:r>
        <w:rPr>
          <w:rStyle w:val="nfase"/>
          <w:color w:val="000000"/>
        </w:rPr>
        <w:t xml:space="preserve"> Review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(maio 2025),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Al Jazeera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(15 ago. 2025) e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Reuters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(31 ago. 2025), selecionadas por sua influência na construção da narrativa geopolítica sobre Honduras.</w:t>
      </w:r>
    </w:p>
    <w:p w14:paraId="3C7BFC31" w14:textId="77777777" w:rsidR="003D1FA8" w:rsidRDefault="003D1FA8" w:rsidP="003D1FA8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Forte"/>
          <w:color w:val="000000"/>
        </w:rPr>
        <w:t>Retórica de Plataformas Digitais: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Observação qualitativa das narrativas recorrentes em publicações de oposição e perfis de influência, com foco nas categorias de deslegitimação.</w:t>
      </w:r>
    </w:p>
    <w:p w14:paraId="7B86B146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análise de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framing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seguiu a identificação de quatro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macro-enquadramentos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utilizados para deslegitimar Moncada:</w:t>
      </w:r>
    </w:p>
    <w:p w14:paraId="794BC396" w14:textId="77777777" w:rsidR="003D1FA8" w:rsidRDefault="003D1FA8" w:rsidP="003D1FA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Forte"/>
          <w:color w:val="000000"/>
        </w:rPr>
        <w:t>Enquadramento de Gênero e Dependência: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Foca na subordinação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à figura de Manuel Zelaya.</w:t>
      </w:r>
    </w:p>
    <w:p w14:paraId="6A9B46C1" w14:textId="77777777" w:rsidR="003D1FA8" w:rsidRDefault="003D1FA8" w:rsidP="003D1FA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Forte"/>
          <w:color w:val="000000"/>
        </w:rPr>
        <w:t>Enquadramento Institucional de Incompetência: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Explora o histórico nos cargos públicos (CNE, Ministério da Defesa) para insinuar despreparo.</w:t>
      </w:r>
    </w:p>
    <w:p w14:paraId="61F63E4A" w14:textId="77777777" w:rsidR="003D1FA8" w:rsidRDefault="003D1FA8" w:rsidP="003D1FA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Forte"/>
          <w:color w:val="000000"/>
        </w:rPr>
        <w:t>Enquadramento Geopolítico Tribal: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Associa Moncada e o LIBRE a regimes considerados autoritários ou socialistas (Nicarágua, Venezuela).</w:t>
      </w:r>
    </w:p>
    <w:p w14:paraId="3EC09777" w14:textId="77777777" w:rsidR="003D1FA8" w:rsidRDefault="003D1FA8" w:rsidP="003D1FA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Forte"/>
          <w:color w:val="000000"/>
        </w:rPr>
        <w:t>Enquadramento da Crise e Violência (Fundo Narrativo):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Prioriza o relato de violência e instabilidade hondurenha como pano de fundo para a crise de governabilidade.</w:t>
      </w:r>
    </w:p>
    <w:p w14:paraId="7D7F905C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natureza interpretativa da pesquisa justifica a inclusão de exemplos e referências a padrões discursivos observados em outros casos latino-americanos, fortalecendo a análise comparativa de gênero.</w:t>
      </w:r>
    </w:p>
    <w:p w14:paraId="21D21B5A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4 ANÁLISE: OS ENQUADRAMENTOS DE DESLEGITIMAÇÃO NA PRÉ-CAMPANHA</w:t>
      </w:r>
    </w:p>
    <w:p w14:paraId="146FFDD3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A pré-campanha de </w:t>
      </w:r>
      <w:proofErr w:type="spellStart"/>
      <w:r>
        <w:rPr>
          <w:color w:val="000000"/>
        </w:rPr>
        <w:t>Rixi</w:t>
      </w:r>
      <w:proofErr w:type="spellEnd"/>
      <w:r>
        <w:rPr>
          <w:color w:val="000000"/>
        </w:rPr>
        <w:t xml:space="preserve"> Moncada em 2025 foi caracterizada por uma complexa teia de enquadramentos que, quando analisados em conjunto, demonstram a arquitetura da contrafação de sua autonomia política.</w:t>
      </w:r>
    </w:p>
    <w:p w14:paraId="27694EFC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4.1 O Enquadramento de Gênero e a Domesticação Simbólica</w:t>
      </w:r>
    </w:p>
    <w:p w14:paraId="0E07F064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Os ataques de gênero </w:t>
      </w:r>
      <w:proofErr w:type="gramStart"/>
      <w:r>
        <w:rPr>
          <w:color w:val="000000"/>
        </w:rPr>
        <w:t>contra Moncada</w:t>
      </w:r>
      <w:proofErr w:type="gramEnd"/>
      <w:r>
        <w:rPr>
          <w:color w:val="000000"/>
        </w:rPr>
        <w:t xml:space="preserve"> se manifestam de maneira menos explícita do que em ataques a outras figuras (como no caso de desinformação aberta contra Claudia </w:t>
      </w:r>
      <w:proofErr w:type="spellStart"/>
      <w:r>
        <w:rPr>
          <w:color w:val="000000"/>
        </w:rPr>
        <w:t>Sheinbaum</w:t>
      </w:r>
      <w:proofErr w:type="spellEnd"/>
      <w:r>
        <w:rPr>
          <w:color w:val="000000"/>
        </w:rPr>
        <w:t xml:space="preserve"> no México, citada por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ELORDUY, 2024</w:t>
      </w:r>
      <w:r>
        <w:rPr>
          <w:color w:val="000000"/>
        </w:rPr>
        <w:t>), concentrando-se na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narrativa de dependência</w:t>
      </w:r>
      <w:r>
        <w:rPr>
          <w:color w:val="000000"/>
        </w:rPr>
        <w:t>.</w:t>
      </w:r>
    </w:p>
    <w:p w14:paraId="619DF3CF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 principal vetor de ataque não é sua feminilidade, mas sua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autonomia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em relação à figura de Manuel Zelaya, o marido da Presidente Xiomara Castro e líder histórico do </w:t>
      </w:r>
      <w:r>
        <w:rPr>
          <w:color w:val="000000"/>
        </w:rPr>
        <w:lastRenderedPageBreak/>
        <w:t>LIBRE. As narrativas de oposição, amplificadas digitalmente, frequentemente a enquadram como uma "prolongação" ou "marionete" do projeto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zelayista</w:t>
      </w:r>
      <w:proofErr w:type="spellEnd"/>
      <w:r>
        <w:rPr>
          <w:color w:val="000000"/>
        </w:rPr>
        <w:t>. Este é um padrão discursivo que busca:</w:t>
      </w:r>
    </w:p>
    <w:p w14:paraId="039F30FB" w14:textId="77777777" w:rsidR="003D1FA8" w:rsidRDefault="003D1FA8" w:rsidP="003D1FA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Forte"/>
          <w:color w:val="000000"/>
        </w:rPr>
        <w:t>Reduzir a Agência Individual: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Ao associá-la a uma figura masculina dominante, nega-se a Moncada a capacidade de decisão independente e a visão política própria.</w:t>
      </w:r>
    </w:p>
    <w:p w14:paraId="0D26CC6D" w14:textId="77777777" w:rsidR="003D1FA8" w:rsidRDefault="003D1FA8" w:rsidP="003D1FA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rStyle w:val="Forte"/>
          <w:color w:val="000000"/>
        </w:rPr>
        <w:t>Reforçar a Lógica Patriarcal: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Sugere-se que o poder real reside no homem nos bastidores. A candidata é vista como um mero instrumento do projeto familiar, e não como uma líder legítima, um padrão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 xml:space="preserve">violência </w:t>
      </w:r>
      <w:proofErr w:type="gramStart"/>
      <w:r>
        <w:rPr>
          <w:rStyle w:val="Forte"/>
          <w:color w:val="000000"/>
        </w:rPr>
        <w:t>simbólica</w:t>
      </w:r>
      <w:r>
        <w:rPr>
          <w:color w:val="000000"/>
        </w:rPr>
        <w:t>(</w:t>
      </w:r>
      <w:proofErr w:type="gramEnd"/>
      <w:r>
        <w:rPr>
          <w:rStyle w:val="Forte"/>
          <w:color w:val="000000"/>
        </w:rPr>
        <w:t>HARLOW; SALAVERRÍA, 2022</w:t>
      </w:r>
      <w:r>
        <w:rPr>
          <w:color w:val="000000"/>
        </w:rPr>
        <w:t>).</w:t>
      </w:r>
    </w:p>
    <w:p w14:paraId="247D30C4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Este enquadramento remonta a padrões históricos regionais. A ex-presidente Dilma Rousseff, no Brasil, enfrentou ataques semelhantes ao ser rotulada como "fantoche" do ex-presidente Luiz Inácio Lula da Silva, buscando minar sua autoridade pessoal e política. No caso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, a oposição utiliza o histórico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em cargos técnicos sob o governo Castro, como o Ministério da Defesa, para solidificar 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framing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de que ela é apenas uma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executora de ordens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 um projeto maior, o que impede a percepção de sua autonomia.</w:t>
      </w:r>
    </w:p>
    <w:p w14:paraId="71C48766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4.2 A Deslegitimação Institucional: Competência e Ataque ao Histórico</w:t>
      </w:r>
    </w:p>
    <w:p w14:paraId="1B8B36BD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A trajetória profissional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em cargos técnicos e de alto escalão (CNE, Ministério da Defesa) é explorada como vetor de deslegitimação.</w:t>
      </w:r>
    </w:p>
    <w:p w14:paraId="46BFACAD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enquadramento de incompetência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ativado por meio da retórica da propaganda negativa (</w:t>
      </w:r>
      <w:r>
        <w:rPr>
          <w:rStyle w:val="Forte"/>
          <w:color w:val="000000"/>
        </w:rPr>
        <w:t>BORBA, 2015</w:t>
      </w:r>
      <w:r>
        <w:rPr>
          <w:color w:val="000000"/>
        </w:rPr>
        <w:t>). Em vez de focar na proposta futura, o foco recai no histórico com a intenção de desqualificar o caráter. A oposição transforma o registro de sua passagem pelo CNE, ou as polêmicas administrativas do Ministério da Defesa, em evidências irrefutáveis de despreparo.</w:t>
      </w:r>
    </w:p>
    <w:p w14:paraId="425055A5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epistemologia tribal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Style w:val="Forte"/>
          <w:color w:val="000000"/>
        </w:rPr>
        <w:t>GOMES; DOURADO, 2019</w:t>
      </w:r>
      <w:r>
        <w:rPr>
          <w:color w:val="000000"/>
        </w:rPr>
        <w:t xml:space="preserve">) permite que a oposição ignore qualquer sucesso ou dado contextual: </w:t>
      </w:r>
      <w:proofErr w:type="gramStart"/>
      <w:r>
        <w:rPr>
          <w:color w:val="000000"/>
        </w:rPr>
        <w:t>se Moncada</w:t>
      </w:r>
      <w:proofErr w:type="gramEnd"/>
      <w:r>
        <w:rPr>
          <w:color w:val="000000"/>
        </w:rPr>
        <w:t xml:space="preserve"> é do LIBRE, qualquer ato em sua carreira só pode ser interpretado como prova de fraude ou ineficiência. O ataque visa criar uma narrativa de "não voto" baseada na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desconfiança institucional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inerente à polarização. A oposição busca a deslegitimação do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processo democrático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em si, uma tática historicamente documentada em Honduras.</w:t>
      </w:r>
    </w:p>
    <w:p w14:paraId="1EF26AE4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4.3 Tribalismo Geopolítico e a Narrativa da Tutela Externa</w:t>
      </w:r>
    </w:p>
    <w:p w14:paraId="54FB7F66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A deslegitimação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não se restringe ao âmbito nacional, sendo amplificada pela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narrativa geopolítica tribal</w:t>
      </w:r>
      <w:r>
        <w:rPr>
          <w:color w:val="000000"/>
        </w:rPr>
        <w:t>.</w:t>
      </w:r>
    </w:p>
    <w:p w14:paraId="4F534C56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O LIBRE, por seu alinhamento histórico com a esquerda regional, é frequentemente associado a modelos políticos impopulares ou autoritários (Nicarágua e Venezuela). O discurso de oposição, reforçado por vozes influentes e pela mídia que prioriza o </w:t>
      </w:r>
      <w:r>
        <w:rPr>
          <w:color w:val="000000"/>
        </w:rPr>
        <w:lastRenderedPageBreak/>
        <w:t>enquadramento de crise, utiliza essa associação como uma tática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terror político</w:t>
      </w:r>
      <w:r>
        <w:rPr>
          <w:color w:val="000000"/>
        </w:rPr>
        <w:t>. A mensagem subjacente é clara: votar em Moncada é votar na "venezuelização" ou na "</w:t>
      </w:r>
      <w:proofErr w:type="spellStart"/>
      <w:r>
        <w:rPr>
          <w:color w:val="000000"/>
        </w:rPr>
        <w:t>nicaraguanização</w:t>
      </w:r>
      <w:proofErr w:type="spellEnd"/>
      <w:r>
        <w:rPr>
          <w:color w:val="000000"/>
        </w:rPr>
        <w:t>" de Honduras, o que aciona 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medo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 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ansiedade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 eleitorado.</w:t>
      </w:r>
    </w:p>
    <w:p w14:paraId="49A468BE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Essa tática de associação ideológica é um tipo de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 xml:space="preserve">fake </w:t>
      </w:r>
      <w:proofErr w:type="spellStart"/>
      <w:r>
        <w:rPr>
          <w:rStyle w:val="nfase"/>
          <w:color w:val="000000"/>
        </w:rPr>
        <w:t>news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que atua na esfera simbólica, sendo extremamente difícil de ser combatida pelo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fact-checking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tradicional, pois a premissa é política e não factual. A candidata, ao ter sua narrativa enquadrada em um "bloco ideológico negativo", tem sua autonomia política reduzida e sua imagem pública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contrafactada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em um símbolo de ameaça externa à estabilidade hondurenha.</w:t>
      </w:r>
    </w:p>
    <w:p w14:paraId="43531146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4.4 O Enquadramento da Crise como Pano de Fundo para a Deslegitimação</w:t>
      </w:r>
    </w:p>
    <w:p w14:paraId="64CA7282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O enquadramento da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crise e da instabilidade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na cobertura internacional (</w:t>
      </w:r>
      <w:r>
        <w:rPr>
          <w:rStyle w:val="Forte"/>
          <w:color w:val="000000"/>
        </w:rPr>
        <w:t>AL JAZEERA, 2025; REUTERS, 2025; LATAM JOURNALISM REVIEW, 2025</w:t>
      </w:r>
      <w:r>
        <w:rPr>
          <w:color w:val="000000"/>
        </w:rPr>
        <w:t>) atua como um reforço estrutural da deslegitimação.</w:t>
      </w:r>
    </w:p>
    <w:p w14:paraId="4597DB63" w14:textId="77777777" w:rsidR="003D1FA8" w:rsidRDefault="003D1FA8" w:rsidP="003D1FA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LatAm</w:t>
      </w:r>
      <w:proofErr w:type="spellEnd"/>
      <w:r>
        <w:rPr>
          <w:rStyle w:val="nfase"/>
          <w:color w:val="000000"/>
        </w:rPr>
        <w:t xml:space="preserve"> </w:t>
      </w:r>
      <w:proofErr w:type="spellStart"/>
      <w:r>
        <w:rPr>
          <w:rStyle w:val="nfase"/>
          <w:color w:val="000000"/>
        </w:rPr>
        <w:t>Journalism</w:t>
      </w:r>
      <w:proofErr w:type="spellEnd"/>
      <w:r>
        <w:rPr>
          <w:rStyle w:val="nfase"/>
          <w:color w:val="000000"/>
        </w:rPr>
        <w:t xml:space="preserve"> Review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(maio 2025), ao focar em ataques a jornalistas e tensões institucionais, cria um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pano de fundo de colapso</w:t>
      </w:r>
      <w:r>
        <w:rPr>
          <w:color w:val="000000"/>
        </w:rPr>
        <w:t>. Este enquadramento, mesmo que factualmente correto em relação à violência, indiretamente reforça a percepção de que o governo LIBRE é incapaz de garantir a ordem e a segurança.</w:t>
      </w:r>
    </w:p>
    <w:p w14:paraId="6DC84FF6" w14:textId="77777777" w:rsidR="003D1FA8" w:rsidRDefault="003D1FA8" w:rsidP="003D1FA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O enfoque na "crise de governabilidade" por parte da mídia internacional insere a candidatura em uma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narrativa de tutela externa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Style w:val="Forte"/>
          <w:color w:val="000000"/>
        </w:rPr>
        <w:t>KARL, 2021; GRANDIN, 2019</w:t>
      </w:r>
      <w:r>
        <w:rPr>
          <w:color w:val="000000"/>
        </w:rPr>
        <w:t>). A política hondurenha é vista como um problema a ser "solucionado" ou "contido" por forças externas, reduzindo a agência dos atores locais, incluindo Moncada. O artigo de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Al Jazeera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(15 ago. 2025), ao discutir as manifestações e a nova lei de segurança, enquadra o governo Castro/Moncada em uma lógica de crescente autoritarismo, reforçando a narrativa tribal da oposição.</w:t>
      </w:r>
    </w:p>
    <w:p w14:paraId="38B078E5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A exposição contínua a este enquadramento de crise, amplificado por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instituições algorítmicas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Style w:val="Forte"/>
          <w:color w:val="000000"/>
        </w:rPr>
        <w:t>FILGUEIRAS; MENDONÇA; ALMEIDA, 2025</w:t>
      </w:r>
      <w:r>
        <w:rPr>
          <w:color w:val="000000"/>
        </w:rPr>
        <w:t>) que priorizam conteúdos de alta polarização e negatividade (</w:t>
      </w:r>
      <w:r>
        <w:rPr>
          <w:rStyle w:val="Forte"/>
          <w:color w:val="000000"/>
        </w:rPr>
        <w:t>BARROS et al., 2024</w:t>
      </w:r>
      <w:r>
        <w:rPr>
          <w:color w:val="000000"/>
        </w:rPr>
        <w:t>), condiciona o eleitorado a interpretar a candidata como um agente de instabilidade e não como uma agente de mudança.</w:t>
      </w:r>
    </w:p>
    <w:p w14:paraId="3DBA5C8F" w14:textId="36EB7F10" w:rsidR="00F42E49" w:rsidRDefault="00F42E49" w:rsidP="00F42E49">
      <w:pPr>
        <w:pStyle w:val="NormalWeb"/>
        <w:rPr>
          <w:color w:val="000000"/>
        </w:rPr>
      </w:pPr>
      <w:r>
        <w:rPr>
          <w:b/>
          <w:bCs/>
          <w:color w:val="000000"/>
        </w:rPr>
        <w:t>5 A CRISTALIZAÇÃO DA CONTRAFAÇÃO: O CENÁRIO ELEITORAL DE DEZEMBRO DE 2025</w:t>
      </w:r>
    </w:p>
    <w:p w14:paraId="317DB48A" w14:textId="77777777" w:rsidR="00F42E49" w:rsidRDefault="00F42E49" w:rsidP="00F42E49">
      <w:pPr>
        <w:pStyle w:val="NormalWeb"/>
        <w:rPr>
          <w:color w:val="000000"/>
        </w:rPr>
      </w:pPr>
      <w:r>
        <w:rPr>
          <w:color w:val="000000"/>
        </w:rPr>
        <w:t xml:space="preserve">A arquitetura discursiva observada na pré-campanha materializou-se, na semana das eleições de dezembro, numa operação coordenada de ingerência externa e sabotagem técnica, confirmando a hipótese de que a autonomia política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seria não apenas questionada, mas ativamente combatida por vetores transnacionais.</w:t>
      </w:r>
    </w:p>
    <w:p w14:paraId="3E83DCC3" w14:textId="21928736" w:rsidR="00F42E49" w:rsidRDefault="00F42E49" w:rsidP="00F42E49">
      <w:pPr>
        <w:pStyle w:val="NormalWeb"/>
        <w:rPr>
          <w:color w:val="000000"/>
        </w:rPr>
      </w:pPr>
      <w:r>
        <w:rPr>
          <w:b/>
          <w:bCs/>
          <w:color w:val="000000"/>
        </w:rPr>
        <w:t>5.1 A Ingerência Geopolítica: O Discurso da "Ameaça Comunista" e a Chantagem Económica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Na reta final, a narrativa de "tribalismo geopolítico" transcendeu a retórica de opositores locais para se tornar uma política de estado de potências estrangeiras.</w:t>
      </w:r>
      <w:r>
        <w:rPr>
          <w:rStyle w:val="apple-converted-space"/>
          <w:color w:val="000000"/>
        </w:rPr>
        <w:t> </w:t>
      </w:r>
      <w:r>
        <w:rPr>
          <w:rStyle w:val="citation-23"/>
          <w:color w:val="000000"/>
        </w:rPr>
        <w:t xml:space="preserve">A Casa Branca, sob a administração de Donald Trump, rompeu protocolos diplomáticos ao </w:t>
      </w:r>
      <w:r>
        <w:rPr>
          <w:rStyle w:val="citation-23"/>
          <w:color w:val="000000"/>
        </w:rPr>
        <w:lastRenderedPageBreak/>
        <w:t xml:space="preserve">rotular explicitamente a candidata </w:t>
      </w:r>
      <w:proofErr w:type="spellStart"/>
      <w:r>
        <w:rPr>
          <w:rStyle w:val="citation-23"/>
          <w:color w:val="000000"/>
        </w:rPr>
        <w:t>Rixi</w:t>
      </w:r>
      <w:proofErr w:type="spellEnd"/>
      <w:r>
        <w:rPr>
          <w:rStyle w:val="citation-23"/>
          <w:color w:val="000000"/>
        </w:rPr>
        <w:t xml:space="preserve"> Moncada de "comunista"</w:t>
      </w:r>
      <w:r>
        <w:rPr>
          <w:color w:val="000000"/>
        </w:rPr>
        <w:t>, instando o eleitorado hondurenho a votar no candidato da oposição.</w:t>
      </w:r>
      <w:r>
        <w:rPr>
          <w:rStyle w:val="apple-converted-space"/>
          <w:color w:val="000000"/>
        </w:rPr>
        <w:t> </w:t>
      </w:r>
      <w:r>
        <w:rPr>
          <w:rStyle w:val="citation-22"/>
          <w:color w:val="000000"/>
        </w:rPr>
        <w:t>Este movimento foi acompanhado por uma tática de</w:t>
      </w:r>
      <w:r>
        <w:rPr>
          <w:rStyle w:val="apple-converted-space"/>
          <w:color w:val="000000"/>
        </w:rPr>
        <w:t> </w:t>
      </w:r>
      <w:r>
        <w:rPr>
          <w:rStyle w:val="citation-22"/>
          <w:i/>
          <w:iCs/>
          <w:color w:val="000000"/>
        </w:rPr>
        <w:t>coerção económica</w:t>
      </w:r>
      <w:r>
        <w:rPr>
          <w:rStyle w:val="citation-22"/>
          <w:color w:val="000000"/>
        </w:rPr>
        <w:t>: a ameaça direta de corte de parcerias bilaterais e, mais gravemente, a suspensão do envio de remessas</w:t>
      </w:r>
      <w:r>
        <w:rPr>
          <w:rStyle w:val="citation-22"/>
          <w:color w:val="000000"/>
        </w:rPr>
        <w:t>,</w:t>
      </w:r>
      <w:r>
        <w:rPr>
          <w:rStyle w:val="citation-22"/>
          <w:color w:val="000000"/>
        </w:rPr>
        <w:t xml:space="preserve"> vitais para a economia hondurenha caso a vitória do LIBRE se confirmasse</w:t>
      </w:r>
      <w:r>
        <w:rPr>
          <w:color w:val="000000"/>
        </w:rPr>
        <w:t>.</w:t>
      </w:r>
    </w:p>
    <w:p w14:paraId="63B8FB61" w14:textId="77777777" w:rsidR="00F42E49" w:rsidRDefault="00F42E49" w:rsidP="00F42E49">
      <w:pPr>
        <w:pStyle w:val="NormalWeb"/>
        <w:rPr>
          <w:color w:val="000000"/>
        </w:rPr>
      </w:pPr>
      <w:r>
        <w:rPr>
          <w:rStyle w:val="citation-21"/>
          <w:rFonts w:eastAsiaTheme="majorEastAsia"/>
          <w:color w:val="000000"/>
        </w:rPr>
        <w:t>Simultaneamente, o indulto concedido por Trump ao ex-presidente e narcotraficante condenado, Juan Orlando Hernández, no marco do processo eleitoral</w:t>
      </w:r>
      <w:r>
        <w:rPr>
          <w:color w:val="000000"/>
        </w:rPr>
        <w:t>, funcionou como um símbolo de impunidade e uma mensagem clara de tutela imperial: a lealdade geopolítica aos EUA sobrepõe-se ao Estado de Direito ou ao combate ao narcotráfico. A soberania popular foi, assim, enquadrada como moeda de troca, onde a autonomia de uma liderança feminina de esquerda é apresentada como um risco existencial à sobrevivência económica das famílias hondurenhas.</w:t>
      </w:r>
    </w:p>
    <w:p w14:paraId="4A90B093" w14:textId="77777777" w:rsidR="00F42E49" w:rsidRDefault="00F42E49" w:rsidP="00F42E49">
      <w:pPr>
        <w:pStyle w:val="NormalWeb"/>
        <w:rPr>
          <w:color w:val="000000"/>
        </w:rPr>
      </w:pPr>
      <w:r>
        <w:rPr>
          <w:b/>
          <w:bCs/>
          <w:color w:val="000000"/>
        </w:rPr>
        <w:t>5.2 A Institucionalização da Deslegitimação: A Reunião de Emergência da OEA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esfera internacional foi mobilizada de forma inédita através de uma reunião de emergência da Organização dos Estados Americanos (OEA) na própria semana do escrutínio. O encontro, marcado por um tom de exceção, serviu de palco para denúncias coordenadas pelos Estados Unidos e pela Argentina, que atuaram como "testemunhas de acusação" contra a integridade do processo hondurenho antes mesmo da contagem dos votos.</w:t>
      </w:r>
    </w:p>
    <w:p w14:paraId="2BD2C64E" w14:textId="77777777" w:rsidR="00F42E49" w:rsidRDefault="00F42E49" w:rsidP="00F42E49">
      <w:pPr>
        <w:pStyle w:val="NormalWeb"/>
        <w:rPr>
          <w:color w:val="000000"/>
        </w:rPr>
      </w:pPr>
      <w:r>
        <w:rPr>
          <w:color w:val="000000"/>
        </w:rPr>
        <w:t>A presença de secretários de formação dos partidos Democrata e Republicano dos EUA como "observadores/testemunhas" reforçou a narrativa de que a eleição hondurenha necessitava de tutela externa para ser válida. Este evento operou como um mecanismo de</w:t>
      </w:r>
      <w:r>
        <w:rPr>
          <w:rStyle w:val="apple-converted-space"/>
          <w:color w:val="000000"/>
        </w:rPr>
        <w:t> </w:t>
      </w:r>
      <w:proofErr w:type="spellStart"/>
      <w:r>
        <w:rPr>
          <w:i/>
          <w:iCs/>
          <w:color w:val="000000"/>
        </w:rPr>
        <w:t>pré</w:t>
      </w:r>
      <w:proofErr w:type="spellEnd"/>
      <w:r>
        <w:rPr>
          <w:i/>
          <w:iCs/>
          <w:color w:val="000000"/>
        </w:rPr>
        <w:t>-deslegitimação</w:t>
      </w:r>
      <w:r>
        <w:rPr>
          <w:color w:val="000000"/>
        </w:rPr>
        <w:t>, criando um lastro "oficial" para contestar uma eventual vitória de Moncada, inserindo-a num enquadramento de isolamento diplomático preventivo.</w:t>
      </w:r>
    </w:p>
    <w:p w14:paraId="500E5C14" w14:textId="77777777" w:rsidR="00F42E49" w:rsidRDefault="00F42E49" w:rsidP="00F42E49">
      <w:pPr>
        <w:pStyle w:val="NormalWeb"/>
        <w:rPr>
          <w:color w:val="000000"/>
        </w:rPr>
      </w:pPr>
      <w:r>
        <w:rPr>
          <w:b/>
          <w:bCs/>
          <w:color w:val="000000"/>
        </w:rPr>
        <w:t>5.3 Sabotagem Técnica e Irregularidades no Escrutínio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No plano interno, a deslegitimação simbólica da competência </w:t>
      </w:r>
      <w:proofErr w:type="gramStart"/>
      <w:r>
        <w:rPr>
          <w:color w:val="000000"/>
        </w:rPr>
        <w:t>de Moncada</w:t>
      </w:r>
      <w:proofErr w:type="gramEnd"/>
      <w:r>
        <w:rPr>
          <w:color w:val="000000"/>
        </w:rPr>
        <w:t xml:space="preserve"> deu lugar à sabotagem material do sufrágio.</w:t>
      </w:r>
      <w:r>
        <w:rPr>
          <w:rStyle w:val="apple-converted-space"/>
          <w:color w:val="000000"/>
        </w:rPr>
        <w:t> </w:t>
      </w:r>
      <w:r>
        <w:rPr>
          <w:rStyle w:val="citation-20"/>
          <w:rFonts w:eastAsiaTheme="majorEastAsia"/>
          <w:color w:val="000000"/>
        </w:rPr>
        <w:t>Relatórios de campo e denúncias oficiais indicaram a manipulação do código-fonte do sistema de Transmissão de Resultados Eleitorais Preliminares (TREP), realizada sem as chaves de segurança adequadas e à revelia dos técnicos responsáveis</w:t>
      </w:r>
      <w:r>
        <w:rPr>
          <w:color w:val="000000"/>
        </w:rPr>
        <w:t>.</w:t>
      </w:r>
    </w:p>
    <w:p w14:paraId="51EF3884" w14:textId="77777777" w:rsidR="00F42E49" w:rsidRDefault="00F42E49" w:rsidP="00F42E49">
      <w:pPr>
        <w:pStyle w:val="NormalWeb"/>
        <w:rPr>
          <w:color w:val="000000"/>
        </w:rPr>
      </w:pPr>
      <w:r>
        <w:rPr>
          <w:color w:val="000000"/>
        </w:rPr>
        <w:t>As irregularidades físicas proliferaram, exemplificadas pela detenção, em San Pedro Sula, de uma cidadã na posse de múltiplas atas eleitorais que estavam a ser preenchidas ilicitamente numa residência privada.</w:t>
      </w:r>
      <w:r>
        <w:rPr>
          <w:rStyle w:val="apple-converted-space"/>
          <w:color w:val="000000"/>
        </w:rPr>
        <w:t> </w:t>
      </w:r>
      <w:r>
        <w:rPr>
          <w:rStyle w:val="citation-19"/>
          <w:rFonts w:eastAsiaTheme="majorEastAsia"/>
          <w:color w:val="000000"/>
        </w:rPr>
        <w:t xml:space="preserve">Paralelamente, a própria candidata </w:t>
      </w:r>
      <w:proofErr w:type="spellStart"/>
      <w:r>
        <w:rPr>
          <w:rStyle w:val="citation-19"/>
          <w:rFonts w:eastAsiaTheme="majorEastAsia"/>
          <w:color w:val="000000"/>
        </w:rPr>
        <w:t>Rixi</w:t>
      </w:r>
      <w:proofErr w:type="spellEnd"/>
      <w:r>
        <w:rPr>
          <w:rStyle w:val="citation-19"/>
          <w:rFonts w:eastAsiaTheme="majorEastAsia"/>
          <w:color w:val="000000"/>
        </w:rPr>
        <w:t xml:space="preserve"> Moncada e o Chanceler de Honduras apresentaram provas documentais de atas sem assinaturas e com inconsistências numéricas grosseiras, corroboradas pela existência de mais de 4.600 atas sem respaldo biométrico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8"/>
          <w:color w:val="000000"/>
        </w:rPr>
        <w:t>O apagão informativo nos portais de divulgação</w:t>
      </w:r>
      <w:r>
        <w:rPr>
          <w:rStyle w:val="apple-converted-space"/>
          <w:color w:val="000000"/>
        </w:rPr>
        <w:t> </w:t>
      </w:r>
      <w:r>
        <w:rPr>
          <w:rStyle w:val="citation-17"/>
          <w:rFonts w:eastAsiaTheme="majorEastAsia"/>
          <w:color w:val="000000"/>
        </w:rPr>
        <w:t>completou o cenário de um "golpe eleitoral"</w:t>
      </w:r>
      <w:r>
        <w:rPr>
          <w:color w:val="000000"/>
        </w:rPr>
        <w:t>, onde a tecnologia não serviu à transparência, mas à opacidade necessária para impedir a consolidação da autonomia política de Moncada.</w:t>
      </w:r>
    </w:p>
    <w:p w14:paraId="355419ED" w14:textId="77777777" w:rsidR="00F42E49" w:rsidRPr="00F42E49" w:rsidRDefault="00F42E49" w:rsidP="00F42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F42E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6 CONCLUSÃO</w:t>
      </w:r>
    </w:p>
    <w:p w14:paraId="767368F8" w14:textId="77777777" w:rsidR="00F42E49" w:rsidRPr="00F42E49" w:rsidRDefault="00F42E49" w:rsidP="00F42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lastRenderedPageBreak/>
        <w:t xml:space="preserve">A trajetória da candidatura de </w:t>
      </w:r>
      <w:proofErr w:type="spellStart"/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Rixi</w:t>
      </w:r>
      <w:proofErr w:type="spellEnd"/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Moncada, de maio a dezembro de 2025, evidencia que a </w:t>
      </w:r>
      <w:r w:rsidRPr="00F42E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contrafação da autonomia política</w:t>
      </w:r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 na América Latina não é apenas um fenómeno de comunicação, mas uma operação híbrida de guerra política. O que se iniciou com enquadramentos de género e incompetência na pré-campanha culminou numa intervenção geopolítica direta e na sabotagem técnica do processo democrático.</w:t>
      </w:r>
    </w:p>
    <w:p w14:paraId="448EE40F" w14:textId="77777777" w:rsidR="00F42E49" w:rsidRPr="00F42E49" w:rsidRDefault="00F42E49" w:rsidP="00F42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A análise demonstra que a deslegitimação de lideranças femininas progressistas segue um guião escalável: (1) a corrosão da imagem pública através de estereótipos de dependência ("marionete de Zelaya"); (2) a ativação do pânico moral via retórica anticomunista externa (intervenção de Trump); e (3) a manipulação institucional e tecnológica para alterar a soberania popular (fraude no TREP e coação via OEA).</w:t>
      </w:r>
    </w:p>
    <w:p w14:paraId="38CFF7EE" w14:textId="77777777" w:rsidR="00F42E49" w:rsidRPr="00F42E49" w:rsidRDefault="00F42E49" w:rsidP="00F42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O caso de Honduras em 2025 serve de alerta para a fragilidade das democracias na região perante a "Inteligência Estendida" da desinformação e a força bruta da diplomacia coerciva. A resistência </w:t>
      </w:r>
      <w:proofErr w:type="gramStart"/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de Moncada</w:t>
      </w:r>
      <w:proofErr w:type="gramEnd"/>
      <w:r w:rsidRPr="00F42E4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e do Partido LIBRE, expressa na não aceitação dos resultados adulterados e na mobilização popular, reafirma que a disputa pela autonomia feminina é, em última instância, uma disputa pela própria soberania nacional contra novas formas de colonialismo político e digital.</w:t>
      </w:r>
    </w:p>
    <w:p w14:paraId="1D672F31" w14:textId="77777777" w:rsidR="00F42E49" w:rsidRPr="00F42E49" w:rsidRDefault="00F42E49" w:rsidP="00F42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38B4466" w14:textId="77777777" w:rsidR="003D1FA8" w:rsidRDefault="003D1FA8" w:rsidP="003D1FA8">
      <w:pPr>
        <w:pStyle w:val="NormalWeb"/>
        <w:rPr>
          <w:color w:val="000000"/>
        </w:rPr>
      </w:pPr>
      <w:r>
        <w:rPr>
          <w:rStyle w:val="Forte"/>
          <w:color w:val="000000"/>
        </w:rPr>
        <w:t>REFERÊNCIAS</w:t>
      </w:r>
    </w:p>
    <w:p w14:paraId="60CBC01D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AL JAZEERA. </w:t>
      </w:r>
      <w:proofErr w:type="spellStart"/>
      <w:r>
        <w:rPr>
          <w:color w:val="000000"/>
        </w:rPr>
        <w:t>Honduran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government</w:t>
      </w:r>
      <w:proofErr w:type="spellEnd"/>
      <w:r>
        <w:rPr>
          <w:color w:val="000000"/>
        </w:rPr>
        <w:t xml:space="preserve"> faces </w:t>
      </w:r>
      <w:proofErr w:type="spellStart"/>
      <w:r>
        <w:rPr>
          <w:color w:val="000000"/>
        </w:rPr>
        <w:t>protests</w:t>
      </w:r>
      <w:proofErr w:type="spellEnd"/>
      <w:r>
        <w:rPr>
          <w:color w:val="000000"/>
        </w:rPr>
        <w:t xml:space="preserve"> over new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law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Al Jazeera</w:t>
      </w:r>
      <w:r>
        <w:rPr>
          <w:color w:val="000000"/>
        </w:rPr>
        <w:t>, 15 ago. 2025.</w:t>
      </w:r>
    </w:p>
    <w:p w14:paraId="0396082F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BARROS, Carlos Eduardo et al. Negacionismo climático no YouTube: como argumentos de falsos especialistas repercutem nos comentários da audiência. In: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ENCONTRO ANUAL DA COMPÓS</w:t>
      </w:r>
      <w:r>
        <w:rPr>
          <w:color w:val="000000"/>
        </w:rPr>
        <w:t>, 33., 2024, Niterói.</w:t>
      </w:r>
    </w:p>
    <w:p w14:paraId="2DC498EA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BORBA, Felipe. Propaganda negativa nas eleições presidenciais brasileiras.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Opinião Pública</w:t>
      </w:r>
      <w:r>
        <w:rPr>
          <w:color w:val="000000"/>
        </w:rPr>
        <w:t>, Campinas, v. 21, n. 2, p. 268-295, ago. 2015.</w:t>
      </w:r>
    </w:p>
    <w:p w14:paraId="6A2B186E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CHESNEY, Robert; CITRON, Danielle. </w:t>
      </w:r>
      <w:proofErr w:type="spellStart"/>
      <w:r>
        <w:rPr>
          <w:color w:val="000000"/>
        </w:rPr>
        <w:t>Deep</w:t>
      </w:r>
      <w:proofErr w:type="spellEnd"/>
      <w:r>
        <w:rPr>
          <w:color w:val="000000"/>
        </w:rPr>
        <w:t xml:space="preserve"> Fakes: A </w:t>
      </w:r>
      <w:proofErr w:type="spellStart"/>
      <w:r>
        <w:rPr>
          <w:color w:val="000000"/>
        </w:rPr>
        <w:t>Looming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Democracy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National</w:t>
      </w:r>
      <w:proofErr w:type="spellEnd"/>
      <w:r>
        <w:rPr>
          <w:color w:val="000000"/>
        </w:rPr>
        <w:t xml:space="preserve"> Security.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California Law Review</w:t>
      </w:r>
      <w:r>
        <w:rPr>
          <w:color w:val="000000"/>
        </w:rPr>
        <w:t>, v. 107, n. 6, p. 1753-1823, 2019.</w:t>
      </w:r>
    </w:p>
    <w:p w14:paraId="1255227C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ELORDUY, Gabriela. </w:t>
      </w:r>
      <w:proofErr w:type="spellStart"/>
      <w:r>
        <w:rPr>
          <w:color w:val="000000"/>
        </w:rPr>
        <w:t>Desinformación</w:t>
      </w:r>
      <w:proofErr w:type="spellEnd"/>
      <w:r>
        <w:rPr>
          <w:color w:val="000000"/>
        </w:rPr>
        <w:t xml:space="preserve"> y género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campaña</w:t>
      </w:r>
      <w:proofErr w:type="spellEnd"/>
      <w:r>
        <w:rPr>
          <w:color w:val="000000"/>
        </w:rPr>
        <w:t xml:space="preserve"> de Claudia </w:t>
      </w:r>
      <w:proofErr w:type="spellStart"/>
      <w:r>
        <w:rPr>
          <w:color w:val="000000"/>
        </w:rPr>
        <w:t>Sheinbaum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El País América</w:t>
      </w:r>
      <w:r>
        <w:rPr>
          <w:color w:val="000000"/>
        </w:rPr>
        <w:t>, 2024.</w:t>
      </w:r>
    </w:p>
    <w:p w14:paraId="67189F73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ENTMAN, Robert. </w:t>
      </w:r>
      <w:proofErr w:type="spellStart"/>
      <w:r>
        <w:rPr>
          <w:color w:val="000000"/>
        </w:rPr>
        <w:t>Framing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Toward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Clarification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Fractured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Paradigm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Journal</w:t>
      </w:r>
      <w:proofErr w:type="spellEnd"/>
      <w:r>
        <w:rPr>
          <w:rStyle w:val="Forte"/>
          <w:color w:val="000000"/>
        </w:rPr>
        <w:t xml:space="preserve"> of Communication</w:t>
      </w:r>
      <w:r>
        <w:rPr>
          <w:color w:val="000000"/>
        </w:rPr>
        <w:t>, v. 43, n. 4, p. 51-58, out. 1993.</w:t>
      </w:r>
    </w:p>
    <w:p w14:paraId="36A9E5A8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FILGUEIRAS, Fernando; MENDONÇA, Ricardo </w:t>
      </w:r>
      <w:proofErr w:type="spellStart"/>
      <w:r>
        <w:rPr>
          <w:color w:val="000000"/>
        </w:rPr>
        <w:t>Fabrino</w:t>
      </w:r>
      <w:proofErr w:type="spellEnd"/>
      <w:r>
        <w:rPr>
          <w:color w:val="000000"/>
        </w:rPr>
        <w:t>; ALMEIDA, Virgílio. Inteligência Artificial e democracia: humanos, máquinas e instituições algorítmicas.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Estudos Avançados</w:t>
      </w:r>
      <w:r>
        <w:rPr>
          <w:color w:val="000000"/>
        </w:rPr>
        <w:t>, v. 39, n. 113, 2025.</w:t>
      </w:r>
    </w:p>
    <w:p w14:paraId="2EDC2092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lastRenderedPageBreak/>
        <w:t>FUKS, Mario; MARQUES, Paulo Henrique.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Polarização política no Brasil</w:t>
      </w:r>
      <w:r>
        <w:rPr>
          <w:color w:val="000000"/>
        </w:rPr>
        <w:t>. Belo Horizonte: UFMG, 2022.</w:t>
      </w:r>
    </w:p>
    <w:p w14:paraId="4DDA3FE7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GOMES, Wilson da Silva; DOURADO, Tatiana. Fake </w:t>
      </w:r>
      <w:proofErr w:type="spellStart"/>
      <w:r>
        <w:rPr>
          <w:color w:val="000000"/>
        </w:rPr>
        <w:t>news</w:t>
      </w:r>
      <w:proofErr w:type="spellEnd"/>
      <w:r>
        <w:rPr>
          <w:color w:val="000000"/>
        </w:rPr>
        <w:t>, um fenômeno de comunicação política entre jornalismo, política e democracia.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Estudos em Jornalismo e Mídia</w:t>
      </w:r>
      <w:r>
        <w:rPr>
          <w:color w:val="000000"/>
        </w:rPr>
        <w:t>, v. 16, n. 2, p. 33-45, jul./dez. 2019.</w:t>
      </w:r>
    </w:p>
    <w:p w14:paraId="48D269F8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GRANDIN, Greg.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 xml:space="preserve">The </w:t>
      </w:r>
      <w:proofErr w:type="spellStart"/>
      <w:r>
        <w:rPr>
          <w:rStyle w:val="Forte"/>
          <w:color w:val="000000"/>
        </w:rPr>
        <w:t>End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of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the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Myth</w:t>
      </w:r>
      <w:proofErr w:type="spellEnd"/>
      <w:r>
        <w:rPr>
          <w:rStyle w:val="Forte"/>
          <w:color w:val="000000"/>
        </w:rPr>
        <w:t xml:space="preserve">: </w:t>
      </w:r>
      <w:proofErr w:type="spellStart"/>
      <w:r>
        <w:rPr>
          <w:rStyle w:val="Forte"/>
          <w:color w:val="000000"/>
        </w:rPr>
        <w:t>From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the</w:t>
      </w:r>
      <w:proofErr w:type="spellEnd"/>
      <w:r>
        <w:rPr>
          <w:rStyle w:val="Forte"/>
          <w:color w:val="000000"/>
        </w:rPr>
        <w:t xml:space="preserve"> Frontier </w:t>
      </w:r>
      <w:proofErr w:type="spellStart"/>
      <w:r>
        <w:rPr>
          <w:rStyle w:val="Forte"/>
          <w:color w:val="000000"/>
        </w:rPr>
        <w:t>to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the</w:t>
      </w:r>
      <w:proofErr w:type="spellEnd"/>
      <w:r>
        <w:rPr>
          <w:rStyle w:val="Forte"/>
          <w:color w:val="000000"/>
        </w:rPr>
        <w:t xml:space="preserve"> Border Wall in </w:t>
      </w:r>
      <w:proofErr w:type="spellStart"/>
      <w:r>
        <w:rPr>
          <w:rStyle w:val="Forte"/>
          <w:color w:val="000000"/>
        </w:rPr>
        <w:t>the</w:t>
      </w:r>
      <w:proofErr w:type="spellEnd"/>
      <w:r>
        <w:rPr>
          <w:rStyle w:val="Forte"/>
          <w:color w:val="000000"/>
        </w:rPr>
        <w:t xml:space="preserve"> Mind </w:t>
      </w:r>
      <w:proofErr w:type="spellStart"/>
      <w:r>
        <w:rPr>
          <w:rStyle w:val="Forte"/>
          <w:color w:val="000000"/>
        </w:rPr>
        <w:t>of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America</w:t>
      </w:r>
      <w:proofErr w:type="spellEnd"/>
      <w:r>
        <w:rPr>
          <w:color w:val="000000"/>
        </w:rPr>
        <w:t>. New York: Metropolitan Books, 2019.</w:t>
      </w:r>
    </w:p>
    <w:p w14:paraId="4B381BE5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HARLOW, Summer; SALAVERRÍA, Ramón. </w:t>
      </w:r>
      <w:proofErr w:type="spellStart"/>
      <w:r>
        <w:rPr>
          <w:color w:val="000000"/>
        </w:rPr>
        <w:t>Gendered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Disinformation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Latin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America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 xml:space="preserve">Digital </w:t>
      </w:r>
      <w:proofErr w:type="spellStart"/>
      <w:r>
        <w:rPr>
          <w:rStyle w:val="Forte"/>
          <w:color w:val="000000"/>
        </w:rPr>
        <w:t>Journalism</w:t>
      </w:r>
      <w:proofErr w:type="spellEnd"/>
      <w:r>
        <w:rPr>
          <w:color w:val="000000"/>
        </w:rPr>
        <w:t>, v. 10, n. 4, p. 586-608, 2022.</w:t>
      </w:r>
    </w:p>
    <w:p w14:paraId="42930100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KARL, Terry Lynn. The </w:t>
      </w:r>
      <w:proofErr w:type="spellStart"/>
      <w:r>
        <w:rPr>
          <w:color w:val="000000"/>
        </w:rPr>
        <w:t>Paradox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Plenty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Revisited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Latin</w:t>
      </w:r>
      <w:proofErr w:type="spellEnd"/>
      <w:r>
        <w:rPr>
          <w:rStyle w:val="Forte"/>
          <w:color w:val="000000"/>
        </w:rPr>
        <w:t xml:space="preserve"> American </w:t>
      </w:r>
      <w:proofErr w:type="spellStart"/>
      <w:r>
        <w:rPr>
          <w:rStyle w:val="Forte"/>
          <w:color w:val="000000"/>
        </w:rPr>
        <w:t>Research</w:t>
      </w:r>
      <w:proofErr w:type="spellEnd"/>
      <w:r>
        <w:rPr>
          <w:rStyle w:val="Forte"/>
          <w:color w:val="000000"/>
        </w:rPr>
        <w:t xml:space="preserve"> Review</w:t>
      </w:r>
      <w:r>
        <w:rPr>
          <w:color w:val="000000"/>
        </w:rPr>
        <w:t>, v. 56, n. 2, p. 227-248, 2021.</w:t>
      </w:r>
    </w:p>
    <w:p w14:paraId="1C9A2A8E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LATAM JOURNALISM REVIEW. </w:t>
      </w:r>
      <w:proofErr w:type="spellStart"/>
      <w:r>
        <w:rPr>
          <w:color w:val="000000"/>
        </w:rPr>
        <w:t>Attacks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journalists</w:t>
      </w:r>
      <w:proofErr w:type="spellEnd"/>
      <w:r>
        <w:rPr>
          <w:color w:val="000000"/>
        </w:rPr>
        <w:t xml:space="preserve"> in Honduras continue </w:t>
      </w:r>
      <w:proofErr w:type="spellStart"/>
      <w:r>
        <w:rPr>
          <w:color w:val="000000"/>
        </w:rPr>
        <w:t>amid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tensions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LatAm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Journalism</w:t>
      </w:r>
      <w:proofErr w:type="spellEnd"/>
      <w:r>
        <w:rPr>
          <w:rStyle w:val="Forte"/>
          <w:color w:val="000000"/>
        </w:rPr>
        <w:t xml:space="preserve"> Review</w:t>
      </w:r>
      <w:r>
        <w:rPr>
          <w:color w:val="000000"/>
        </w:rPr>
        <w:t>, maio 2025.</w:t>
      </w:r>
    </w:p>
    <w:p w14:paraId="615F3CFC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REUTERS. </w:t>
      </w:r>
      <w:proofErr w:type="spellStart"/>
      <w:r>
        <w:rPr>
          <w:color w:val="000000"/>
        </w:rPr>
        <w:t>Opposition</w:t>
      </w:r>
      <w:proofErr w:type="spellEnd"/>
      <w:r>
        <w:rPr>
          <w:color w:val="000000"/>
        </w:rPr>
        <w:t xml:space="preserve"> candidate </w:t>
      </w:r>
      <w:proofErr w:type="spellStart"/>
      <w:r>
        <w:rPr>
          <w:color w:val="000000"/>
        </w:rPr>
        <w:t>Rixi</w:t>
      </w:r>
      <w:proofErr w:type="spellEnd"/>
      <w:r>
        <w:rPr>
          <w:color w:val="000000"/>
        </w:rPr>
        <w:t xml:space="preserve"> Moncada </w:t>
      </w:r>
      <w:proofErr w:type="spellStart"/>
      <w:r>
        <w:rPr>
          <w:color w:val="000000"/>
        </w:rPr>
        <w:t>holds</w:t>
      </w:r>
      <w:proofErr w:type="spellEnd"/>
      <w:r>
        <w:rPr>
          <w:color w:val="000000"/>
        </w:rPr>
        <w:t xml:space="preserve"> rally in Tegucigalpa.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Reuters</w:t>
      </w:r>
      <w:r>
        <w:rPr>
          <w:color w:val="000000"/>
        </w:rPr>
        <w:t>, 31 ago. 2025.</w:t>
      </w:r>
    </w:p>
    <w:p w14:paraId="1DB3809E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 xml:space="preserve">SAMPAIO, Rafael Cardoso et al. ChatGPT e outras </w:t>
      </w:r>
      <w:proofErr w:type="spellStart"/>
      <w:r>
        <w:rPr>
          <w:color w:val="000000"/>
        </w:rPr>
        <w:t>IAs</w:t>
      </w:r>
      <w:proofErr w:type="spellEnd"/>
      <w:r>
        <w:rPr>
          <w:color w:val="000000"/>
        </w:rPr>
        <w:t xml:space="preserve"> transformarão a pesquisa científica: reflexões sobre seus usos.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Revista de Sociologia e Política</w:t>
      </w:r>
      <w:r>
        <w:rPr>
          <w:color w:val="000000"/>
        </w:rPr>
        <w:t>, v. 32, 2024.</w:t>
      </w:r>
    </w:p>
    <w:p w14:paraId="0A59E48D" w14:textId="77777777" w:rsidR="003D1FA8" w:rsidRDefault="003D1FA8" w:rsidP="003D1FA8">
      <w:pPr>
        <w:pStyle w:val="NormalWeb"/>
        <w:rPr>
          <w:color w:val="000000"/>
        </w:rPr>
      </w:pPr>
      <w:r>
        <w:rPr>
          <w:color w:val="000000"/>
        </w:rPr>
        <w:t>YIN, Robert K.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 xml:space="preserve">Case </w:t>
      </w:r>
      <w:proofErr w:type="spellStart"/>
      <w:r>
        <w:rPr>
          <w:rStyle w:val="Forte"/>
          <w:color w:val="000000"/>
        </w:rPr>
        <w:t>Study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Research</w:t>
      </w:r>
      <w:proofErr w:type="spellEnd"/>
      <w:r>
        <w:rPr>
          <w:rStyle w:val="Forte"/>
          <w:color w:val="000000"/>
        </w:rPr>
        <w:t xml:space="preserve">: Design </w:t>
      </w:r>
      <w:proofErr w:type="spellStart"/>
      <w:r>
        <w:rPr>
          <w:rStyle w:val="Forte"/>
          <w:color w:val="000000"/>
        </w:rPr>
        <w:t>and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Methods</w:t>
      </w:r>
      <w:proofErr w:type="spellEnd"/>
      <w:r>
        <w:rPr>
          <w:color w:val="000000"/>
        </w:rPr>
        <w:t xml:space="preserve">. 6. ed. Los Angeles: </w:t>
      </w:r>
      <w:proofErr w:type="spellStart"/>
      <w:r>
        <w:rPr>
          <w:color w:val="000000"/>
        </w:rPr>
        <w:t>Sage</w:t>
      </w:r>
      <w:proofErr w:type="spellEnd"/>
      <w:r>
        <w:rPr>
          <w:color w:val="000000"/>
        </w:rPr>
        <w:t>, 2018.</w:t>
      </w:r>
    </w:p>
    <w:p w14:paraId="6D878CD4" w14:textId="0EC99925" w:rsidR="00E16065" w:rsidRPr="003D1FA8" w:rsidRDefault="00E16065" w:rsidP="003D1FA8"/>
    <w:sectPr w:rsidR="00E16065" w:rsidRPr="003D1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B54B4"/>
    <w:multiLevelType w:val="multilevel"/>
    <w:tmpl w:val="8A7A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D4D08"/>
    <w:multiLevelType w:val="multilevel"/>
    <w:tmpl w:val="FEF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450D6"/>
    <w:multiLevelType w:val="multilevel"/>
    <w:tmpl w:val="EEB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1173F"/>
    <w:multiLevelType w:val="multilevel"/>
    <w:tmpl w:val="F886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CF7598"/>
    <w:multiLevelType w:val="multilevel"/>
    <w:tmpl w:val="518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33867">
    <w:abstractNumId w:val="8"/>
  </w:num>
  <w:num w:numId="2" w16cid:durableId="391386122">
    <w:abstractNumId w:val="6"/>
  </w:num>
  <w:num w:numId="3" w16cid:durableId="1906180347">
    <w:abstractNumId w:val="5"/>
  </w:num>
  <w:num w:numId="4" w16cid:durableId="36246926">
    <w:abstractNumId w:val="4"/>
  </w:num>
  <w:num w:numId="5" w16cid:durableId="75324460">
    <w:abstractNumId w:val="7"/>
  </w:num>
  <w:num w:numId="6" w16cid:durableId="1621303868">
    <w:abstractNumId w:val="3"/>
  </w:num>
  <w:num w:numId="7" w16cid:durableId="716048173">
    <w:abstractNumId w:val="2"/>
  </w:num>
  <w:num w:numId="8" w16cid:durableId="127210930">
    <w:abstractNumId w:val="1"/>
  </w:num>
  <w:num w:numId="9" w16cid:durableId="468281130">
    <w:abstractNumId w:val="0"/>
  </w:num>
  <w:num w:numId="10" w16cid:durableId="1885285630">
    <w:abstractNumId w:val="12"/>
  </w:num>
  <w:num w:numId="11" w16cid:durableId="859121456">
    <w:abstractNumId w:val="10"/>
  </w:num>
  <w:num w:numId="12" w16cid:durableId="1217397852">
    <w:abstractNumId w:val="9"/>
  </w:num>
  <w:num w:numId="13" w16cid:durableId="1272280621">
    <w:abstractNumId w:val="11"/>
  </w:num>
  <w:num w:numId="14" w16cid:durableId="2461573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C31"/>
    <w:rsid w:val="003D1FA8"/>
    <w:rsid w:val="00641CD8"/>
    <w:rsid w:val="00AA1D8D"/>
    <w:rsid w:val="00B47730"/>
    <w:rsid w:val="00CB0664"/>
    <w:rsid w:val="00E16065"/>
    <w:rsid w:val="00E50344"/>
    <w:rsid w:val="00F42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E084E"/>
  <w14:defaultImageDpi w14:val="300"/>
  <w15:docId w15:val="{E11CBC77-40C3-7A47-B621-376CE829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3D1FA8"/>
  </w:style>
  <w:style w:type="character" w:customStyle="1" w:styleId="citation-23">
    <w:name w:val="citation-23"/>
    <w:basedOn w:val="Fontepargpadro"/>
    <w:rsid w:val="00F42E49"/>
  </w:style>
  <w:style w:type="character" w:customStyle="1" w:styleId="citation-22">
    <w:name w:val="citation-22"/>
    <w:basedOn w:val="Fontepargpadro"/>
    <w:rsid w:val="00F42E49"/>
  </w:style>
  <w:style w:type="character" w:customStyle="1" w:styleId="citation-21">
    <w:name w:val="citation-21"/>
    <w:basedOn w:val="Fontepargpadro"/>
    <w:rsid w:val="00F42E49"/>
  </w:style>
  <w:style w:type="character" w:customStyle="1" w:styleId="citation-20">
    <w:name w:val="citation-20"/>
    <w:basedOn w:val="Fontepargpadro"/>
    <w:rsid w:val="00F42E49"/>
  </w:style>
  <w:style w:type="character" w:customStyle="1" w:styleId="citation-19">
    <w:name w:val="citation-19"/>
    <w:basedOn w:val="Fontepargpadro"/>
    <w:rsid w:val="00F42E49"/>
  </w:style>
  <w:style w:type="character" w:customStyle="1" w:styleId="citation-18">
    <w:name w:val="citation-18"/>
    <w:basedOn w:val="Fontepargpadro"/>
    <w:rsid w:val="00F42E49"/>
  </w:style>
  <w:style w:type="character" w:customStyle="1" w:styleId="citation-17">
    <w:name w:val="citation-17"/>
    <w:basedOn w:val="Fontepargpadro"/>
    <w:rsid w:val="00F42E49"/>
  </w:style>
  <w:style w:type="character" w:customStyle="1" w:styleId="citation-16">
    <w:name w:val="citation-16"/>
    <w:basedOn w:val="Fontepargpadro"/>
    <w:rsid w:val="00F42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3432</Words>
  <Characters>18535</Characters>
  <Application>Microsoft Office Word</Application>
  <DocSecurity>0</DocSecurity>
  <Lines>154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henrichs</cp:lastModifiedBy>
  <cp:revision>3</cp:revision>
  <dcterms:created xsi:type="dcterms:W3CDTF">2025-11-09T22:22:00Z</dcterms:created>
  <dcterms:modified xsi:type="dcterms:W3CDTF">2025-12-10T19:11:00Z</dcterms:modified>
  <cp:category/>
</cp:coreProperties>
</file>