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FBB1C" w14:textId="3B98CB65" w:rsidR="006E2DA6" w:rsidRDefault="006E2DA6" w:rsidP="006E2DA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CLASSIFICAÇÃO DE COMÉRCIO ELETRÔNICO/DIGITAL: BEM OU SERVIÇO?</w:t>
      </w:r>
    </w:p>
    <w:p w14:paraId="3297A874" w14:textId="7560CB76" w:rsidR="00302101" w:rsidRPr="006E2DA6" w:rsidRDefault="00302101" w:rsidP="006E2D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Por: Pedro </w:t>
      </w:r>
      <w:r w:rsidR="009D775D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Paulo Henrichs Neto </w:t>
      </w:r>
    </w:p>
    <w:p w14:paraId="7F9A2E42" w14:textId="77777777" w:rsidR="006E2DA6" w:rsidRPr="006E2DA6" w:rsidRDefault="006E2DA6" w:rsidP="006E2D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crescente digitalização da economia global trouxe à tona um dos debates mais complexos do direito internacional do comércio: a classificação jurídica das transações digitais. Seriam os produtos e serviços digitais bens ou serviços? Essa distinção, longe de ser apenas teórica, tem consequências práticas relevantes para tributação, regulação, compromissos internacionais e resolução de disputas. No entanto, a rigidez das classificações tradicionais vem sendo desafiada pelo avanço das tecnologias e pela fluidez das novas formas de comércio (OMC, 2022; UNCTAD, 2023; RAMOS, 2022).</w:t>
      </w:r>
    </w:p>
    <w:p w14:paraId="58ED9B60" w14:textId="77777777" w:rsidR="006E2DA6" w:rsidRPr="006E2DA6" w:rsidRDefault="006E2DA6" w:rsidP="006E2D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Definições e Evolução Conceitual</w:t>
      </w:r>
    </w:p>
    <w:p w14:paraId="2E6EA664" w14:textId="77777777" w:rsidR="006E2DA6" w:rsidRPr="006E2DA6" w:rsidRDefault="006E2DA6" w:rsidP="006E2D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Organização Mundial do Comércio (OMC) define </w:t>
      </w:r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comércio eletrônico</w:t>
      </w: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como a produção, distribuição, comercialização, venda ou entrega de bens e serviços por meios eletrônicos, principalmente através da internet. Inicialmente, o comércio eletrônico estava fortemente associado à venda de bens físicos adquiridos online e entregues por meios tradicionais. No entanto, com o surgimento de novas tecnologias, a digitalização de bens intangíveis e a expansão de serviços prestados remotamente, o conceito de </w:t>
      </w:r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comércio digital</w:t>
      </w: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passou a englobar um escopo muito mais amplo (OMC, 2022).</w:t>
      </w:r>
    </w:p>
    <w:p w14:paraId="65F20F1C" w14:textId="77777777" w:rsidR="006E2DA6" w:rsidRPr="006E2DA6" w:rsidRDefault="006E2DA6" w:rsidP="006E2D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termo </w:t>
      </w:r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comércio digital</w:t>
      </w: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refere-se não apenas à venda de produtos e serviços, mas também ao trânsito de dados, à transferência de software, à entrega de conteúdos audiovisuais, à computação em nuvem e a um número crescente de serviços digitais. De acordo com a UNCTAD (2023), o comércio digital representa um novo paradigma em que a separação clássica entre bens e serviços se torna cada vez mais tênue e, muitas vezes, inadequada para a realidade econômica atual.</w:t>
      </w:r>
    </w:p>
    <w:p w14:paraId="123A9BA3" w14:textId="77777777" w:rsidR="006E2DA6" w:rsidRPr="006E2DA6" w:rsidRDefault="006E2DA6" w:rsidP="006E2D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O Debate: Bem ou Serviço?</w:t>
      </w:r>
    </w:p>
    <w:p w14:paraId="6D71765B" w14:textId="77777777" w:rsidR="006E2DA6" w:rsidRPr="006E2DA6" w:rsidRDefault="006E2DA6" w:rsidP="006E2D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classificação de produtos e serviços digitais enfrenta sérios obstáculos. Tradicionalmente, produtos tangíveis, como livros ou CDs, são classificados como bens. Já conteúdos digitais, como livros eletrônicos, filmes por streaming ou software baixado, tendem a ser considerados serviços. Essa diferenciação é essencial porque os regimes jurídicos aplicáveis aos bens e aos serviços são diferentes, tanto na Organização Mundial do Comércio quanto em acordos bilaterais e regionais.</w:t>
      </w:r>
    </w:p>
    <w:p w14:paraId="34D67F77" w14:textId="77777777" w:rsidR="006E2DA6" w:rsidRPr="006E2DA6" w:rsidRDefault="006E2DA6" w:rsidP="006E2D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O GATS (General </w:t>
      </w:r>
      <w:proofErr w:type="spellStart"/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Agreement</w:t>
      </w:r>
      <w:proofErr w:type="spellEnd"/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</w:t>
      </w:r>
      <w:proofErr w:type="spellStart"/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on</w:t>
      </w:r>
      <w:proofErr w:type="spellEnd"/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Trade in Services), que regula o comércio de serviços na OMC, foi negociado em uma era </w:t>
      </w:r>
      <w:proofErr w:type="spellStart"/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pré</w:t>
      </w:r>
      <w:proofErr w:type="spellEnd"/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-internet e, por isso, não contempla adequadamente muitos dos serviços digitais atualmente comercializados. Assim, a classificação de produtos digitais como serviços tem sido uma solução prática, mas que carece de precisão conceitual (OMC, 2022).</w:t>
      </w:r>
    </w:p>
    <w:p w14:paraId="23E4BC31" w14:textId="77777777" w:rsidR="006E2DA6" w:rsidRPr="006E2DA6" w:rsidRDefault="006E2DA6" w:rsidP="006E2D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Alguns acordos recentes, como o </w:t>
      </w:r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Acordo Abrangente e Progressivo para a Parceria </w:t>
      </w:r>
      <w:proofErr w:type="spellStart"/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Transpacífica</w:t>
      </w:r>
      <w:proofErr w:type="spellEnd"/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(CPTPP)</w:t>
      </w: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buscam superar essa dicotomia, criando uma categoria própria para produtos digitais. Essa abordagem visa garantir tratamento não discriminatório a produtos e serviços digitais, independentemente do suporte físico ou da forma de entrega.</w:t>
      </w:r>
    </w:p>
    <w:p w14:paraId="191473FA" w14:textId="77777777" w:rsidR="006E2DA6" w:rsidRPr="006E2DA6" w:rsidRDefault="006E2DA6" w:rsidP="006E2D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Impactos Jurídicos, Econômicos e Regulatórios</w:t>
      </w:r>
    </w:p>
    <w:p w14:paraId="40B1FEEF" w14:textId="77777777" w:rsidR="006E2DA6" w:rsidRPr="006E2DA6" w:rsidRDefault="006E2DA6" w:rsidP="006E2D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forma como o comércio digital é classificado afeta profundamente diversas áreas do direito e da política econômica:</w:t>
      </w:r>
    </w:p>
    <w:p w14:paraId="078DEABF" w14:textId="77777777" w:rsidR="006E2DA6" w:rsidRPr="006E2DA6" w:rsidRDefault="006E2DA6" w:rsidP="006E2DA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Tributação e Tarifas:</w:t>
      </w: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Produtos classificados como bens podem ser submetidos a tarifas alfandegárias, enquanto serviços, em geral, não o são. Isso impacta diretamente a arrecadação fiscal, a política industrial e a competitividade de empresas locais (RAMOS, 2022). Além disso, o crescente volume de transações digitais levanta debates sobre a tributação da economia digital e a necessidade de novos modelos fiscais internacionais.</w:t>
      </w:r>
    </w:p>
    <w:p w14:paraId="6A7365A5" w14:textId="77777777" w:rsidR="006E2DA6" w:rsidRPr="006E2DA6" w:rsidRDefault="006E2DA6" w:rsidP="006E2DA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Compromissos Internacionais:</w:t>
      </w: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Os compromissos assumidos pelos países na OMC e em acordos bilaterais variam de acordo com a classificação. As regras aplicáveis a serviços são mais flexíveis e abertas a exceções para políticas públicas (como saúde, segurança e proteção ambiental), enquanto os bens estão sujeitos a regras mais rígidas de liberalização e controle tarifário (OMC, 2022).</w:t>
      </w:r>
    </w:p>
    <w:p w14:paraId="680F56FC" w14:textId="77777777" w:rsidR="006E2DA6" w:rsidRPr="006E2DA6" w:rsidRDefault="006E2DA6" w:rsidP="006E2DA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Propriedade Intelectual:</w:t>
      </w: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 A classificação influencia o regime de proteção aplicável. Um software em mídia física pode ser tratado como um bem, enquanto o mesmo software baixado online pode ser classificado como serviço ou obra intelectual. Isso afeta a proteção de direitos autorais, patentes e segredos comerciais, além de impactar o </w:t>
      </w:r>
      <w:proofErr w:type="spellStart"/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enforcement</w:t>
      </w:r>
      <w:proofErr w:type="spellEnd"/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 xml:space="preserve"> internacional desses direitos (RAMOS, 2022).</w:t>
      </w:r>
    </w:p>
    <w:p w14:paraId="2F88FEE7" w14:textId="77777777" w:rsidR="006E2DA6" w:rsidRPr="006E2DA6" w:rsidRDefault="006E2DA6" w:rsidP="006E2DA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Resolução de Disputas:</w:t>
      </w: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 natureza jurídica da transação define o foro e as normas aplicáveis em eventuais disputas comerciais. A incerteza sobre a correta classificação de produtos digitais pode gerar conflitos entre Estados e empresas, com impacto em investimentos e relações econômicas.</w:t>
      </w:r>
    </w:p>
    <w:p w14:paraId="35A7B956" w14:textId="77777777" w:rsidR="006E2DA6" w:rsidRPr="006E2DA6" w:rsidRDefault="006E2DA6" w:rsidP="006E2D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 Pressão do Comércio Digital e o Desafio do Fluxo de Dados</w:t>
      </w:r>
    </w:p>
    <w:p w14:paraId="7E7DF4C6" w14:textId="66DF9556" w:rsidR="006E2DA6" w:rsidRPr="006E2DA6" w:rsidRDefault="006E2DA6" w:rsidP="006E2D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comércio digital não apenas ampliou o volume de transações internacionais, mas também transformou qualitativamente a natureza do comércio. O fluxo transfronteiriço de dados elemento central na economia digital pressiona os sistemas jurídicos a repensarem conceitos rígidos de bem e serviço. Muitos produtos digitais, como videogames, filmes, serviços de computação em nuvem e aplicações baseadas em inteligência artificial, não se encaixam claramente em nenhuma das categorias tradicionais (UNCTAD, 2023).</w:t>
      </w:r>
    </w:p>
    <w:p w14:paraId="41245CA5" w14:textId="77777777" w:rsidR="006E2DA6" w:rsidRPr="006E2DA6" w:rsidRDefault="006E2DA6" w:rsidP="006E2D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Além disso, a </w:t>
      </w:r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manufatura digital e a prestação de serviços globalizados</w:t>
      </w: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acentuam o desafio. Por exemplo, impressoras 3D permitem que o design de um produto seja transmitido digitalmente e materializado fisicamente em outro país, desfazendo a clássica distinção entre bem e serviço. Da mesma forma, serviços financeiros, educacionais e de saúde podem ser prestados remotamente através de plataformas digitais, tornando a classificação ainda mais complexa (RAMOS, 2022).</w:t>
      </w:r>
    </w:p>
    <w:p w14:paraId="2B03046D" w14:textId="77777777" w:rsidR="006E2DA6" w:rsidRPr="006E2DA6" w:rsidRDefault="006E2DA6" w:rsidP="006E2D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Diante desse cenário, países e blocos econômicos têm buscado </w:t>
      </w:r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novos marcos regulatórios</w:t>
      </w: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para o comércio digital. Acordos comerciais modernos frequentemente incluem disposições sobre livre fluxo de dados, proibição de exigência de localização obrigatória de servidores, proteção de código-fonte e fortalecimento de direitos digitais. No entanto, ainda não há consenso sobre qual deve ser o modelo regulatório internacional predominante (OMC, 2022).</w:t>
      </w:r>
    </w:p>
    <w:p w14:paraId="2DCDA550" w14:textId="77777777" w:rsidR="006E2DA6" w:rsidRPr="006E2DA6" w:rsidRDefault="006E2DA6" w:rsidP="006E2D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Considerações Finais</w:t>
      </w:r>
    </w:p>
    <w:p w14:paraId="454BAE20" w14:textId="125F1C1E" w:rsidR="006E2DA6" w:rsidRPr="006E2DA6" w:rsidRDefault="006E2DA6" w:rsidP="006E2D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revolução digital colocou em xeque as tradicionais categorias jurídicas de bens e serviços. A classificação adequada das transações digitais é crucial não apenas para garantir a segurança jurídica e o bom funcionamento do comércio internacional, mas também para assegurar que políticas públicas legítimas como proteção de dados pessoais, segurança cibernética e direitos de propriedade intelectual sejam respeitadas e equilibradas com os objetivos de liberalização comercial.</w:t>
      </w:r>
    </w:p>
    <w:p w14:paraId="0363E715" w14:textId="77777777" w:rsidR="006E2DA6" w:rsidRPr="006E2DA6" w:rsidRDefault="006E2DA6" w:rsidP="006E2D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avanço tecnológico continuará desafiando as fronteiras conceituais do direito internacional do comércio. Diante desse cenário, é fundamental que os marcos jurídicos evoluam para garantir regras claras, flexíveis e capazes de acompanhar as transformações da economia digital. O Brasil, como participante ativo da economia global e signatário de diversos tratados internacionais, deve se engajar no debate e na construção dessas novas regras, buscando proteger seus interesses econômicos e garantir um ambiente digital seguro e inovador (RAMOS, 2022; UNCTAD, 2023).</w:t>
      </w:r>
    </w:p>
    <w:p w14:paraId="2AA4C1DC" w14:textId="5AB4B21C" w:rsidR="006E2DA6" w:rsidRPr="006E2DA6" w:rsidRDefault="006E2DA6" w:rsidP="006E2DA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DADD55D" w14:textId="77777777" w:rsidR="006E2DA6" w:rsidRPr="006E2DA6" w:rsidRDefault="006E2DA6" w:rsidP="006E2D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Referências</w:t>
      </w:r>
    </w:p>
    <w:p w14:paraId="60DF0C5A" w14:textId="77777777" w:rsidR="006E2DA6" w:rsidRPr="006E2DA6" w:rsidRDefault="006E2DA6" w:rsidP="006E2D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ORGANIZAÇÃO MUNDIAL DO COMÉRCIO (OMC). </w:t>
      </w:r>
      <w:r w:rsidRPr="006E2DA6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Programa de Trabalho sobre Comércio Eletrônico</w:t>
      </w: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2022. Disponível em: </w:t>
      </w:r>
      <w:hyperlink r:id="rId5" w:history="1">
        <w:r w:rsidRPr="006E2D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https://www.wto.org/</w:t>
        </w:r>
        <w:proofErr w:type="spellStart"/>
        <w:r w:rsidRPr="006E2D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portuguese</w:t>
        </w:r>
        <w:proofErr w:type="spellEnd"/>
        <w:r w:rsidRPr="006E2D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/</w:t>
        </w:r>
        <w:proofErr w:type="spellStart"/>
        <w:r w:rsidRPr="006E2D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tratop_s</w:t>
        </w:r>
        <w:proofErr w:type="spellEnd"/>
        <w:r w:rsidRPr="006E2D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/</w:t>
        </w:r>
        <w:proofErr w:type="spellStart"/>
        <w:r w:rsidRPr="006E2D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ecom_s</w:t>
        </w:r>
        <w:proofErr w:type="spellEnd"/>
        <w:r w:rsidRPr="006E2D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/ecom_s.htm</w:t>
        </w:r>
      </w:hyperlink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Acesso em: 09 jul. 2025.</w:t>
      </w:r>
    </w:p>
    <w:p w14:paraId="67E9C20B" w14:textId="77777777" w:rsidR="006E2DA6" w:rsidRPr="006E2DA6" w:rsidRDefault="006E2DA6" w:rsidP="006E2D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UNCTAD. </w:t>
      </w:r>
      <w:r w:rsidRPr="006E2DA6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Relatório sobre a Economia Digital 2023</w:t>
      </w: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Conferência das Nações Unidas sobre Comércio e Desenvolvimento. Disponível em: </w:t>
      </w:r>
      <w:hyperlink r:id="rId6" w:history="1">
        <w:r w:rsidRPr="006E2D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https://unctad.org/publication/digital-economy-report-2023</w:t>
        </w:r>
      </w:hyperlink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Acesso em: 09 jul. 2025.</w:t>
      </w:r>
    </w:p>
    <w:p w14:paraId="0DC608AD" w14:textId="77777777" w:rsidR="006E2DA6" w:rsidRPr="006E2DA6" w:rsidRDefault="006E2DA6" w:rsidP="006E2DA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RAMOS, A. C. </w:t>
      </w:r>
      <w:r w:rsidRPr="006E2DA6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Acordos de Investimento no Século XXI: Soberania e Proteção em Disputa</w:t>
      </w:r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Revista Brasileira de Política Internacional, v. 65, n. 2, 2022. Disponível em: </w:t>
      </w:r>
      <w:hyperlink r:id="rId7" w:history="1">
        <w:r w:rsidRPr="006E2DA6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https://doi.org/10.1590/0034-7329202200207</w:t>
        </w:r>
      </w:hyperlink>
      <w:r w:rsidRPr="006E2DA6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Acesso em: 09 jul. 2025.</w:t>
      </w:r>
    </w:p>
    <w:p w14:paraId="6855007D" w14:textId="2516F290" w:rsidR="006E2DA6" w:rsidRPr="006E2DA6" w:rsidRDefault="006E2DA6" w:rsidP="006E2DA6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4885578" w14:textId="77777777" w:rsidR="00FF3143" w:rsidRDefault="00FF3143"/>
    <w:sectPr w:rsidR="00FF3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344A"/>
    <w:multiLevelType w:val="multilevel"/>
    <w:tmpl w:val="6768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E1118A"/>
    <w:multiLevelType w:val="multilevel"/>
    <w:tmpl w:val="36F2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45A5A"/>
    <w:multiLevelType w:val="multilevel"/>
    <w:tmpl w:val="0E00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8372C"/>
    <w:multiLevelType w:val="multilevel"/>
    <w:tmpl w:val="9DB6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E622F8"/>
    <w:multiLevelType w:val="multilevel"/>
    <w:tmpl w:val="9950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D0B96"/>
    <w:multiLevelType w:val="multilevel"/>
    <w:tmpl w:val="4A00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084855">
    <w:abstractNumId w:val="0"/>
  </w:num>
  <w:num w:numId="2" w16cid:durableId="1257978782">
    <w:abstractNumId w:val="1"/>
  </w:num>
  <w:num w:numId="3" w16cid:durableId="246616726">
    <w:abstractNumId w:val="3"/>
  </w:num>
  <w:num w:numId="4" w16cid:durableId="230164249">
    <w:abstractNumId w:val="2"/>
  </w:num>
  <w:num w:numId="5" w16cid:durableId="1269461589">
    <w:abstractNumId w:val="5"/>
  </w:num>
  <w:num w:numId="6" w16cid:durableId="19588277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DA6"/>
    <w:rsid w:val="00302101"/>
    <w:rsid w:val="003102A3"/>
    <w:rsid w:val="006E2DA6"/>
    <w:rsid w:val="00963AE9"/>
    <w:rsid w:val="009D775D"/>
    <w:rsid w:val="00D856BC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123BB"/>
  <w15:chartTrackingRefBased/>
  <w15:docId w15:val="{EF60F39B-69F1-FA48-99F1-CBF978219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2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E2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E2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E2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2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2D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2D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D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2D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2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E2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E2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E2D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2D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2D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2D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D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2D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2D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2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2D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2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2D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2D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2D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2D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2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2D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2D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2D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6E2DA6"/>
  </w:style>
  <w:style w:type="character" w:styleId="Forte">
    <w:name w:val="Strong"/>
    <w:basedOn w:val="Fontepargpadro"/>
    <w:uiPriority w:val="22"/>
    <w:qFormat/>
    <w:rsid w:val="006E2DA6"/>
    <w:rPr>
      <w:b/>
      <w:bCs/>
    </w:rPr>
  </w:style>
  <w:style w:type="character" w:styleId="nfase">
    <w:name w:val="Emphasis"/>
    <w:basedOn w:val="Fontepargpadro"/>
    <w:uiPriority w:val="20"/>
    <w:qFormat/>
    <w:rsid w:val="006E2DA6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6E2D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590/0034-73292022002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nctad.org/publication/digital-economy-report-2023" TargetMode="External"/><Relationship Id="rId5" Type="http://schemas.openxmlformats.org/officeDocument/2006/relationships/hyperlink" Target="https://www.wto.org/portuguese/tratop_s/ecom_s/ecom_s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1255</Words>
  <Characters>6777</Characters>
  <Application>Microsoft Office Word</Application>
  <DocSecurity>0</DocSecurity>
  <Lines>56</Lines>
  <Paragraphs>16</Paragraphs>
  <ScaleCrop>false</ScaleCrop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3</cp:revision>
  <dcterms:created xsi:type="dcterms:W3CDTF">2025-07-09T19:51:00Z</dcterms:created>
  <dcterms:modified xsi:type="dcterms:W3CDTF">2025-07-10T00:48:00Z</dcterms:modified>
</cp:coreProperties>
</file>