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5F7E" w14:textId="22AF6FFC" w:rsid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Moratória sobre Direitos Aduaneiros em Transmissões Eletrônicas: Impactos e Estratégias para o Brasil</w:t>
      </w:r>
    </w:p>
    <w:p w14:paraId="32713455" w14:textId="6E4C681F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Por: Pedro Paulo Henrichs Neto</w:t>
      </w:r>
    </w:p>
    <w:p w14:paraId="3F45070F" w14:textId="52E2996E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moratória sobre a aplicação de direitos aduaneiros em transmissões eletrônicas, adotada pela Organização Mundial do Comércio (OMC) desde 1998, é hoje um dos temas mais controversos da economia digital global. Renovada a cada conferência ministerial, essa isenção divide países desenvolvidos e em desenvolvimento, num cenário em que o comércio eletrônico e a digitalização avançam a passos largos.</w:t>
      </w:r>
    </w:p>
    <w:p w14:paraId="562C9141" w14:textId="44F3FE21" w:rsidR="00B75855" w:rsidRPr="00B75855" w:rsidRDefault="00B75855" w:rsidP="00B7585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CD5D68" w14:textId="77777777" w:rsidR="00B75855" w:rsidRPr="00B75855" w:rsidRDefault="00B75855" w:rsidP="00B758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 Contexto e Relevância da Moratória</w:t>
      </w:r>
    </w:p>
    <w:p w14:paraId="0F851CC0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Originalmente concebida para evitar barreiras que pudessem inibir o nascente comércio eletrônico, a moratória proíbe a imposição de tarifas sobre transmissões digitais transfronteiriças, como downloads de softwares, streaming de filmes e músicas, jogos eletrônicos e serviços em nuvem.</w:t>
      </w:r>
    </w:p>
    <w:p w14:paraId="00ACAD8C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entanto, com a digitalização se tornando central para a economia mundial, essa política passou a ter efeitos que vão muito além da facilitação comercial. Ela influencia diretamente a capacidade dos Estados de arrecadar tributos, regular mercados digitais e proteger indústrias estratégicas, especialmente em países em desenvolvimento que ainda lutam para fortalecer sua presença digital e tecnológica.</w:t>
      </w:r>
    </w:p>
    <w:p w14:paraId="7B8A8562" w14:textId="30A20064" w:rsidR="00B75855" w:rsidRPr="00B75855" w:rsidRDefault="00B75855" w:rsidP="00B7585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C2C0348" w14:textId="77777777" w:rsidR="00B75855" w:rsidRPr="00B75855" w:rsidRDefault="00B75855" w:rsidP="00B758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 Divergências Globais: Argumentos a Favor e Contra</w:t>
      </w:r>
    </w:p>
    <w:p w14:paraId="0F8697C8" w14:textId="77777777" w:rsidR="00B75855" w:rsidRPr="00B75855" w:rsidRDefault="00B75855" w:rsidP="00B758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2.1. Defensores da Moratória</w:t>
      </w:r>
    </w:p>
    <w:p w14:paraId="39799718" w14:textId="10A0E150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Países desenvolvidos e grandes corporações digitais como Estados Unidos, União Europeia, Google, </w:t>
      </w:r>
      <w:proofErr w:type="spellStart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Amazon</w:t>
      </w:r>
      <w:proofErr w:type="spellEnd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 Microsoft defendem a continuidade da moratória com os seguintes argumentos:</w:t>
      </w:r>
    </w:p>
    <w:p w14:paraId="08A6397B" w14:textId="77777777" w:rsidR="00B75855" w:rsidRPr="00B75855" w:rsidRDefault="00B75855" w:rsidP="00B758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Facilitação do comércio digital global: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Tarifas sobre transmissões eletrônicas poderiam fragmentar o mercado digital, elevar custos para consumidores e pequenas e médias empresas (</w:t>
      </w:r>
      <w:proofErr w:type="spellStart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PMEs</w:t>
      </w:r>
      <w:proofErr w:type="spellEnd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 e dificultar o acesso a tecnologias essenciais.</w:t>
      </w:r>
    </w:p>
    <w:p w14:paraId="6BF7DB47" w14:textId="77777777" w:rsidR="00B75855" w:rsidRPr="00B75855" w:rsidRDefault="00B75855" w:rsidP="00B758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Fomento à inovação e à competitividade: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ausência de barreiras tarifárias incentivaria investimentos em pesquisa, desenvolvimento e na economia digital.</w:t>
      </w:r>
    </w:p>
    <w:p w14:paraId="1EA42A75" w14:textId="77777777" w:rsidR="00B75855" w:rsidRPr="00B75855" w:rsidRDefault="00B75855" w:rsidP="00B758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Integração de cadeias produtivas globais: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Muitos setores dependem de plataformas digitais e softwares internacionais. A tributação desses fluxos poderia encarecer insumos essenciais.</w:t>
      </w:r>
    </w:p>
    <w:p w14:paraId="1AFD8121" w14:textId="77777777" w:rsidR="00B75855" w:rsidRPr="00B75855" w:rsidRDefault="00B75855" w:rsidP="00B758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Dificuldades técnicas: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natureza imaterial das transmissões digitais dificulta a definição clara do que seria objeto de tributação e como sua cobrança poderia ser implementada.</w:t>
      </w:r>
    </w:p>
    <w:p w14:paraId="0A4F926D" w14:textId="77777777" w:rsidR="00B75855" w:rsidRPr="00B75855" w:rsidRDefault="00B75855" w:rsidP="00B758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2.2. Críticos da Moratória</w:t>
      </w:r>
    </w:p>
    <w:p w14:paraId="29B1255C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Vários países em desenvolvimento, incluindo o Brasil, Índia e África do Sul, além de especialistas em política econômica, apontam riscos e desvantagens significativas:</w:t>
      </w:r>
    </w:p>
    <w:p w14:paraId="0BF2F206" w14:textId="77777777" w:rsidR="00B75855" w:rsidRPr="00B75855" w:rsidRDefault="00B75855" w:rsidP="00B758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Perdas fiscais crescentes: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Estima-se que o Brasil deixou de arrecadar cerca de US$ 17 milhões em 2015 devido à isenção sobre transmissões digitais (BANGA, 2019). Com o crescimento exponencial do setor, essas perdas tendem a se agravar.</w:t>
      </w:r>
    </w:p>
    <w:p w14:paraId="023B7B1E" w14:textId="77777777" w:rsidR="00B75855" w:rsidRPr="00B75855" w:rsidRDefault="00B75855" w:rsidP="00B758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Ampliação de assimetrias globais: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Países exportadores de produtos digitais (principalmente EUA e China) são beneficiados pela moratória, enquanto economias como a brasileira permanecem consumidoras líquidas de conteúdos e serviços digitais, aprofundando sua dependência tecnológica.</w:t>
      </w:r>
    </w:p>
    <w:p w14:paraId="3EEEE472" w14:textId="77777777" w:rsidR="00B75855" w:rsidRPr="00B75855" w:rsidRDefault="00B75855" w:rsidP="00B758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Restrições à política industrial e à soberania regulatória: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moratória limita a capacidade de adotar políticas que protejam setores estratégicos, como o audiovisual, o software nacional ou o armazenamento de dados sensíveis.</w:t>
      </w:r>
    </w:p>
    <w:p w14:paraId="6DBECC3F" w14:textId="51F5DA96" w:rsidR="00B75855" w:rsidRPr="00B75855" w:rsidRDefault="00B75855" w:rsidP="00B7585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BAE6DC5" w14:textId="77777777" w:rsidR="00B75855" w:rsidRPr="00B75855" w:rsidRDefault="00B75855" w:rsidP="00B758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 Alternativas Regulatórias e Cenários para o Brasil</w:t>
      </w:r>
    </w:p>
    <w:p w14:paraId="7DB5F328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Nas discussões multilaterais, emergem quatro alternativas principais em relação à moratória:</w:t>
      </w:r>
    </w:p>
    <w:p w14:paraId="483E4881" w14:textId="77777777" w:rsidR="00B75855" w:rsidRPr="00B75855" w:rsidRDefault="00B75855" w:rsidP="00B758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Manutenção Permanente: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Proposta por Estados Unidos e União Europeia, defende a transformação da moratória em norma permanente da OMC.</w:t>
      </w:r>
    </w:p>
    <w:p w14:paraId="18706A30" w14:textId="77777777" w:rsidR="00B75855" w:rsidRPr="00B75855" w:rsidRDefault="00B75855" w:rsidP="00B758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Renovação Temporária com Revisões Periódicas: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Modelo atual, que permite reavaliações periódicas com base em dados econômicos e tecnológicos.</w:t>
      </w:r>
    </w:p>
    <w:p w14:paraId="2BA66770" w14:textId="77777777" w:rsidR="00B75855" w:rsidRPr="00B75855" w:rsidRDefault="00B75855" w:rsidP="00B758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Flexibilização para Países em Desenvolvimento: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Propõe que países do Sul Global possam adotar tarifas em setores estratégicos ou sensíveis.</w:t>
      </w:r>
    </w:p>
    <w:p w14:paraId="29DB0FC7" w14:textId="45BE0CD7" w:rsidR="00B75855" w:rsidRPr="00B75855" w:rsidRDefault="00B75855" w:rsidP="00B758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Exceções para Produtos e Serviços Específicos: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Permite que certas categorias como conteúdos culturais, jogos digitais ou softwares industriais sejam objeto de tarifas ou medidas compensatórias.</w:t>
      </w:r>
    </w:p>
    <w:p w14:paraId="53F901D6" w14:textId="77777777" w:rsidR="00B75855" w:rsidRPr="00B75855" w:rsidRDefault="00B75855" w:rsidP="00B758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3.1. Proposta Estratégica para o Brasil</w:t>
      </w:r>
    </w:p>
    <w:p w14:paraId="12C83F98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o Brasil, um posicionamento pragmático e estratégico passa pela defesa da </w:t>
      </w: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renovação temporária com cláusula de revisão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somada à busca por </w:t>
      </w: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flexibilização condicional para países em desenvolvimento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Esta abordagem permitiria ao país:</w:t>
      </w:r>
    </w:p>
    <w:p w14:paraId="273C5D52" w14:textId="77777777" w:rsidR="00B75855" w:rsidRPr="00B75855" w:rsidRDefault="00B75855" w:rsidP="00B758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Preservar o acesso a mercados digitais globais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assegurando participação no comércio internacional sem rupturas abruptas.</w:t>
      </w:r>
    </w:p>
    <w:p w14:paraId="51D4E7FB" w14:textId="77777777" w:rsidR="00B75855" w:rsidRPr="00B75855" w:rsidRDefault="00B75855" w:rsidP="00B758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Manter margem para adotar políticas industriais ou fiscais específicas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protegendo setores como o de tecnologia nacional, cultura digital e dados sensíveis.</w:t>
      </w:r>
    </w:p>
    <w:p w14:paraId="6FD4762D" w14:textId="77777777" w:rsidR="00B75855" w:rsidRPr="00B75855" w:rsidRDefault="00B75855" w:rsidP="00B758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Avaliar periodicamente os impactos econômicos e fiscais da moratória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ajustando sua posição conforme o cenário global evolua.</w:t>
      </w:r>
    </w:p>
    <w:p w14:paraId="44C68F10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 estratégia fortalece a capacidade do Brasil de combinar desenvolvimento tecnológico com preservação de sua autonomia regulatória e fiscal.</w:t>
      </w:r>
    </w:p>
    <w:p w14:paraId="106B3640" w14:textId="2C7BC649" w:rsidR="00B75855" w:rsidRPr="00B75855" w:rsidRDefault="00B75855" w:rsidP="00B7585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C0CFC21" w14:textId="77777777" w:rsidR="00B75855" w:rsidRPr="00B75855" w:rsidRDefault="00B75855" w:rsidP="00B758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4. Conclusão</w:t>
      </w:r>
    </w:p>
    <w:p w14:paraId="193177C0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moratória da OMC sobre direitos aduaneiros em transmissões eletrônicas evidencia o dilema central do século XXI: equilibrar a inserção em cadeias globais de valor com a preservação da soberania nacional e das capacidades regulatórias.</w:t>
      </w:r>
    </w:p>
    <w:p w14:paraId="19CBBAAC" w14:textId="576E83AB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o Brasil, a defesa de uma </w:t>
      </w:r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moratória temporária e flexível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representa uma posição equilibrada que evita tanto o isolamento digital quanto a submissão irrestrita a interesses estrangeiros. Trata-se de garantir que a transformação digital se traduza em crescimento econômico, inclusão social e fortalecimento da autonomia nacional e não apenas na ampliação das assimetrias e da dependência externa.</w:t>
      </w:r>
    </w:p>
    <w:p w14:paraId="37C51B9F" w14:textId="2EDED99D" w:rsidR="00B75855" w:rsidRPr="00B75855" w:rsidRDefault="00B75855" w:rsidP="00B7585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FC17303" w14:textId="77777777" w:rsidR="00B75855" w:rsidRPr="00B75855" w:rsidRDefault="00B75855" w:rsidP="00B758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pt-BR"/>
          <w14:ligatures w14:val="none"/>
        </w:rPr>
      </w:pPr>
      <w:proofErr w:type="spellStart"/>
      <w:r w:rsidRPr="00B7585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pt-BR"/>
          <w14:ligatures w14:val="none"/>
        </w:rPr>
        <w:t>Referências</w:t>
      </w:r>
      <w:proofErr w:type="spellEnd"/>
    </w:p>
    <w:p w14:paraId="5B66022B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BANGA, Rashmi. </w:t>
      </w:r>
      <w:r w:rsidRPr="00B7585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>Growing trade in electronic transmissions: Implications for the South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. 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UNCTAD </w:t>
      </w:r>
      <w:proofErr w:type="spellStart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Research</w:t>
      </w:r>
      <w:proofErr w:type="spellEnd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Paper</w:t>
      </w:r>
      <w:proofErr w:type="spellEnd"/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No. 29, 2019. Disponível em: </w:t>
      </w:r>
      <w:hyperlink r:id="rId5" w:history="1"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https://unctad.org/webflyer/growing-trade-electronic-transmissions-implications-south</w:t>
        </w:r>
      </w:hyperlink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736E21C8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MELLO, Daniel; FERRAZ, Lucas. </w:t>
      </w:r>
      <w:r w:rsidRPr="00B7585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Moratória da OMC e Economia Digital: Implicações para o Brasil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OPEB/FGV, 2021. Disponível em: </w:t>
      </w:r>
      <w:hyperlink r:id="rId6" w:history="1"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https://bibliotecadigital.fgv.br/</w:t>
        </w:r>
        <w:proofErr w:type="spellStart"/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dspace</w:t>
        </w:r>
        <w:proofErr w:type="spellEnd"/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/</w:t>
        </w:r>
        <w:proofErr w:type="spellStart"/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handle</w:t>
        </w:r>
        <w:proofErr w:type="spellEnd"/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/10438/31710</w:t>
        </w:r>
      </w:hyperlink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6312E0A7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SOUZA, Rafael Leal. </w:t>
      </w:r>
      <w:r w:rsidRPr="00B7585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Economia Digital e Tributação Internacional: Análise da Moratória da OMC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Revista de Direito Internacional, 2020. Disponível em: </w:t>
      </w:r>
      <w:hyperlink r:id="rId7" w:history="1"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https://www.publicacoesacademicas.uniceub.br/rdi/article/view/6108</w:t>
        </w:r>
      </w:hyperlink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66414F31" w14:textId="77777777" w:rsidR="00B75855" w:rsidRPr="00B75855" w:rsidRDefault="00B75855" w:rsidP="00B758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FONSECA, André. </w:t>
      </w:r>
      <w:r w:rsidRPr="00B7585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Tributação e Soberania na Era Digital</w:t>
      </w:r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Revista de Direito Tributário Atual, 2021. Disponível em: </w:t>
      </w:r>
      <w:hyperlink r:id="rId8" w:history="1">
        <w:r w:rsidRPr="00B7585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https://direitotributarioatual.com.br/artigos/tributacao-e-soberania-na-era-digital/</w:t>
        </w:r>
      </w:hyperlink>
      <w:r w:rsidRPr="00B7585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37B5B7F6" w14:textId="77777777" w:rsidR="00FF3143" w:rsidRDefault="00FF3143"/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1F9"/>
    <w:multiLevelType w:val="multilevel"/>
    <w:tmpl w:val="AA46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71D97"/>
    <w:multiLevelType w:val="multilevel"/>
    <w:tmpl w:val="BC4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42A9C"/>
    <w:multiLevelType w:val="multilevel"/>
    <w:tmpl w:val="E1B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20F0A"/>
    <w:multiLevelType w:val="multilevel"/>
    <w:tmpl w:val="6C4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818124">
    <w:abstractNumId w:val="3"/>
  </w:num>
  <w:num w:numId="2" w16cid:durableId="706415429">
    <w:abstractNumId w:val="2"/>
  </w:num>
  <w:num w:numId="3" w16cid:durableId="1881437355">
    <w:abstractNumId w:val="0"/>
  </w:num>
  <w:num w:numId="4" w16cid:durableId="113679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55"/>
    <w:rsid w:val="003102A3"/>
    <w:rsid w:val="00963AE9"/>
    <w:rsid w:val="00B75855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58CBE"/>
  <w15:chartTrackingRefBased/>
  <w15:docId w15:val="{12839409-872D-D445-8481-F353F1C1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7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8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8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8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8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8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8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8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8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8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8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75855"/>
    <w:rPr>
      <w:b/>
      <w:bCs/>
    </w:rPr>
  </w:style>
  <w:style w:type="character" w:customStyle="1" w:styleId="apple-converted-space">
    <w:name w:val="apple-converted-space"/>
    <w:basedOn w:val="Fontepargpadro"/>
    <w:rsid w:val="00B75855"/>
  </w:style>
  <w:style w:type="character" w:styleId="nfase">
    <w:name w:val="Emphasis"/>
    <w:basedOn w:val="Fontepargpadro"/>
    <w:uiPriority w:val="20"/>
    <w:qFormat/>
    <w:rsid w:val="00B7585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B758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2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eitotributarioatual.com.br/artigos/tributacao-e-soberania-na-era-digit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ublicacoesacademicas.uniceub.br/rdi/article/view/61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bliotecadigital.fgv.br/dspace/handle/10438/31710" TargetMode="External"/><Relationship Id="rId5" Type="http://schemas.openxmlformats.org/officeDocument/2006/relationships/hyperlink" Target="https://unctad.org/webflyer/growing-trade-electronic-transmissions-implications-sou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1038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2025-07-10T01:29:00Z</dcterms:created>
  <dcterms:modified xsi:type="dcterms:W3CDTF">2025-07-10T01:35:00Z</dcterms:modified>
</cp:coreProperties>
</file>