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DA575" w14:textId="77777777" w:rsidR="00EA22F9" w:rsidRDefault="00EA22F9" w:rsidP="00EA22F9">
      <w:pPr>
        <w:pStyle w:val="NormalWeb"/>
        <w:rPr>
          <w:rStyle w:val="Forte"/>
          <w:rFonts w:eastAsiaTheme="majorEastAsia"/>
          <w:color w:val="000000"/>
        </w:rPr>
      </w:pPr>
      <w:r>
        <w:rPr>
          <w:rStyle w:val="Forte"/>
          <w:rFonts w:eastAsiaTheme="majorEastAsia"/>
          <w:color w:val="000000"/>
        </w:rPr>
        <w:t>O Regime Internacional dos Investimentos: Análise Comparativa e Propostas de Reforma</w:t>
      </w:r>
    </w:p>
    <w:p w14:paraId="1892C754" w14:textId="77777777" w:rsidR="00EA22F9" w:rsidRPr="00EA22F9" w:rsidRDefault="00EA22F9" w:rsidP="00EA22F9">
      <w:pPr>
        <w:pStyle w:val="p1"/>
        <w:rPr>
          <w:sz w:val="24"/>
          <w:szCs w:val="24"/>
        </w:rPr>
      </w:pPr>
      <w:r w:rsidRPr="00EA22F9">
        <w:rPr>
          <w:b/>
          <w:bCs/>
          <w:sz w:val="24"/>
          <w:szCs w:val="24"/>
        </w:rPr>
        <w:t>Autor: Pedro Paulo Henrichs Neto</w:t>
      </w:r>
    </w:p>
    <w:p w14:paraId="51F59F55" w14:textId="77777777" w:rsidR="00EA22F9" w:rsidRPr="00EA22F9" w:rsidRDefault="00EA22F9" w:rsidP="00EA22F9">
      <w:pPr>
        <w:pStyle w:val="p1"/>
        <w:rPr>
          <w:sz w:val="24"/>
          <w:szCs w:val="24"/>
        </w:rPr>
      </w:pPr>
      <w:r w:rsidRPr="00EA22F9">
        <w:rPr>
          <w:b/>
          <w:bCs/>
          <w:sz w:val="24"/>
          <w:szCs w:val="24"/>
        </w:rPr>
        <w:t>Instituição: IDP</w:t>
      </w:r>
    </w:p>
    <w:p w14:paraId="56EE5419" w14:textId="77777777" w:rsidR="00EA22F9" w:rsidRPr="00EA22F9" w:rsidRDefault="00EA22F9" w:rsidP="00EA22F9">
      <w:pPr>
        <w:pStyle w:val="p1"/>
        <w:rPr>
          <w:sz w:val="24"/>
          <w:szCs w:val="24"/>
        </w:rPr>
      </w:pPr>
      <w:r w:rsidRPr="00EA22F9">
        <w:rPr>
          <w:b/>
          <w:bCs/>
          <w:sz w:val="24"/>
          <w:szCs w:val="24"/>
        </w:rPr>
        <w:t>Curso: Mestrado em Relações Internacionais</w:t>
      </w:r>
    </w:p>
    <w:p w14:paraId="101D2338" w14:textId="77777777" w:rsidR="00EA22F9" w:rsidRPr="00EA22F9" w:rsidRDefault="00EA22F9" w:rsidP="00EA22F9">
      <w:pPr>
        <w:pStyle w:val="p1"/>
        <w:rPr>
          <w:sz w:val="24"/>
          <w:szCs w:val="24"/>
        </w:rPr>
      </w:pPr>
      <w:r w:rsidRPr="00EA22F9">
        <w:rPr>
          <w:b/>
          <w:bCs/>
          <w:sz w:val="24"/>
          <w:szCs w:val="24"/>
        </w:rPr>
        <w:t>Disciplina: Negociações Internacionais: Tópicos Avançados - Serviços,</w:t>
      </w:r>
    </w:p>
    <w:p w14:paraId="48DCD08B" w14:textId="77777777" w:rsidR="00EA22F9" w:rsidRPr="00EA22F9" w:rsidRDefault="00EA22F9" w:rsidP="00EA22F9">
      <w:pPr>
        <w:pStyle w:val="p1"/>
        <w:rPr>
          <w:sz w:val="24"/>
          <w:szCs w:val="24"/>
        </w:rPr>
      </w:pPr>
      <w:r w:rsidRPr="00EA22F9">
        <w:rPr>
          <w:b/>
          <w:bCs/>
          <w:sz w:val="24"/>
          <w:szCs w:val="24"/>
        </w:rPr>
        <w:t>Investimentos, Compras Públicas e Comércio Digital</w:t>
      </w:r>
    </w:p>
    <w:p w14:paraId="5A393CFC" w14:textId="77777777" w:rsidR="00EA22F9" w:rsidRPr="00EA22F9" w:rsidRDefault="00EA22F9" w:rsidP="00EA22F9">
      <w:pPr>
        <w:pStyle w:val="p1"/>
        <w:rPr>
          <w:sz w:val="24"/>
          <w:szCs w:val="24"/>
        </w:rPr>
      </w:pPr>
      <w:r w:rsidRPr="00EA22F9">
        <w:rPr>
          <w:b/>
          <w:bCs/>
          <w:sz w:val="24"/>
          <w:szCs w:val="24"/>
        </w:rPr>
        <w:t xml:space="preserve">Professor: Henrique Martins </w:t>
      </w:r>
      <w:proofErr w:type="spellStart"/>
      <w:r w:rsidRPr="00EA22F9">
        <w:rPr>
          <w:b/>
          <w:bCs/>
          <w:sz w:val="24"/>
          <w:szCs w:val="24"/>
        </w:rPr>
        <w:t>Sachetim</w:t>
      </w:r>
      <w:proofErr w:type="spellEnd"/>
    </w:p>
    <w:p w14:paraId="4C713239" w14:textId="77777777" w:rsidR="00EA22F9" w:rsidRDefault="00EA22F9" w:rsidP="00EA22F9">
      <w:pPr>
        <w:pStyle w:val="NormalWeb"/>
        <w:rPr>
          <w:color w:val="000000"/>
        </w:rPr>
      </w:pPr>
      <w:r>
        <w:rPr>
          <w:rStyle w:val="Forte"/>
          <w:rFonts w:eastAsiaTheme="majorEastAsia"/>
          <w:color w:val="000000"/>
        </w:rPr>
        <w:t>1. Introdução</w:t>
      </w:r>
    </w:p>
    <w:p w14:paraId="2DA0A1CE" w14:textId="77777777" w:rsidR="00EA22F9" w:rsidRDefault="00EA22F9" w:rsidP="00EA22F9">
      <w:pPr>
        <w:pStyle w:val="NormalWeb"/>
        <w:rPr>
          <w:color w:val="000000"/>
        </w:rPr>
      </w:pPr>
      <w:r>
        <w:rPr>
          <w:color w:val="000000"/>
        </w:rPr>
        <w:t>O regime internacional de investimentos configura-se como um dos pilares do sistema econômico global, moldando fluxos de capitais e influenciando profundamente a autonomia regulatória dos Estados soberanos. As tensões entre a proteção conferida aos investidores e a necessidade de preservar espaços para políticas públicas têm gerado um amplo debate sobre a adequação e a legitimidade dos atuais instrumentos jurídicos internacionais. Este artigo propõe uma análise comparativa dos modelos adotados pelo Brasil, Estados Unidos, União Europeia e Organização Mundial do Comércio (OMC), ressaltando seus impactos econômicos, políticos e sociais, bem como propondo diretrizes para uma eventual reforma do sistema internacional de investimentos.</w:t>
      </w:r>
    </w:p>
    <w:p w14:paraId="066C214C" w14:textId="77777777" w:rsidR="00EA22F9" w:rsidRDefault="00EA22F9" w:rsidP="00EA22F9">
      <w:pPr>
        <w:pStyle w:val="NormalWeb"/>
        <w:rPr>
          <w:color w:val="000000"/>
        </w:rPr>
      </w:pPr>
      <w:r>
        <w:rPr>
          <w:color w:val="000000"/>
        </w:rPr>
        <w:t>Adotando uma abordagem metodológica que combina revisão bibliográfica com análise comparativa, fundamentada em fontes primárias e secundárias como OMC, UNCTAD e OCDE, o presente estudo tem como base teórica o trabalho de Ramos (2022), que examina os dilemas enfrentados por países em desenvolvimento diante da necessidade de equilibrar soberania e proteção ao investimento estrangeiro. A tese central defendida é que um modelo híbrido, que incorpore flexibilidades regulatórias, mecanismos de transparência e solução de controvérsias aprimorada, é o mais compatível com as demandas contemporâneas, especialmente em um cenário geopolítico instável e de crescente contestação da globalização econômica.</w:t>
      </w:r>
    </w:p>
    <w:p w14:paraId="7D4622B1" w14:textId="77777777" w:rsidR="00EA22F9" w:rsidRDefault="00EA22F9" w:rsidP="00EA22F9">
      <w:pPr>
        <w:pStyle w:val="NormalWeb"/>
        <w:rPr>
          <w:color w:val="000000"/>
        </w:rPr>
      </w:pPr>
      <w:r>
        <w:rPr>
          <w:rStyle w:val="Forte"/>
          <w:rFonts w:eastAsiaTheme="majorEastAsia"/>
          <w:color w:val="000000"/>
        </w:rPr>
        <w:t>2. Análise Crítica dos Modelos de Acordos</w:t>
      </w:r>
    </w:p>
    <w:p w14:paraId="06ADE873" w14:textId="01D41BEF" w:rsidR="00EA22F9" w:rsidRDefault="00EA22F9" w:rsidP="00EA22F9">
      <w:pPr>
        <w:pStyle w:val="NormalWeb"/>
        <w:rPr>
          <w:color w:val="000000"/>
        </w:rPr>
      </w:pPr>
      <w:r>
        <w:rPr>
          <w:rStyle w:val="Forte"/>
          <w:rFonts w:eastAsiaTheme="majorEastAsia"/>
          <w:color w:val="000000"/>
        </w:rPr>
        <w:t>2.1 Os Acordos de Cooperação e Facilitação de Investimentos (</w:t>
      </w:r>
      <w:proofErr w:type="spellStart"/>
      <w:r>
        <w:rPr>
          <w:rStyle w:val="Forte"/>
          <w:rFonts w:eastAsiaTheme="majorEastAsia"/>
          <w:color w:val="000000"/>
        </w:rPr>
        <w:t>ACFIs</w:t>
      </w:r>
      <w:proofErr w:type="spellEnd"/>
      <w:r>
        <w:rPr>
          <w:rStyle w:val="Forte"/>
          <w:rFonts w:eastAsiaTheme="majorEastAsia"/>
          <w:color w:val="000000"/>
        </w:rPr>
        <w:t>)</w:t>
      </w:r>
    </w:p>
    <w:p w14:paraId="58BB38E6" w14:textId="77777777" w:rsidR="00EA22F9" w:rsidRDefault="00EA22F9" w:rsidP="00EA22F9">
      <w:pPr>
        <w:pStyle w:val="NormalWeb"/>
        <w:rPr>
          <w:color w:val="000000"/>
        </w:rPr>
      </w:pPr>
      <w:r>
        <w:rPr>
          <w:color w:val="000000"/>
        </w:rPr>
        <w:t>O Brasil segue uma rota distinta no campo dos acordos internacionais de investimento. Em vez de adotar os tradicionais Tratados Bilaterais de Investimento (</w:t>
      </w:r>
      <w:proofErr w:type="spellStart"/>
      <w:r>
        <w:rPr>
          <w:color w:val="000000"/>
        </w:rPr>
        <w:t>TBIs</w:t>
      </w:r>
      <w:proofErr w:type="spellEnd"/>
      <w:r>
        <w:rPr>
          <w:color w:val="000000"/>
        </w:rPr>
        <w:t>), o país desenvolveu, a partir de 2015, os Acordos de Cooperação e Facilitação de Investimentos (</w:t>
      </w:r>
      <w:proofErr w:type="spellStart"/>
      <w:r>
        <w:rPr>
          <w:color w:val="000000"/>
        </w:rPr>
        <w:t>ACFIs</w:t>
      </w:r>
      <w:proofErr w:type="spellEnd"/>
      <w:r>
        <w:rPr>
          <w:color w:val="000000"/>
        </w:rPr>
        <w:t>), que eliminam a cláusula de arbitragem investidor-Estado (ISDS) e priorizam a solução amigável de controvérsias e a cooperação institucional.</w:t>
      </w:r>
    </w:p>
    <w:p w14:paraId="2182C771" w14:textId="77777777" w:rsidR="00EA22F9" w:rsidRDefault="00EA22F9" w:rsidP="00EA22F9">
      <w:pPr>
        <w:pStyle w:val="NormalWeb"/>
        <w:rPr>
          <w:color w:val="000000"/>
        </w:rPr>
      </w:pPr>
      <w:r>
        <w:rPr>
          <w:color w:val="000000"/>
        </w:rPr>
        <w:t xml:space="preserve">Entre as principais vantagens dos </w:t>
      </w:r>
      <w:proofErr w:type="spellStart"/>
      <w:r>
        <w:rPr>
          <w:color w:val="000000"/>
        </w:rPr>
        <w:t>ACFIs</w:t>
      </w:r>
      <w:proofErr w:type="spellEnd"/>
      <w:r>
        <w:rPr>
          <w:color w:val="000000"/>
        </w:rPr>
        <w:t xml:space="preserve"> está a preservação das políticas públicas, como a manutenção do Sistema Único de Saúde (SUS), a proteção ambiental e o fomento à inovação tecnológica. Os </w:t>
      </w:r>
      <w:proofErr w:type="spellStart"/>
      <w:r>
        <w:rPr>
          <w:color w:val="000000"/>
        </w:rPr>
        <w:t>ACFIs</w:t>
      </w:r>
      <w:proofErr w:type="spellEnd"/>
      <w:r>
        <w:rPr>
          <w:color w:val="000000"/>
        </w:rPr>
        <w:t xml:space="preserve"> evitam também os elevados custos e riscos das arbitragens internacionais, conferindo maior autonomia ao Estado para definir suas prioridades políticas e econômicas sem o temor de ser alvo de processos onerosos em tribunais arbitrais privados.</w:t>
      </w:r>
    </w:p>
    <w:p w14:paraId="312A0581" w14:textId="77777777" w:rsidR="00EA22F9" w:rsidRDefault="00EA22F9" w:rsidP="00EA22F9">
      <w:pPr>
        <w:pStyle w:val="NormalWeb"/>
        <w:rPr>
          <w:color w:val="000000"/>
        </w:rPr>
      </w:pPr>
      <w:r>
        <w:rPr>
          <w:color w:val="000000"/>
        </w:rPr>
        <w:lastRenderedPageBreak/>
        <w:t>Contudo, as críticas a esse modelo apontam para sua limitada capacidade de atrair investimentos externos, dada a ausência de garantias robustas contra expropriação e de soluções vinculantes para disputas, elementos considerados essenciais por investidores internacionais (GONÇALVES, 2021). A falta de jurisprudência consolidada e o caráter relativamente novo desses acordos também geram incertezas entre investidores.</w:t>
      </w:r>
    </w:p>
    <w:p w14:paraId="3421FC55" w14:textId="691265B1" w:rsidR="00EA22F9" w:rsidRDefault="00EA22F9" w:rsidP="00EA22F9">
      <w:pPr>
        <w:pStyle w:val="NormalWeb"/>
        <w:rPr>
          <w:color w:val="000000"/>
        </w:rPr>
      </w:pPr>
      <w:r>
        <w:rPr>
          <w:rStyle w:val="Forte"/>
          <w:rFonts w:eastAsiaTheme="majorEastAsia"/>
          <w:color w:val="000000"/>
        </w:rPr>
        <w:t>2.2 Proteção Ampliada e ISDS no âmbito do USMCA</w:t>
      </w:r>
    </w:p>
    <w:p w14:paraId="16DA13E3" w14:textId="77777777" w:rsidR="00EA22F9" w:rsidRDefault="00EA22F9" w:rsidP="00EA22F9">
      <w:pPr>
        <w:pStyle w:val="NormalWeb"/>
        <w:rPr>
          <w:color w:val="000000"/>
        </w:rPr>
      </w:pPr>
      <w:r>
        <w:rPr>
          <w:color w:val="000000"/>
        </w:rPr>
        <w:t xml:space="preserve">Os Estados Unidos historicamente adotaram tratados de investimento com cláusulas robustas de proteção ao investidor. O USMCA (United States-Mexico-Canada </w:t>
      </w:r>
      <w:proofErr w:type="spellStart"/>
      <w:r>
        <w:rPr>
          <w:color w:val="000000"/>
        </w:rPr>
        <w:t>Agreement</w:t>
      </w:r>
      <w:proofErr w:type="spellEnd"/>
      <w:r>
        <w:rPr>
          <w:color w:val="000000"/>
        </w:rPr>
        <w:t>), que substituiu o NAFTA em 2020, representa uma reconfiguração do modelo tradicional, restringindo o uso do ISDS a setores estratégicos, como energia, e impondo requisitos mais rigorosos para a admissibilidade de pleitos arbitrais.</w:t>
      </w:r>
    </w:p>
    <w:p w14:paraId="4739981F" w14:textId="77777777" w:rsidR="00EA22F9" w:rsidRDefault="00EA22F9" w:rsidP="00EA22F9">
      <w:pPr>
        <w:pStyle w:val="NormalWeb"/>
        <w:rPr>
          <w:color w:val="000000"/>
        </w:rPr>
      </w:pPr>
      <w:r>
        <w:rPr>
          <w:color w:val="000000"/>
        </w:rPr>
        <w:t xml:space="preserve">A principal vantagem desse modelo reside na segurança jurídica proporcionada aos investidores, além de mecanismos rápidos e vinculantes para solução de controvérsias. Por outro lado, as críticas destacam que esse modelo tende a consolidar assimetrias de poder e a fragilizar a capacidade dos Estados de implementar políticas públicas sensíveis, como demonstrado no caso </w:t>
      </w:r>
      <w:proofErr w:type="spellStart"/>
      <w:r>
        <w:rPr>
          <w:color w:val="000000"/>
        </w:rPr>
        <w:t>Metalclad</w:t>
      </w:r>
      <w:proofErr w:type="spellEnd"/>
      <w:r>
        <w:rPr>
          <w:color w:val="000000"/>
        </w:rPr>
        <w:t xml:space="preserve"> vs. México, que expôs abusos e distorções no uso do ISDS.</w:t>
      </w:r>
    </w:p>
    <w:p w14:paraId="078DC0FF" w14:textId="77777777" w:rsidR="00EA22F9" w:rsidRDefault="00EA22F9" w:rsidP="00EA22F9">
      <w:pPr>
        <w:pStyle w:val="NormalWeb"/>
        <w:rPr>
          <w:color w:val="000000"/>
        </w:rPr>
      </w:pPr>
      <w:r>
        <w:rPr>
          <w:color w:val="000000"/>
        </w:rPr>
        <w:t>Além disso, há questionamentos sobre a legitimidade democrática dessas arbitragens, já que decisões que impactam milhões de cidadãos podem ser tomadas por tribunais privados compostos por árbitros muitas vezes ligados ao setor empresarial. A ausência de mecanismos de apelação em muitos desses tratados acentua ainda mais essas preocupações.</w:t>
      </w:r>
    </w:p>
    <w:p w14:paraId="6431A10B" w14:textId="41405121" w:rsidR="00EA22F9" w:rsidRDefault="00EA22F9" w:rsidP="00EA22F9">
      <w:pPr>
        <w:pStyle w:val="NormalWeb"/>
        <w:rPr>
          <w:color w:val="000000"/>
        </w:rPr>
      </w:pPr>
      <w:r>
        <w:rPr>
          <w:rStyle w:val="Forte"/>
          <w:rFonts w:eastAsiaTheme="majorEastAsia"/>
          <w:color w:val="000000"/>
        </w:rPr>
        <w:t>2.3 Proposta de Corte Multilateral de Investimentos</w:t>
      </w:r>
    </w:p>
    <w:p w14:paraId="5EFC1BDB" w14:textId="77777777" w:rsidR="00EA22F9" w:rsidRDefault="00EA22F9" w:rsidP="00EA22F9">
      <w:pPr>
        <w:pStyle w:val="NormalWeb"/>
        <w:rPr>
          <w:color w:val="000000"/>
        </w:rPr>
      </w:pPr>
      <w:r>
        <w:rPr>
          <w:color w:val="000000"/>
        </w:rPr>
        <w:t>A União Europeia tem sido protagonista no debate sobre a reforma do regime internacional de investimentos, propondo a substituição do ISDS por uma Corte Multilateral de Investimentos (MIC) composta por juízes permanentes e indicados publicamente (OCDE, 2023). Tal proposta surge como resposta às críticas crescentes sobre a falta de transparência, a parcialidade e a fragmentação jurisprudencial observadas nos sistemas arbitrais tradicionais.</w:t>
      </w:r>
    </w:p>
    <w:p w14:paraId="08C579E0" w14:textId="77777777" w:rsidR="00EA22F9" w:rsidRDefault="00EA22F9" w:rsidP="00EA22F9">
      <w:pPr>
        <w:pStyle w:val="NormalWeb"/>
        <w:rPr>
          <w:color w:val="000000"/>
        </w:rPr>
      </w:pPr>
      <w:r>
        <w:rPr>
          <w:color w:val="000000"/>
        </w:rPr>
        <w:t>Este modelo busca assegurar maior transparência, previsibilidade e imparcialidade nos litígios, reduzindo o risco de conflitos de interesse e de decisões inconsistentes. Ao criar um corpo permanente de juízes, busca-se também conferir legitimidade institucional ao sistema, promovendo maior confiança pública.</w:t>
      </w:r>
    </w:p>
    <w:p w14:paraId="1AE14DA2" w14:textId="77777777" w:rsidR="00EA22F9" w:rsidRDefault="00EA22F9" w:rsidP="00EA22F9">
      <w:pPr>
        <w:pStyle w:val="NormalWeb"/>
        <w:rPr>
          <w:color w:val="000000"/>
        </w:rPr>
      </w:pPr>
      <w:r>
        <w:rPr>
          <w:color w:val="000000"/>
        </w:rPr>
        <w:t>No entanto, sua implementação é complexa e enfrenta resistências significativas, sobretudo de países que temem perder autonomia decisória ou que consideram os custos institucionais excessivos. Ademais, a viabilidade desse modelo dependerá da capacidade da União Europeia de angariar o apoio de outros grandes atores econômicos, como Estados Unidos, China e países emergentes.</w:t>
      </w:r>
    </w:p>
    <w:p w14:paraId="506C0FB9" w14:textId="77777777" w:rsidR="00EA22F9" w:rsidRDefault="00EA22F9" w:rsidP="00EA22F9">
      <w:pPr>
        <w:pStyle w:val="NormalWeb"/>
        <w:rPr>
          <w:color w:val="000000"/>
        </w:rPr>
      </w:pPr>
      <w:r>
        <w:rPr>
          <w:rStyle w:val="Forte"/>
          <w:rFonts w:eastAsiaTheme="majorEastAsia"/>
          <w:color w:val="000000"/>
        </w:rPr>
        <w:t>2.4 Organização Mundial do Comércio: Regulação Indireta via TRIMS</w:t>
      </w:r>
    </w:p>
    <w:p w14:paraId="5CA41E2C" w14:textId="77777777" w:rsidR="00EA22F9" w:rsidRDefault="00EA22F9" w:rsidP="00EA22F9">
      <w:pPr>
        <w:pStyle w:val="NormalWeb"/>
        <w:rPr>
          <w:color w:val="000000"/>
        </w:rPr>
      </w:pPr>
      <w:r>
        <w:rPr>
          <w:color w:val="000000"/>
        </w:rPr>
        <w:lastRenderedPageBreak/>
        <w:t>A OMC, embora não disponha de um arcabouço específico para investimentos, regula aspectos indiretos por meio do Acordo sobre Medidas Relacionadas ao Investimento no Âmbito do Comércio (TRIMS). Tal regulação veda certas exigências de desempenho que possam distorcer o comércio internacional, como conteúdo local obrigatório ou restrições à exportação.</w:t>
      </w:r>
    </w:p>
    <w:p w14:paraId="1F266264" w14:textId="77777777" w:rsidR="00EA22F9" w:rsidRDefault="00EA22F9" w:rsidP="00EA22F9">
      <w:pPr>
        <w:pStyle w:val="NormalWeb"/>
        <w:rPr>
          <w:color w:val="000000"/>
        </w:rPr>
      </w:pPr>
      <w:r>
        <w:rPr>
          <w:color w:val="000000"/>
        </w:rPr>
        <w:t>Todavia, a ausência de mecanismos de proteção ao investidor e de solução de controvérsias investidor-Estado limita a eficácia do TRIMS para a governança global dos investimentos. O atual sistema da OMC concentra-se primordialmente em disputas entre Estados, o que deixa investidores diretos sem um foro específico para proteção de seus direitos.</w:t>
      </w:r>
    </w:p>
    <w:p w14:paraId="1E995917" w14:textId="77777777" w:rsidR="00EA22F9" w:rsidRDefault="00EA22F9" w:rsidP="00EA22F9">
      <w:pPr>
        <w:pStyle w:val="NormalWeb"/>
        <w:rPr>
          <w:color w:val="000000"/>
        </w:rPr>
      </w:pPr>
      <w:r>
        <w:rPr>
          <w:color w:val="000000"/>
        </w:rPr>
        <w:t>Essa lacuna torna o TRIMS um instrumento complementar, mas insuficiente para lidar com as complexas dinâmicas dos investimentos transnacionais na atualidade. Alguns especialistas sugerem que a OMC deveria evoluir para incluir um pilar específico sobre investimentos, dotado de mecanismos próprios de resolução de disputas, alinhado com normas multilaterais de comércio.</w:t>
      </w:r>
    </w:p>
    <w:p w14:paraId="7BFB9B1F" w14:textId="4A0626FC" w:rsidR="00EA22F9" w:rsidRDefault="00EA22F9" w:rsidP="00EA22F9">
      <w:pPr>
        <w:pStyle w:val="NormalWeb"/>
        <w:rPr>
          <w:color w:val="000000"/>
        </w:rPr>
      </w:pPr>
      <w:r>
        <w:rPr>
          <w:rStyle w:val="Forte"/>
          <w:rFonts w:eastAsiaTheme="majorEastAsia"/>
          <w:color w:val="000000"/>
        </w:rPr>
        <w:t>3. Caminhos para Reforma</w:t>
      </w:r>
    </w:p>
    <w:p w14:paraId="7E7AF74F" w14:textId="77777777" w:rsidR="00EA22F9" w:rsidRDefault="00EA22F9" w:rsidP="00EA22F9">
      <w:pPr>
        <w:pStyle w:val="NormalWeb"/>
        <w:rPr>
          <w:color w:val="000000"/>
        </w:rPr>
      </w:pPr>
      <w:r>
        <w:rPr>
          <w:color w:val="000000"/>
        </w:rPr>
        <w:t>A partir da análise dos modelos examinados, emerge a necessidade de um novo paradigma para o regime internacional de investimentos. Concordando com Ramos (2022), propõe-se um modelo híbrido que combine o que há de mais avançado nos diferentes sistemas analisados.</w:t>
      </w:r>
    </w:p>
    <w:p w14:paraId="4E6E8610" w14:textId="77777777" w:rsidR="00EA22F9" w:rsidRDefault="00EA22F9" w:rsidP="00EA22F9">
      <w:pPr>
        <w:pStyle w:val="NormalWeb"/>
        <w:rPr>
          <w:color w:val="000000"/>
        </w:rPr>
      </w:pPr>
      <w:r>
        <w:rPr>
          <w:color w:val="000000"/>
        </w:rPr>
        <w:t>Primeiramente, defende-se a incorporação de um ISDS reformado, com filtros processuais que inibam a apresentação de litígios frívolos e exijam o esgotamento das vias judiciais internas antes da instauração da arbitragem internacional. Essa exigência reforça a soberania nacional e reduz o risco de abuso por parte de investidores oportunistas.</w:t>
      </w:r>
    </w:p>
    <w:p w14:paraId="0119F11A" w14:textId="384EE581" w:rsidR="00EA22F9" w:rsidRDefault="00EA22F9" w:rsidP="00EA22F9">
      <w:pPr>
        <w:pStyle w:val="NormalWeb"/>
        <w:rPr>
          <w:color w:val="000000"/>
        </w:rPr>
      </w:pPr>
      <w:r>
        <w:rPr>
          <w:color w:val="000000"/>
        </w:rPr>
        <w:t xml:space="preserve">Em segundo lugar, é essencial a manutenção de salvaguardas claras para a preservação de políticas públicas, como a adoção de margens de preferência em compras governamentais ou medidas de proteção ambiental, seguindo o exemplo das exceções negociadas pelo Brasil no âmbito do GPA da OMC (OMC, 2023). Tais cláusulas de exceção devem ser interpretadas de forma ampla, resguardando os Estados </w:t>
      </w:r>
      <w:proofErr w:type="gramStart"/>
      <w:r>
        <w:rPr>
          <w:color w:val="000000"/>
        </w:rPr>
        <w:t>contra</w:t>
      </w:r>
      <w:r>
        <w:rPr>
          <w:color w:val="000000"/>
        </w:rPr>
        <w:t xml:space="preserve"> </w:t>
      </w:r>
      <w:r>
        <w:rPr>
          <w:color w:val="000000"/>
        </w:rPr>
        <w:t>pressões</w:t>
      </w:r>
      <w:proofErr w:type="gramEnd"/>
      <w:r>
        <w:rPr>
          <w:color w:val="000000"/>
        </w:rPr>
        <w:t xml:space="preserve"> indevidas.</w:t>
      </w:r>
    </w:p>
    <w:p w14:paraId="5B432B64" w14:textId="77777777" w:rsidR="00EA22F9" w:rsidRDefault="00EA22F9" w:rsidP="00EA22F9">
      <w:pPr>
        <w:pStyle w:val="NormalWeb"/>
        <w:rPr>
          <w:color w:val="000000"/>
        </w:rPr>
      </w:pPr>
      <w:r>
        <w:rPr>
          <w:color w:val="000000"/>
        </w:rPr>
        <w:t xml:space="preserve">Ademais, a criação de instâncias permanentes de diálogo e cooperação institucional, inspiradas nos </w:t>
      </w:r>
      <w:proofErr w:type="spellStart"/>
      <w:r>
        <w:rPr>
          <w:color w:val="000000"/>
        </w:rPr>
        <w:t>ACFIs</w:t>
      </w:r>
      <w:proofErr w:type="spellEnd"/>
      <w:r>
        <w:rPr>
          <w:color w:val="000000"/>
        </w:rPr>
        <w:t>, pode fortalecer a prevenção de disputas e promover um ambiente mais previsível para os investimentos. Essa cooperação técnica contínua favorece a transparência e permite ajustes graduais nos regimes regulatórios, evitando choques abruptos.</w:t>
      </w:r>
    </w:p>
    <w:p w14:paraId="3AE476F8" w14:textId="77777777" w:rsidR="00EA22F9" w:rsidRDefault="00EA22F9" w:rsidP="00EA22F9">
      <w:pPr>
        <w:pStyle w:val="NormalWeb"/>
        <w:rPr>
          <w:color w:val="000000"/>
        </w:rPr>
      </w:pPr>
      <w:r>
        <w:rPr>
          <w:color w:val="000000"/>
        </w:rPr>
        <w:t>É imprescindível que o novo modelo adote também uma abordagem inclusiva, que leve em conta as especificidades dos países em desenvolvimento e assegure espaço para políticas de desenvolvimento sustentável, direitos humanos e promoção da igualdade social.</w:t>
      </w:r>
    </w:p>
    <w:p w14:paraId="69B4CCA7" w14:textId="77777777" w:rsidR="00EA22F9" w:rsidRDefault="00EA22F9" w:rsidP="00EA22F9">
      <w:pPr>
        <w:pStyle w:val="NormalWeb"/>
        <w:rPr>
          <w:color w:val="000000"/>
        </w:rPr>
      </w:pPr>
      <w:r>
        <w:rPr>
          <w:color w:val="000000"/>
        </w:rPr>
        <w:lastRenderedPageBreak/>
        <w:t>A viabilidade global desse modelo depende, porém, da mobilização de organismos internacionais como a UNCTAD, da adoção de princípios comuns por grandes blocos econômicos e da disposição política dos Estados em ceder parte de sua autonomia decisória em prol de um sistema multilateral mais robusto.</w:t>
      </w:r>
    </w:p>
    <w:p w14:paraId="581C0439" w14:textId="77777777" w:rsidR="00EA22F9" w:rsidRDefault="00EA22F9" w:rsidP="00EA22F9">
      <w:pPr>
        <w:pStyle w:val="NormalWeb"/>
        <w:rPr>
          <w:color w:val="000000"/>
        </w:rPr>
      </w:pPr>
      <w:r>
        <w:rPr>
          <w:rStyle w:val="Forte"/>
          <w:rFonts w:eastAsiaTheme="majorEastAsia"/>
          <w:color w:val="000000"/>
        </w:rPr>
        <w:t>4. Conclusão</w:t>
      </w:r>
    </w:p>
    <w:p w14:paraId="45DAEB94" w14:textId="77777777" w:rsidR="00EA22F9" w:rsidRDefault="00EA22F9" w:rsidP="00EA22F9">
      <w:pPr>
        <w:pStyle w:val="NormalWeb"/>
        <w:rPr>
          <w:color w:val="000000"/>
        </w:rPr>
      </w:pPr>
      <w:r>
        <w:rPr>
          <w:color w:val="000000"/>
        </w:rPr>
        <w:t>O atual regime internacional de investimentos encontra-se em um momento de inflexão. A busca por um modelo que equilibre a necessidade de proteger investimentos e, simultaneamente, garantir espaço para políticas públicas é urgente e essencial.</w:t>
      </w:r>
    </w:p>
    <w:p w14:paraId="7A8C63AE" w14:textId="77777777" w:rsidR="00EA22F9" w:rsidRDefault="00EA22F9" w:rsidP="00EA22F9">
      <w:pPr>
        <w:pStyle w:val="NormalWeb"/>
        <w:rPr>
          <w:color w:val="000000"/>
        </w:rPr>
      </w:pPr>
      <w:r>
        <w:rPr>
          <w:color w:val="000000"/>
        </w:rPr>
        <w:t>A proposta de um modelo híbrido emerge como a alternativa mais promissora, conciliando a segurança jurídica exigida pelos investidores com a flexibilidade regulatória demandada pelos Estados. Este novo paradigma deve ser construído com base na transparência, na inclusão de salvaguardas políticas e na existência de mecanismos de resolução de controvérsias mais equânimes e acessíveis.</w:t>
      </w:r>
    </w:p>
    <w:p w14:paraId="76D8FF05" w14:textId="77777777" w:rsidR="00EA22F9" w:rsidRDefault="00EA22F9" w:rsidP="00EA22F9">
      <w:pPr>
        <w:pStyle w:val="NormalWeb"/>
        <w:rPr>
          <w:color w:val="000000"/>
        </w:rPr>
      </w:pPr>
      <w:r>
        <w:rPr>
          <w:color w:val="000000"/>
        </w:rPr>
        <w:t>A partir das experiências acumuladas pelo Brasil, Estados Unidos, União Europeia e OMC, é possível conceber um regime mais justo, eficiente e sustentável, que seja responsivo às necessidades do século XXI. A superação das atuais limitações passa pela capacidade de integração entre diferentes modelos e pela construção de consensos mínimos sobre direitos e deveres no campo dos investimentos internacionais.</w:t>
      </w:r>
    </w:p>
    <w:p w14:paraId="7DBC69E9" w14:textId="77777777" w:rsidR="00EA22F9" w:rsidRDefault="00EA22F9" w:rsidP="00EA22F9">
      <w:pPr>
        <w:pStyle w:val="NormalWeb"/>
        <w:rPr>
          <w:color w:val="000000"/>
        </w:rPr>
      </w:pPr>
      <w:r>
        <w:rPr>
          <w:color w:val="000000"/>
        </w:rPr>
        <w:t>A harmonização gradual, aliada ao respeito pela diversidade de contextos nacionais, poderá permitir o florescimento de um sistema equilibrado, legítimo e resiliente, capaz de lidar com os desafios emergentes de um mundo multipolar e em constante transformação.</w:t>
      </w:r>
    </w:p>
    <w:p w14:paraId="6D44DF52" w14:textId="77777777" w:rsidR="00EA22F9" w:rsidRDefault="00EA22F9" w:rsidP="00EA22F9">
      <w:pPr>
        <w:pStyle w:val="NormalWeb"/>
        <w:rPr>
          <w:color w:val="000000"/>
        </w:rPr>
      </w:pPr>
      <w:r>
        <w:rPr>
          <w:rStyle w:val="Forte"/>
          <w:rFonts w:eastAsiaTheme="majorEastAsia"/>
          <w:color w:val="000000"/>
        </w:rPr>
        <w:t>Referências</w:t>
      </w:r>
    </w:p>
    <w:p w14:paraId="063851A4" w14:textId="77777777" w:rsidR="00EA22F9" w:rsidRDefault="00EA22F9" w:rsidP="00EA22F9">
      <w:pPr>
        <w:pStyle w:val="NormalWeb"/>
        <w:rPr>
          <w:color w:val="000000"/>
        </w:rPr>
      </w:pPr>
      <w:r>
        <w:rPr>
          <w:color w:val="000000"/>
        </w:rPr>
        <w:t xml:space="preserve">GONÇALVES, R. </w:t>
      </w:r>
      <w:proofErr w:type="spellStart"/>
      <w:r>
        <w:rPr>
          <w:color w:val="000000"/>
        </w:rPr>
        <w:t>ACFIs</w:t>
      </w:r>
      <w:proofErr w:type="spellEnd"/>
      <w:r>
        <w:rPr>
          <w:color w:val="000000"/>
        </w:rPr>
        <w:t xml:space="preserve"> e o Dilema da Atratividade de Investimentos. IPEA, 2021.</w:t>
      </w:r>
    </w:p>
    <w:p w14:paraId="39A0B601" w14:textId="77777777" w:rsidR="00EA22F9" w:rsidRDefault="00EA22F9" w:rsidP="00EA22F9">
      <w:pPr>
        <w:pStyle w:val="NormalWeb"/>
        <w:rPr>
          <w:color w:val="000000"/>
        </w:rPr>
      </w:pPr>
      <w:r>
        <w:rPr>
          <w:color w:val="000000"/>
        </w:rPr>
        <w:t xml:space="preserve">ORGANIZAÇÃO PARA A COOPERAÇÃO E DESENVOLVIMENTO ECONÔMICO. </w:t>
      </w:r>
      <w:proofErr w:type="spellStart"/>
      <w:r>
        <w:rPr>
          <w:color w:val="000000"/>
        </w:rPr>
        <w:t>Reforming</w:t>
      </w:r>
      <w:proofErr w:type="spellEnd"/>
      <w:r>
        <w:rPr>
          <w:color w:val="000000"/>
        </w:rPr>
        <w:t xml:space="preserve"> </w:t>
      </w:r>
      <w:proofErr w:type="spellStart"/>
      <w:r>
        <w:rPr>
          <w:color w:val="000000"/>
        </w:rPr>
        <w:t>Investment</w:t>
      </w:r>
      <w:proofErr w:type="spellEnd"/>
      <w:r>
        <w:rPr>
          <w:color w:val="000000"/>
        </w:rPr>
        <w:t xml:space="preserve"> Dispute </w:t>
      </w:r>
      <w:proofErr w:type="spellStart"/>
      <w:r>
        <w:rPr>
          <w:color w:val="000000"/>
        </w:rPr>
        <w:t>Settlement</w:t>
      </w:r>
      <w:proofErr w:type="spellEnd"/>
      <w:r>
        <w:rPr>
          <w:color w:val="000000"/>
        </w:rPr>
        <w:t>. Paris: OCDE, 2023. Disponível em:</w:t>
      </w:r>
      <w:r>
        <w:rPr>
          <w:rStyle w:val="apple-converted-space"/>
          <w:rFonts w:eastAsiaTheme="majorEastAsia"/>
          <w:color w:val="000000"/>
        </w:rPr>
        <w:t> </w:t>
      </w:r>
      <w:hyperlink r:id="rId4" w:history="1">
        <w:r>
          <w:rPr>
            <w:rStyle w:val="Hyperlink"/>
            <w:rFonts w:eastAsiaTheme="majorEastAsia"/>
          </w:rPr>
          <w:t>https://oecd.org</w:t>
        </w:r>
      </w:hyperlink>
      <w:r>
        <w:rPr>
          <w:color w:val="000000"/>
        </w:rPr>
        <w:t>.</w:t>
      </w:r>
    </w:p>
    <w:p w14:paraId="65730B65" w14:textId="77777777" w:rsidR="00EA22F9" w:rsidRDefault="00EA22F9" w:rsidP="00EA22F9">
      <w:pPr>
        <w:pStyle w:val="NormalWeb"/>
        <w:rPr>
          <w:color w:val="000000"/>
        </w:rPr>
      </w:pPr>
      <w:r>
        <w:rPr>
          <w:color w:val="000000"/>
        </w:rPr>
        <w:t xml:space="preserve">ORGANIZAÇÃO MUNDIAL DO COMÉRCIO. </w:t>
      </w:r>
      <w:r w:rsidRPr="00EA22F9">
        <w:rPr>
          <w:color w:val="000000"/>
          <w:lang w:val="en-US"/>
        </w:rPr>
        <w:t xml:space="preserve">Government Procurement Agreement GPA. </w:t>
      </w:r>
      <w:proofErr w:type="spellStart"/>
      <w:r w:rsidRPr="00EA22F9">
        <w:rPr>
          <w:color w:val="000000"/>
          <w:lang w:val="en-US"/>
        </w:rPr>
        <w:t>Genebra</w:t>
      </w:r>
      <w:proofErr w:type="spellEnd"/>
      <w:r w:rsidRPr="00EA22F9">
        <w:rPr>
          <w:color w:val="000000"/>
          <w:lang w:val="en-US"/>
        </w:rPr>
        <w:t xml:space="preserve">: OMC, 2023. </w:t>
      </w:r>
      <w:r>
        <w:rPr>
          <w:color w:val="000000"/>
        </w:rPr>
        <w:t>Disponível em:</w:t>
      </w:r>
      <w:r>
        <w:rPr>
          <w:rStyle w:val="apple-converted-space"/>
          <w:rFonts w:eastAsiaTheme="majorEastAsia"/>
          <w:color w:val="000000"/>
        </w:rPr>
        <w:t> </w:t>
      </w:r>
      <w:hyperlink r:id="rId5" w:history="1">
        <w:r>
          <w:rPr>
            <w:rStyle w:val="Hyperlink"/>
            <w:rFonts w:eastAsiaTheme="majorEastAsia"/>
          </w:rPr>
          <w:t>https://wto.org</w:t>
        </w:r>
      </w:hyperlink>
      <w:r>
        <w:rPr>
          <w:color w:val="000000"/>
        </w:rPr>
        <w:t>.</w:t>
      </w:r>
    </w:p>
    <w:p w14:paraId="09890307" w14:textId="77777777" w:rsidR="00EA22F9" w:rsidRDefault="00EA22F9" w:rsidP="00EA22F9">
      <w:pPr>
        <w:pStyle w:val="NormalWeb"/>
        <w:rPr>
          <w:color w:val="000000"/>
        </w:rPr>
      </w:pPr>
      <w:r>
        <w:rPr>
          <w:color w:val="000000"/>
        </w:rPr>
        <w:t>RAMOS, L. Acordos de Investimento no Século XXI: Soberania e Proteção em Disputa. Revista Brasileira de Política Internacional, v. 65, n. 1, 2022. Disponível em:</w:t>
      </w:r>
      <w:r>
        <w:rPr>
          <w:rStyle w:val="apple-converted-space"/>
          <w:rFonts w:eastAsiaTheme="majorEastAsia"/>
          <w:color w:val="000000"/>
        </w:rPr>
        <w:t> </w:t>
      </w:r>
      <w:hyperlink r:id="rId6" w:history="1">
        <w:r>
          <w:rPr>
            <w:rStyle w:val="Hyperlink"/>
            <w:rFonts w:eastAsiaTheme="majorEastAsia"/>
          </w:rPr>
          <w:t>https://www.scielo.br/</w:t>
        </w:r>
        <w:proofErr w:type="spellStart"/>
        <w:r>
          <w:rPr>
            <w:rStyle w:val="Hyperlink"/>
            <w:rFonts w:eastAsiaTheme="majorEastAsia"/>
          </w:rPr>
          <w:t>rbpi</w:t>
        </w:r>
        <w:proofErr w:type="spellEnd"/>
      </w:hyperlink>
      <w:r>
        <w:rPr>
          <w:color w:val="000000"/>
        </w:rPr>
        <w:t>.</w:t>
      </w:r>
    </w:p>
    <w:p w14:paraId="6845D525" w14:textId="77777777" w:rsidR="00EA22F9" w:rsidRDefault="00EA22F9" w:rsidP="00EA22F9">
      <w:pPr>
        <w:pStyle w:val="NormalWeb"/>
        <w:rPr>
          <w:color w:val="000000"/>
        </w:rPr>
      </w:pPr>
      <w:r>
        <w:rPr>
          <w:color w:val="000000"/>
        </w:rPr>
        <w:t xml:space="preserve">SILVA, M. A Evolução dos </w:t>
      </w:r>
      <w:proofErr w:type="spellStart"/>
      <w:r>
        <w:rPr>
          <w:color w:val="000000"/>
        </w:rPr>
        <w:t>TBIs</w:t>
      </w:r>
      <w:proofErr w:type="spellEnd"/>
      <w:r>
        <w:rPr>
          <w:color w:val="000000"/>
        </w:rPr>
        <w:t xml:space="preserve"> na América Latina. Contexto Internacional, v. 44, n. 2, 2021. Disponível em:</w:t>
      </w:r>
      <w:r>
        <w:rPr>
          <w:rStyle w:val="apple-converted-space"/>
          <w:rFonts w:eastAsiaTheme="majorEastAsia"/>
          <w:color w:val="000000"/>
        </w:rPr>
        <w:t> </w:t>
      </w:r>
      <w:hyperlink r:id="rId7" w:history="1">
        <w:r>
          <w:rPr>
            <w:rStyle w:val="Hyperlink"/>
            <w:rFonts w:eastAsiaTheme="majorEastAsia"/>
          </w:rPr>
          <w:t>https://www.scielo.br/contexto</w:t>
        </w:r>
      </w:hyperlink>
      <w:r>
        <w:rPr>
          <w:color w:val="000000"/>
        </w:rPr>
        <w:t>.</w:t>
      </w:r>
    </w:p>
    <w:p w14:paraId="5A0ECFB8" w14:textId="77777777" w:rsidR="00EA22F9" w:rsidRDefault="00EA22F9" w:rsidP="00EA22F9">
      <w:pPr>
        <w:pStyle w:val="NormalWeb"/>
        <w:rPr>
          <w:color w:val="000000"/>
        </w:rPr>
      </w:pPr>
      <w:r w:rsidRPr="00EA22F9">
        <w:rPr>
          <w:color w:val="000000"/>
          <w:lang w:val="en-US"/>
        </w:rPr>
        <w:t xml:space="preserve">UNITED NATIONS CONFERENCE ON TRADE AND DEVELOPMENT. World Investment Report 2023. </w:t>
      </w:r>
      <w:proofErr w:type="spellStart"/>
      <w:r w:rsidRPr="00EA22F9">
        <w:rPr>
          <w:color w:val="000000"/>
          <w:lang w:val="en-US"/>
        </w:rPr>
        <w:t>Genebra</w:t>
      </w:r>
      <w:proofErr w:type="spellEnd"/>
      <w:r w:rsidRPr="00EA22F9">
        <w:rPr>
          <w:color w:val="000000"/>
          <w:lang w:val="en-US"/>
        </w:rPr>
        <w:t xml:space="preserve">: UNCTAD, 2023. </w:t>
      </w:r>
      <w:r>
        <w:rPr>
          <w:color w:val="000000"/>
        </w:rPr>
        <w:t>Disponível em:</w:t>
      </w:r>
      <w:r>
        <w:rPr>
          <w:rStyle w:val="apple-converted-space"/>
          <w:rFonts w:eastAsiaTheme="majorEastAsia"/>
          <w:color w:val="000000"/>
        </w:rPr>
        <w:t> </w:t>
      </w:r>
      <w:hyperlink r:id="rId8" w:history="1">
        <w:r>
          <w:rPr>
            <w:rStyle w:val="Hyperlink"/>
            <w:rFonts w:eastAsiaTheme="majorEastAsia"/>
          </w:rPr>
          <w:t>https://unctad.org</w:t>
        </w:r>
      </w:hyperlink>
      <w:r>
        <w:rPr>
          <w:color w:val="000000"/>
        </w:rPr>
        <w:t>.</w:t>
      </w:r>
    </w:p>
    <w:p w14:paraId="7BAA650F" w14:textId="77777777" w:rsidR="00EA22F9" w:rsidRDefault="00EA22F9" w:rsidP="00EA22F9">
      <w:pPr>
        <w:pStyle w:val="NormalWeb"/>
        <w:rPr>
          <w:color w:val="000000"/>
        </w:rPr>
      </w:pPr>
    </w:p>
    <w:p w14:paraId="728F51FB" w14:textId="77777777" w:rsidR="00EA22F9" w:rsidRPr="00EA22F9" w:rsidRDefault="00EA22F9" w:rsidP="00EA22F9">
      <w:pPr>
        <w:pStyle w:val="NormalWeb"/>
        <w:rPr>
          <w:b/>
          <w:bCs/>
          <w:color w:val="000000"/>
        </w:rPr>
      </w:pPr>
    </w:p>
    <w:sectPr w:rsidR="00EA22F9" w:rsidRPr="00EA22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2F9"/>
    <w:rsid w:val="003102A3"/>
    <w:rsid w:val="00963AE9"/>
    <w:rsid w:val="00D856BC"/>
    <w:rsid w:val="00EA22F9"/>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E560AC8"/>
  <w15:chartTrackingRefBased/>
  <w15:docId w15:val="{C0BD121A-C463-004C-A8A4-B91EA534D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A2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A2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A22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A22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A22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A22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A22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A22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A22F9"/>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A22F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A22F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A22F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A22F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A22F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A22F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A22F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A22F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A22F9"/>
    <w:rPr>
      <w:rFonts w:eastAsiaTheme="majorEastAsia" w:cstheme="majorBidi"/>
      <w:color w:val="272727" w:themeColor="text1" w:themeTint="D8"/>
    </w:rPr>
  </w:style>
  <w:style w:type="paragraph" w:styleId="Ttulo">
    <w:name w:val="Title"/>
    <w:basedOn w:val="Normal"/>
    <w:next w:val="Normal"/>
    <w:link w:val="TtuloChar"/>
    <w:uiPriority w:val="10"/>
    <w:qFormat/>
    <w:rsid w:val="00EA22F9"/>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A22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A22F9"/>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A22F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A22F9"/>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EA22F9"/>
    <w:rPr>
      <w:i/>
      <w:iCs/>
      <w:color w:val="404040" w:themeColor="text1" w:themeTint="BF"/>
    </w:rPr>
  </w:style>
  <w:style w:type="paragraph" w:styleId="PargrafodaLista">
    <w:name w:val="List Paragraph"/>
    <w:basedOn w:val="Normal"/>
    <w:uiPriority w:val="34"/>
    <w:qFormat/>
    <w:rsid w:val="00EA22F9"/>
    <w:pPr>
      <w:ind w:left="720"/>
      <w:contextualSpacing/>
    </w:pPr>
  </w:style>
  <w:style w:type="character" w:styleId="nfaseIntensa">
    <w:name w:val="Intense Emphasis"/>
    <w:basedOn w:val="Fontepargpadro"/>
    <w:uiPriority w:val="21"/>
    <w:qFormat/>
    <w:rsid w:val="00EA22F9"/>
    <w:rPr>
      <w:i/>
      <w:iCs/>
      <w:color w:val="0F4761" w:themeColor="accent1" w:themeShade="BF"/>
    </w:rPr>
  </w:style>
  <w:style w:type="paragraph" w:styleId="CitaoIntensa">
    <w:name w:val="Intense Quote"/>
    <w:basedOn w:val="Normal"/>
    <w:next w:val="Normal"/>
    <w:link w:val="CitaoIntensaChar"/>
    <w:uiPriority w:val="30"/>
    <w:qFormat/>
    <w:rsid w:val="00EA2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A22F9"/>
    <w:rPr>
      <w:i/>
      <w:iCs/>
      <w:color w:val="0F4761" w:themeColor="accent1" w:themeShade="BF"/>
    </w:rPr>
  </w:style>
  <w:style w:type="character" w:styleId="RefernciaIntensa">
    <w:name w:val="Intense Reference"/>
    <w:basedOn w:val="Fontepargpadro"/>
    <w:uiPriority w:val="32"/>
    <w:qFormat/>
    <w:rsid w:val="00EA22F9"/>
    <w:rPr>
      <w:b/>
      <w:bCs/>
      <w:smallCaps/>
      <w:color w:val="0F4761" w:themeColor="accent1" w:themeShade="BF"/>
      <w:spacing w:val="5"/>
    </w:rPr>
  </w:style>
  <w:style w:type="paragraph" w:styleId="NormalWeb">
    <w:name w:val="Normal (Web)"/>
    <w:basedOn w:val="Normal"/>
    <w:uiPriority w:val="99"/>
    <w:semiHidden/>
    <w:unhideWhenUsed/>
    <w:rsid w:val="00EA22F9"/>
    <w:pPr>
      <w:spacing w:before="100" w:beforeAutospacing="1" w:after="100" w:afterAutospacing="1"/>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EA22F9"/>
    <w:rPr>
      <w:b/>
      <w:bCs/>
    </w:rPr>
  </w:style>
  <w:style w:type="character" w:customStyle="1" w:styleId="apple-converted-space">
    <w:name w:val="apple-converted-space"/>
    <w:basedOn w:val="Fontepargpadro"/>
    <w:rsid w:val="00EA22F9"/>
  </w:style>
  <w:style w:type="character" w:styleId="Hyperlink">
    <w:name w:val="Hyperlink"/>
    <w:basedOn w:val="Fontepargpadro"/>
    <w:uiPriority w:val="99"/>
    <w:semiHidden/>
    <w:unhideWhenUsed/>
    <w:rsid w:val="00EA22F9"/>
    <w:rPr>
      <w:color w:val="0000FF"/>
      <w:u w:val="single"/>
    </w:rPr>
  </w:style>
  <w:style w:type="paragraph" w:customStyle="1" w:styleId="p1">
    <w:name w:val="p1"/>
    <w:basedOn w:val="Normal"/>
    <w:rsid w:val="00EA22F9"/>
    <w:rPr>
      <w:rFonts w:ascii="Times New Roman" w:eastAsia="Times New Roman" w:hAnsi="Times New Roman" w:cs="Times New Roman"/>
      <w:color w:val="000000"/>
      <w:kern w:val="0"/>
      <w:sz w:val="18"/>
      <w:szCs w:val="18"/>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83521">
      <w:bodyDiv w:val="1"/>
      <w:marLeft w:val="0"/>
      <w:marRight w:val="0"/>
      <w:marTop w:val="0"/>
      <w:marBottom w:val="0"/>
      <w:divBdr>
        <w:top w:val="none" w:sz="0" w:space="0" w:color="auto"/>
        <w:left w:val="none" w:sz="0" w:space="0" w:color="auto"/>
        <w:bottom w:val="none" w:sz="0" w:space="0" w:color="auto"/>
        <w:right w:val="none" w:sz="0" w:space="0" w:color="auto"/>
      </w:divBdr>
    </w:div>
    <w:div w:id="375786693">
      <w:bodyDiv w:val="1"/>
      <w:marLeft w:val="0"/>
      <w:marRight w:val="0"/>
      <w:marTop w:val="0"/>
      <w:marBottom w:val="0"/>
      <w:divBdr>
        <w:top w:val="none" w:sz="0" w:space="0" w:color="auto"/>
        <w:left w:val="none" w:sz="0" w:space="0" w:color="auto"/>
        <w:bottom w:val="none" w:sz="0" w:space="0" w:color="auto"/>
        <w:right w:val="none" w:sz="0" w:space="0" w:color="auto"/>
      </w:divBdr>
    </w:div>
    <w:div w:id="960762635">
      <w:bodyDiv w:val="1"/>
      <w:marLeft w:val="0"/>
      <w:marRight w:val="0"/>
      <w:marTop w:val="0"/>
      <w:marBottom w:val="0"/>
      <w:divBdr>
        <w:top w:val="none" w:sz="0" w:space="0" w:color="auto"/>
        <w:left w:val="none" w:sz="0" w:space="0" w:color="auto"/>
        <w:bottom w:val="none" w:sz="0" w:space="0" w:color="auto"/>
        <w:right w:val="none" w:sz="0" w:space="0" w:color="auto"/>
      </w:divBdr>
    </w:div>
    <w:div w:id="1211765906">
      <w:bodyDiv w:val="1"/>
      <w:marLeft w:val="0"/>
      <w:marRight w:val="0"/>
      <w:marTop w:val="0"/>
      <w:marBottom w:val="0"/>
      <w:divBdr>
        <w:top w:val="none" w:sz="0" w:space="0" w:color="auto"/>
        <w:left w:val="none" w:sz="0" w:space="0" w:color="auto"/>
        <w:bottom w:val="none" w:sz="0" w:space="0" w:color="auto"/>
        <w:right w:val="none" w:sz="0" w:space="0" w:color="auto"/>
      </w:divBdr>
    </w:div>
    <w:div w:id="1531338220">
      <w:bodyDiv w:val="1"/>
      <w:marLeft w:val="0"/>
      <w:marRight w:val="0"/>
      <w:marTop w:val="0"/>
      <w:marBottom w:val="0"/>
      <w:divBdr>
        <w:top w:val="none" w:sz="0" w:space="0" w:color="auto"/>
        <w:left w:val="none" w:sz="0" w:space="0" w:color="auto"/>
        <w:bottom w:val="none" w:sz="0" w:space="0" w:color="auto"/>
        <w:right w:val="none" w:sz="0" w:space="0" w:color="auto"/>
      </w:divBdr>
    </w:div>
    <w:div w:id="193019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ctad.org/" TargetMode="External"/><Relationship Id="rId3" Type="http://schemas.openxmlformats.org/officeDocument/2006/relationships/webSettings" Target="webSettings.xml"/><Relationship Id="rId7" Type="http://schemas.openxmlformats.org/officeDocument/2006/relationships/hyperlink" Target="https://www.scielo.br/context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lo.br/rbpi" TargetMode="External"/><Relationship Id="rId5" Type="http://schemas.openxmlformats.org/officeDocument/2006/relationships/hyperlink" Target="https://wto.org/" TargetMode="External"/><Relationship Id="rId10" Type="http://schemas.openxmlformats.org/officeDocument/2006/relationships/theme" Target="theme/theme1.xml"/><Relationship Id="rId4" Type="http://schemas.openxmlformats.org/officeDocument/2006/relationships/hyperlink" Target="https://oecd.org/" TargetMode="Externa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1717</Words>
  <Characters>9276</Characters>
  <Application>Microsoft Office Word</Application>
  <DocSecurity>0</DocSecurity>
  <Lines>77</Lines>
  <Paragraphs>21</Paragraphs>
  <ScaleCrop>false</ScaleCrop>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2025-07-09T15:49:00Z</dcterms:created>
  <dcterms:modified xsi:type="dcterms:W3CDTF">2025-07-09T18:54:00Z</dcterms:modified>
</cp:coreProperties>
</file>