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A914" w14:textId="77777777" w:rsidR="008C04CC" w:rsidRDefault="008C04CC" w:rsidP="00303536">
      <w:pPr>
        <w:pStyle w:val="NormalWeb"/>
        <w:jc w:val="center"/>
        <w:rPr>
          <w:rStyle w:val="Forte"/>
          <w:rFonts w:eastAsiaTheme="majorEastAsia"/>
          <w:color w:val="000000"/>
        </w:rPr>
      </w:pPr>
      <w:r>
        <w:rPr>
          <w:rStyle w:val="Forte"/>
          <w:rFonts w:eastAsiaTheme="majorEastAsia"/>
          <w:color w:val="000000"/>
        </w:rPr>
        <w:t>Resenha Crítica: “Aproximação a uma Teoria da Corrupção” de Luís Greco e Adriano Teixeira</w:t>
      </w:r>
    </w:p>
    <w:p w14:paraId="118658D1" w14:textId="031A602B" w:rsidR="00C34223" w:rsidRPr="00303536" w:rsidRDefault="00C34223" w:rsidP="00303536">
      <w:pPr>
        <w:pStyle w:val="NormalWeb"/>
        <w:jc w:val="right"/>
        <w:rPr>
          <w:i/>
          <w:iCs/>
          <w:color w:val="000000"/>
        </w:rPr>
      </w:pPr>
      <w:r w:rsidRPr="00303536">
        <w:rPr>
          <w:rStyle w:val="Forte"/>
          <w:rFonts w:eastAsiaTheme="majorEastAsia"/>
          <w:i/>
          <w:iCs/>
          <w:color w:val="000000"/>
        </w:rPr>
        <w:t>Por Pedro Paulo Henrichs Neto</w:t>
      </w:r>
    </w:p>
    <w:p w14:paraId="10FF7754" w14:textId="63AD28FC" w:rsidR="008C04CC" w:rsidRDefault="00303536" w:rsidP="00303536">
      <w:pPr>
        <w:pStyle w:val="NormalWeb"/>
        <w:jc w:val="both"/>
        <w:rPr>
          <w:color w:val="000000"/>
        </w:rPr>
      </w:pPr>
      <w:r>
        <w:rPr>
          <w:rStyle w:val="Forte"/>
          <w:rFonts w:eastAsiaTheme="majorEastAsia"/>
          <w:color w:val="000000"/>
        </w:rPr>
        <w:t>1. INTRODUÇÃO</w:t>
      </w:r>
    </w:p>
    <w:p w14:paraId="3391958D"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O artigo “Aproximação a uma teoria da corrupção”, de autoria de Luís Greco e Adriano Teixeira, representa uma incursão sofisticada no debate dogmático do direito penal brasileiro e alemão, com o objetivo de sistematizar os elementos centrais que definem o injusto penal da corrupção. O texto se destaca por sua densidade teórica e pela tentativa de propor uma base conceitual consistente para a repressão penal do fenômeno, contrastando com o moralismo e pragmatismo frequentemente presentes no discurso midiático e político sobre o tema. No entanto, ao manter-se restrito à dogmática penal, o artigo negligencia dimensões fundamentais para a compreensão plena da corrupção, notadamente seus aspectos sociopolíticos, históricos e institucionais. Essa limitação fica evidente quando se aborda o caso do Mensalão (Ação Penal 470), que, embora mencionado, é tratado de forma periférica e desprovida de problematização crítica sobre seu impacto na judicialização da política e na aplicação da teoria do domínio do fato.</w:t>
      </w:r>
    </w:p>
    <w:p w14:paraId="7323195D" w14:textId="6186AB84" w:rsidR="008C04CC" w:rsidRDefault="00303536" w:rsidP="00303536">
      <w:pPr>
        <w:pStyle w:val="NormalWeb"/>
        <w:jc w:val="both"/>
        <w:rPr>
          <w:color w:val="000000"/>
        </w:rPr>
      </w:pPr>
      <w:r>
        <w:rPr>
          <w:rStyle w:val="Forte"/>
          <w:rFonts w:eastAsiaTheme="majorEastAsia"/>
          <w:color w:val="000000"/>
        </w:rPr>
        <w:t>2. ESTRUTURA E MÉRITO DO TEXTO</w:t>
      </w:r>
    </w:p>
    <w:p w14:paraId="2490E824"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O texto se organiza de forma clara e metodicamente coerente. Começa com um diagnóstico sobre a ausência de uma teoria consistente da corrupção no direito penal, tanto no Brasil quanto na Alemanha, passando à exposição das principais normas e interpretações jurisprudenciais nos dois países, para então propor uma construção dogmática original sobre o tema.</w:t>
      </w:r>
    </w:p>
    <w:p w14:paraId="6626815F"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 xml:space="preserve">A principal contribuição teórica dos autores é a identificação do núcleo do injusto penal da corrupção não na mera lesão a um bem jurídico abstrato (como a moralidade administrativa ou a </w:t>
      </w:r>
      <w:proofErr w:type="spellStart"/>
      <w:r>
        <w:rPr>
          <w:color w:val="000000"/>
        </w:rPr>
        <w:t>fidêcia</w:t>
      </w:r>
      <w:proofErr w:type="spellEnd"/>
      <w:r>
        <w:rPr>
          <w:color w:val="000000"/>
        </w:rPr>
        <w:t xml:space="preserve"> pública), mas sim no uso do poder estatal ou institucional condicionado por vantagens indevidas de natureza privada. Trata-se de um crime de atividade, não de resultado, em que a oferta ou aceitação da vantagem é o elemento estruturante da conduta criminosa.</w:t>
      </w:r>
    </w:p>
    <w:p w14:paraId="6E3E009C"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 xml:space="preserve">A distinção entre corrupção simples e corrupção funcional, tal como delineada na legislação alemã, é outro ponto forte da análise, pois permite estabelecer um critério mais preciso para a interpretação dos tipos penais brasileiros. Os autores ainda propõem a </w:t>
      </w:r>
      <w:r>
        <w:rPr>
          <w:color w:val="000000"/>
        </w:rPr>
        <w:lastRenderedPageBreak/>
        <w:t>interpretação restritiva da expressão “em razão do cargo”, limitando-a ao exercício efetivo de função pública e excluindo benefícios socialmente aceitos.</w:t>
      </w:r>
    </w:p>
    <w:p w14:paraId="5BAA5E7A" w14:textId="25CFA114" w:rsidR="008C04CC" w:rsidRDefault="00303536" w:rsidP="00303536">
      <w:pPr>
        <w:pStyle w:val="NormalWeb"/>
        <w:jc w:val="both"/>
        <w:rPr>
          <w:color w:val="000000"/>
        </w:rPr>
      </w:pPr>
      <w:r>
        <w:rPr>
          <w:rStyle w:val="Forte"/>
          <w:rFonts w:eastAsiaTheme="majorEastAsia"/>
          <w:color w:val="000000"/>
        </w:rPr>
        <w:t>3. LIMITAÇÕES TEÓRICAS E OMISSÕES ANALÍTICAS</w:t>
      </w:r>
    </w:p>
    <w:p w14:paraId="31F74743"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 xml:space="preserve">Apesar de seu rigor dogmático, o texto sofre de um claro reducionismo jurídico. A corrupção é um fenômeno </w:t>
      </w:r>
      <w:proofErr w:type="spellStart"/>
      <w:r>
        <w:rPr>
          <w:color w:val="000000"/>
        </w:rPr>
        <w:t>políssemico</w:t>
      </w:r>
      <w:proofErr w:type="spellEnd"/>
      <w:r>
        <w:rPr>
          <w:color w:val="000000"/>
        </w:rPr>
        <w:t>, que atravessa esferas políticas, econômicas, culturais e institucionais. Ao desconsiderar essa pluralidade, o texto compromete a inteligível inter-relação entre práticas corruptas e as condições estruturais que as favorecem. Não há qualquer referência a elementos como a desigualdade social, a fragilidade institucional, a cultura política clientelista, ou os incentivos perversos presentes em modelos de financiamento de campanha e coalizões partidárias.</w:t>
      </w:r>
    </w:p>
    <w:p w14:paraId="7675A01E"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 xml:space="preserve">Essa lacuna se agrava diante da omissão de um olhar mais profundo sobre as </w:t>
      </w:r>
      <w:proofErr w:type="spellStart"/>
      <w:r>
        <w:rPr>
          <w:color w:val="000000"/>
        </w:rPr>
        <w:t>conseqüências</w:t>
      </w:r>
      <w:proofErr w:type="spellEnd"/>
      <w:r>
        <w:rPr>
          <w:color w:val="000000"/>
        </w:rPr>
        <w:t xml:space="preserve"> da corrupção na democracia e na confiabilidade das instituições, bem como das alternativas políticas, educacionais e institucionais para sua prevenção. Embora haja breves referências a questões como compliance e ética institucional, não se delineia qualquer articulação com as políticas públicas ou com a participação cidadã.</w:t>
      </w:r>
    </w:p>
    <w:p w14:paraId="198C8361" w14:textId="31A29DE5" w:rsidR="008C04CC" w:rsidRDefault="00303536" w:rsidP="00303536">
      <w:pPr>
        <w:pStyle w:val="NormalWeb"/>
        <w:jc w:val="both"/>
        <w:rPr>
          <w:color w:val="000000"/>
        </w:rPr>
      </w:pPr>
      <w:r>
        <w:rPr>
          <w:rStyle w:val="Forte"/>
          <w:rFonts w:eastAsiaTheme="majorEastAsia"/>
          <w:color w:val="000000"/>
        </w:rPr>
        <w:t>4. O CASO MENSALÃO E A JUDICIALIZAÇÃO DA POLÍTICA</w:t>
      </w:r>
    </w:p>
    <w:p w14:paraId="3E98EA0B"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Um dos aspectos mais criticáveis do texto é o tratamento superficial dado ao caso do Mensalão, emblemático para a história política e jurídica do Brasil. O caso, julgado no STF em 2012 sob o nome de Ação Penal 470, levou à condenação de diversas figuras centrais do Partido dos Trabalhadores, inclusive do então ministro-chefe da Casa Civil, José Dirceu.</w:t>
      </w:r>
    </w:p>
    <w:p w14:paraId="0B577E9E" w14:textId="08E58405" w:rsidR="008C04CC" w:rsidRDefault="008C04CC" w:rsidP="00303536">
      <w:pPr>
        <w:pStyle w:val="NormalWeb"/>
        <w:spacing w:before="0" w:beforeAutospacing="0" w:after="0" w:afterAutospacing="0" w:line="360" w:lineRule="auto"/>
        <w:ind w:firstLine="709"/>
        <w:jc w:val="both"/>
        <w:rPr>
          <w:color w:val="000000"/>
        </w:rPr>
      </w:pPr>
      <w:r>
        <w:rPr>
          <w:color w:val="000000"/>
        </w:rPr>
        <w:t>Embora o caso encaixe-se na definição de corrupção funcional proposta pelos autores uso do mandato parlamentar condicionado ao recebimento de vantagens indevidas, faltou uma análise crítica das especificidades daquele julgamento. O STF adotou um modelo de julgamento altamente midiático, com transmissão ao vivo, intensa pressão social e um nível inédito de protagonismo judicial na cena política.</w:t>
      </w:r>
    </w:p>
    <w:p w14:paraId="36A125FA"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Outro ponto polêmico não tratado é o uso da</w:t>
      </w:r>
      <w:r>
        <w:rPr>
          <w:rStyle w:val="apple-converted-space"/>
          <w:rFonts w:eastAsiaTheme="majorEastAsia"/>
          <w:color w:val="000000"/>
        </w:rPr>
        <w:t> </w:t>
      </w:r>
      <w:r>
        <w:rPr>
          <w:rStyle w:val="Forte"/>
          <w:rFonts w:eastAsiaTheme="majorEastAsia"/>
          <w:color w:val="000000"/>
        </w:rPr>
        <w:t>teoria do domínio do fato</w:t>
      </w:r>
      <w:r>
        <w:rPr>
          <w:color w:val="000000"/>
        </w:rPr>
        <w:t>, originada no direito penal alemão, mas invocada de maneira controversa para sustentar a responsabilidade penal de Dirceu. Críticos apontam que essa teoria foi aplicada de forma dissociada de sua base original, servindo como um atalho para imputar culpa sem provas diretas de autoria ou participação ativa.</w:t>
      </w:r>
    </w:p>
    <w:p w14:paraId="5F3AB299"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lastRenderedPageBreak/>
        <w:t xml:space="preserve">O próprio jurista alemão Claus </w:t>
      </w:r>
      <w:proofErr w:type="spellStart"/>
      <w:r>
        <w:rPr>
          <w:color w:val="000000"/>
        </w:rPr>
        <w:t>Roxin</w:t>
      </w:r>
      <w:proofErr w:type="spellEnd"/>
      <w:r>
        <w:rPr>
          <w:color w:val="000000"/>
        </w:rPr>
        <w:t>, formulador da teoria, manifestou-se contra seu uso para condenar pessoas com base apenas em sua posição hierárquica, sem a devida demonstração de comando efetivo sobre a conduta delituosa. A ausência dessa discussão no texto é uma grave omissão, especialmente vindo de autores que se propõem a fazer uma ponte entre o direito penal alemão e o brasileiro.</w:t>
      </w:r>
    </w:p>
    <w:p w14:paraId="69E27C0F"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O caso Mensalão também foi um catalisador da crescente</w:t>
      </w:r>
      <w:r>
        <w:rPr>
          <w:rStyle w:val="apple-converted-space"/>
          <w:rFonts w:eastAsiaTheme="majorEastAsia"/>
          <w:color w:val="000000"/>
        </w:rPr>
        <w:t> </w:t>
      </w:r>
      <w:r>
        <w:rPr>
          <w:rStyle w:val="Forte"/>
          <w:rFonts w:eastAsiaTheme="majorEastAsia"/>
          <w:color w:val="000000"/>
        </w:rPr>
        <w:t>judicialização da política</w:t>
      </w:r>
      <w:r>
        <w:rPr>
          <w:rStyle w:val="apple-converted-space"/>
          <w:rFonts w:eastAsiaTheme="majorEastAsia"/>
          <w:color w:val="000000"/>
        </w:rPr>
        <w:t> </w:t>
      </w:r>
      <w:r>
        <w:rPr>
          <w:color w:val="000000"/>
        </w:rPr>
        <w:t>no Brasil. O STF passou a ocupar o centro do tabuleiro político, julgando com base em elementos muitas vezes mais simbólicos do que jurídicos. Isso teve repercussões relevantes: a politização do sistema de justiça, o fortalecimento de um ativismo judicial pouco controlado e a abertura para o uso do sistema penal como instrumento de disputa política.</w:t>
      </w:r>
    </w:p>
    <w:p w14:paraId="30BE3B8B" w14:textId="446D5ABD" w:rsidR="008C04CC" w:rsidRDefault="00303536" w:rsidP="00303536">
      <w:pPr>
        <w:pStyle w:val="NormalWeb"/>
        <w:jc w:val="both"/>
        <w:rPr>
          <w:color w:val="000000"/>
        </w:rPr>
      </w:pPr>
      <w:r>
        <w:rPr>
          <w:rStyle w:val="Forte"/>
          <w:rFonts w:eastAsiaTheme="majorEastAsia"/>
          <w:color w:val="000000"/>
        </w:rPr>
        <w:t>5. O DIREITO PENAL E O LAWFARE</w:t>
      </w:r>
    </w:p>
    <w:p w14:paraId="0CFF1326" w14:textId="30BF27E9" w:rsidR="008C04CC" w:rsidRDefault="008C04CC" w:rsidP="00303536">
      <w:pPr>
        <w:pStyle w:val="NormalWeb"/>
        <w:spacing w:before="0" w:beforeAutospacing="0" w:after="0" w:afterAutospacing="0" w:line="360" w:lineRule="auto"/>
        <w:ind w:firstLine="709"/>
        <w:jc w:val="both"/>
        <w:rPr>
          <w:color w:val="000000"/>
        </w:rPr>
      </w:pPr>
      <w:r>
        <w:rPr>
          <w:color w:val="000000"/>
        </w:rPr>
        <w:t>O silêncio do texto sobre o conceito de</w:t>
      </w:r>
      <w:r>
        <w:rPr>
          <w:rStyle w:val="apple-converted-space"/>
          <w:rFonts w:eastAsiaTheme="majorEastAsia"/>
          <w:color w:val="000000"/>
        </w:rPr>
        <w:t> </w:t>
      </w:r>
      <w:proofErr w:type="spellStart"/>
      <w:r>
        <w:rPr>
          <w:rStyle w:val="Forte"/>
          <w:rFonts w:eastAsiaTheme="majorEastAsia"/>
          <w:color w:val="000000"/>
        </w:rPr>
        <w:t>lawfare</w:t>
      </w:r>
      <w:proofErr w:type="spellEnd"/>
      <w:r>
        <w:rPr>
          <w:rStyle w:val="apple-converted-space"/>
          <w:rFonts w:eastAsiaTheme="majorEastAsia"/>
          <w:color w:val="000000"/>
        </w:rPr>
        <w:t> </w:t>
      </w:r>
      <w:r>
        <w:rPr>
          <w:color w:val="000000"/>
        </w:rPr>
        <w:t xml:space="preserve">uso do direito como arma de guerra política é também sintomático. A AP 470 é vista por muitos analistas como um dos primeiros experimentos do </w:t>
      </w:r>
      <w:proofErr w:type="spellStart"/>
      <w:r>
        <w:rPr>
          <w:color w:val="000000"/>
        </w:rPr>
        <w:t>lawfare</w:t>
      </w:r>
      <w:proofErr w:type="spellEnd"/>
      <w:r>
        <w:rPr>
          <w:color w:val="000000"/>
        </w:rPr>
        <w:t xml:space="preserve"> no Brasil, antecessora das estratégias mais agressivas da Lava Jato. A ausência de uma análise crítica sobre esse fenômeno enfraquece a proposta dos autores de oferecer uma teoria abrangente e crítica da corrupção penal.</w:t>
      </w:r>
    </w:p>
    <w:p w14:paraId="308E4F81" w14:textId="58A43AB1" w:rsidR="008C04CC" w:rsidRDefault="008C04CC" w:rsidP="00303536">
      <w:pPr>
        <w:pStyle w:val="NormalWeb"/>
        <w:spacing w:before="0" w:beforeAutospacing="0" w:after="0" w:afterAutospacing="0" w:line="360" w:lineRule="auto"/>
        <w:ind w:firstLine="709"/>
        <w:jc w:val="both"/>
        <w:rPr>
          <w:color w:val="000000"/>
        </w:rPr>
      </w:pPr>
      <w:r>
        <w:rPr>
          <w:color w:val="000000"/>
        </w:rPr>
        <w:t xml:space="preserve">A aplicação seletiva da lei penal, a </w:t>
      </w:r>
      <w:r w:rsidR="00C34223">
        <w:rPr>
          <w:color w:val="000000"/>
        </w:rPr>
        <w:t>ênfase</w:t>
      </w:r>
      <w:r>
        <w:rPr>
          <w:color w:val="000000"/>
        </w:rPr>
        <w:t xml:space="preserve"> em provas indiretas, o uso político da opinião pública e a condenação de adversários ideológicos sem as garantias devidas são características do </w:t>
      </w:r>
      <w:proofErr w:type="spellStart"/>
      <w:r>
        <w:rPr>
          <w:color w:val="000000"/>
        </w:rPr>
        <w:t>lawfare</w:t>
      </w:r>
      <w:proofErr w:type="spellEnd"/>
      <w:r>
        <w:rPr>
          <w:color w:val="000000"/>
        </w:rPr>
        <w:t xml:space="preserve"> e mereceriam ser discutidas em uma obra que pretende abordar dogmática e criticamente o tema da corrupção.</w:t>
      </w:r>
    </w:p>
    <w:p w14:paraId="5E8CD244" w14:textId="349D0D9B" w:rsidR="008C04CC" w:rsidRDefault="00303536" w:rsidP="00303536">
      <w:pPr>
        <w:pStyle w:val="NormalWeb"/>
        <w:jc w:val="both"/>
        <w:rPr>
          <w:color w:val="000000"/>
        </w:rPr>
      </w:pPr>
      <w:r>
        <w:rPr>
          <w:rStyle w:val="Forte"/>
          <w:rFonts w:eastAsiaTheme="majorEastAsia"/>
          <w:color w:val="000000"/>
        </w:rPr>
        <w:t>6. CONSIDERAÇÕES FINAIS</w:t>
      </w:r>
    </w:p>
    <w:p w14:paraId="5B6B62B4"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“Aproximação a uma teoria da corrupção” é um texto sofisticado e relevante para o debate penal contemporâneo, notadamente por sua tentativa de delimitar, com rigor dogmático, os contornos do injusto penal da corrupção. A distinção entre corrupção simples e funcional, a crítica ao moralismo e a defesa de critérios objetivos são contribuições valiosas.</w:t>
      </w:r>
    </w:p>
    <w:p w14:paraId="41B671BA"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 xml:space="preserve">Entretanto, o texto incorre em um tecnicismo que ignora dimensões essenciais do fenômeno da corrupção, especialmente no contexto brasileiro, marcado por tensões democráticas, judicialização da política e uso instrumental do direito penal. O caso do </w:t>
      </w:r>
      <w:r>
        <w:rPr>
          <w:color w:val="000000"/>
        </w:rPr>
        <w:lastRenderedPageBreak/>
        <w:t>Mensalão, ao ser tratado de forma superficial, deixa de cumprir seu papel paradigmático e de iluminar os riscos de uma atuação judicial sem os freios adequados.</w:t>
      </w:r>
    </w:p>
    <w:p w14:paraId="0F35BA59" w14:textId="77777777" w:rsidR="008C04CC" w:rsidRDefault="008C04CC" w:rsidP="00303536">
      <w:pPr>
        <w:pStyle w:val="NormalWeb"/>
        <w:spacing w:before="0" w:beforeAutospacing="0" w:after="0" w:afterAutospacing="0" w:line="360" w:lineRule="auto"/>
        <w:ind w:firstLine="709"/>
        <w:jc w:val="both"/>
        <w:rPr>
          <w:color w:val="000000"/>
        </w:rPr>
      </w:pPr>
      <w:r>
        <w:rPr>
          <w:color w:val="000000"/>
        </w:rPr>
        <w:t>Dessa forma, a obra de Greco e Teixeira deve ser lida como uma base para reflexão, mas não como um ponto de chegada. Seu valor está em abrir caminhos, mas os percursos críticos necessários para a compreensão plena e justa da corrupção ainda exigem articulação entre teoria penal, análise política, história institucional e compromisso com o Estado Democrático de Direito.</w:t>
      </w:r>
    </w:p>
    <w:p w14:paraId="3C8611FF" w14:textId="77777777" w:rsidR="00303536" w:rsidRDefault="00303536" w:rsidP="00303536">
      <w:pPr>
        <w:pStyle w:val="NormalWeb"/>
        <w:jc w:val="both"/>
        <w:rPr>
          <w:color w:val="000000"/>
        </w:rPr>
      </w:pPr>
    </w:p>
    <w:p w14:paraId="3D2A7909" w14:textId="30CD6AA0" w:rsidR="00303536" w:rsidRDefault="00303536" w:rsidP="00303536">
      <w:pPr>
        <w:pStyle w:val="NormalWeb"/>
        <w:jc w:val="both"/>
        <w:rPr>
          <w:color w:val="000000"/>
        </w:rPr>
      </w:pPr>
      <w:r>
        <w:rPr>
          <w:color w:val="000000"/>
        </w:rPr>
        <w:br w:type="page"/>
      </w:r>
    </w:p>
    <w:p w14:paraId="7ADF53E3" w14:textId="0E764DBC" w:rsidR="00303536" w:rsidRDefault="00303536" w:rsidP="00303536">
      <w:pPr>
        <w:pStyle w:val="NormalWeb"/>
        <w:jc w:val="both"/>
        <w:rPr>
          <w:rStyle w:val="Forte"/>
          <w:rFonts w:eastAsiaTheme="majorEastAsia"/>
          <w:color w:val="000000"/>
        </w:rPr>
      </w:pPr>
      <w:r>
        <w:rPr>
          <w:rStyle w:val="Forte"/>
          <w:rFonts w:eastAsiaTheme="majorEastAsia"/>
          <w:color w:val="000000"/>
        </w:rPr>
        <w:lastRenderedPageBreak/>
        <w:t xml:space="preserve">REFERÊNCIA </w:t>
      </w:r>
    </w:p>
    <w:p w14:paraId="64A217BC" w14:textId="77777777" w:rsidR="00303536" w:rsidRDefault="00303536" w:rsidP="00303536">
      <w:pPr>
        <w:pStyle w:val="NormalWeb"/>
        <w:jc w:val="both"/>
        <w:rPr>
          <w:color w:val="000000"/>
        </w:rPr>
      </w:pPr>
      <w:r>
        <w:rPr>
          <w:color w:val="000000"/>
        </w:rPr>
        <w:t xml:space="preserve">GRECO, Luís; TEIXEIRA, Adriano. Aproximação a uma teoria da corrupção. In: DODT, Gustavo Henrique Righi </w:t>
      </w:r>
      <w:proofErr w:type="spellStart"/>
      <w:r>
        <w:rPr>
          <w:color w:val="000000"/>
        </w:rPr>
        <w:t>Ivahy</w:t>
      </w:r>
      <w:proofErr w:type="spellEnd"/>
      <w:r>
        <w:rPr>
          <w:color w:val="000000"/>
        </w:rPr>
        <w:t xml:space="preserve"> Badaró; FERNANDES, </w:t>
      </w:r>
      <w:proofErr w:type="spellStart"/>
      <w:r>
        <w:rPr>
          <w:color w:val="000000"/>
        </w:rPr>
        <w:t>Antonio</w:t>
      </w:r>
      <w:proofErr w:type="spellEnd"/>
      <w:r>
        <w:rPr>
          <w:color w:val="000000"/>
        </w:rPr>
        <w:t xml:space="preserve"> </w:t>
      </w:r>
      <w:proofErr w:type="spellStart"/>
      <w:r>
        <w:rPr>
          <w:color w:val="000000"/>
        </w:rPr>
        <w:t>Scarance</w:t>
      </w:r>
      <w:proofErr w:type="spellEnd"/>
      <w:r>
        <w:rPr>
          <w:color w:val="000000"/>
        </w:rPr>
        <w:t xml:space="preserve"> (org.).</w:t>
      </w:r>
      <w:r>
        <w:rPr>
          <w:rStyle w:val="apple-converted-space"/>
          <w:rFonts w:eastAsiaTheme="majorEastAsia"/>
          <w:color w:val="000000"/>
        </w:rPr>
        <w:t> </w:t>
      </w:r>
      <w:r>
        <w:rPr>
          <w:rStyle w:val="nfase"/>
          <w:rFonts w:eastAsiaTheme="majorEastAsia"/>
          <w:color w:val="000000"/>
        </w:rPr>
        <w:t>Crime e Política</w:t>
      </w:r>
      <w:r>
        <w:rPr>
          <w:color w:val="000000"/>
        </w:rPr>
        <w:t>. São Paulo: Revista dos Tribunais, 2022. p. 215-252.</w:t>
      </w:r>
    </w:p>
    <w:p w14:paraId="538044E1" w14:textId="77777777" w:rsidR="00303536" w:rsidRDefault="00303536" w:rsidP="00303536">
      <w:pPr>
        <w:pStyle w:val="NormalWeb"/>
        <w:jc w:val="both"/>
        <w:rPr>
          <w:color w:val="000000"/>
        </w:rPr>
      </w:pPr>
    </w:p>
    <w:p w14:paraId="4AF8229A" w14:textId="77777777" w:rsidR="00FF3143" w:rsidRDefault="00FF3143" w:rsidP="00303536">
      <w:pPr>
        <w:jc w:val="both"/>
      </w:pPr>
    </w:p>
    <w:sectPr w:rsidR="00FF31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4CC"/>
    <w:rsid w:val="0007674F"/>
    <w:rsid w:val="00303536"/>
    <w:rsid w:val="003102A3"/>
    <w:rsid w:val="007847AC"/>
    <w:rsid w:val="008C04CC"/>
    <w:rsid w:val="00C34223"/>
    <w:rsid w:val="00D856BC"/>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F2CB"/>
  <w15:chartTrackingRefBased/>
  <w15:docId w15:val="{82CF8BA0-76F2-7549-B7A8-4E1F07E6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C0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C0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C04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C04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C04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C04C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C04C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C04C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C04CC"/>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C04C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C04C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C04C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C04C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C04C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C04C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C04C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C04C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C04CC"/>
    <w:rPr>
      <w:rFonts w:eastAsiaTheme="majorEastAsia" w:cstheme="majorBidi"/>
      <w:color w:val="272727" w:themeColor="text1" w:themeTint="D8"/>
    </w:rPr>
  </w:style>
  <w:style w:type="paragraph" w:styleId="Ttulo">
    <w:name w:val="Title"/>
    <w:basedOn w:val="Normal"/>
    <w:next w:val="Normal"/>
    <w:link w:val="TtuloChar"/>
    <w:uiPriority w:val="10"/>
    <w:qFormat/>
    <w:rsid w:val="008C04CC"/>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C04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C04CC"/>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C04C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C04CC"/>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8C04CC"/>
    <w:rPr>
      <w:i/>
      <w:iCs/>
      <w:color w:val="404040" w:themeColor="text1" w:themeTint="BF"/>
    </w:rPr>
  </w:style>
  <w:style w:type="paragraph" w:styleId="PargrafodaLista">
    <w:name w:val="List Paragraph"/>
    <w:basedOn w:val="Normal"/>
    <w:uiPriority w:val="34"/>
    <w:qFormat/>
    <w:rsid w:val="008C04CC"/>
    <w:pPr>
      <w:ind w:left="720"/>
      <w:contextualSpacing/>
    </w:pPr>
  </w:style>
  <w:style w:type="character" w:styleId="nfaseIntensa">
    <w:name w:val="Intense Emphasis"/>
    <w:basedOn w:val="Fontepargpadro"/>
    <w:uiPriority w:val="21"/>
    <w:qFormat/>
    <w:rsid w:val="008C04CC"/>
    <w:rPr>
      <w:i/>
      <w:iCs/>
      <w:color w:val="0F4761" w:themeColor="accent1" w:themeShade="BF"/>
    </w:rPr>
  </w:style>
  <w:style w:type="paragraph" w:styleId="CitaoIntensa">
    <w:name w:val="Intense Quote"/>
    <w:basedOn w:val="Normal"/>
    <w:next w:val="Normal"/>
    <w:link w:val="CitaoIntensaChar"/>
    <w:uiPriority w:val="30"/>
    <w:qFormat/>
    <w:rsid w:val="008C0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C04CC"/>
    <w:rPr>
      <w:i/>
      <w:iCs/>
      <w:color w:val="0F4761" w:themeColor="accent1" w:themeShade="BF"/>
    </w:rPr>
  </w:style>
  <w:style w:type="character" w:styleId="RefernciaIntensa">
    <w:name w:val="Intense Reference"/>
    <w:basedOn w:val="Fontepargpadro"/>
    <w:uiPriority w:val="32"/>
    <w:qFormat/>
    <w:rsid w:val="008C04CC"/>
    <w:rPr>
      <w:b/>
      <w:bCs/>
      <w:smallCaps/>
      <w:color w:val="0F4761" w:themeColor="accent1" w:themeShade="BF"/>
      <w:spacing w:val="5"/>
    </w:rPr>
  </w:style>
  <w:style w:type="paragraph" w:styleId="NormalWeb">
    <w:name w:val="Normal (Web)"/>
    <w:basedOn w:val="Normal"/>
    <w:uiPriority w:val="99"/>
    <w:semiHidden/>
    <w:unhideWhenUsed/>
    <w:rsid w:val="008C04CC"/>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8C04CC"/>
    <w:rPr>
      <w:b/>
      <w:bCs/>
    </w:rPr>
  </w:style>
  <w:style w:type="character" w:customStyle="1" w:styleId="apple-converted-space">
    <w:name w:val="apple-converted-space"/>
    <w:basedOn w:val="Fontepargpadro"/>
    <w:rsid w:val="008C04CC"/>
  </w:style>
  <w:style w:type="character" w:styleId="nfase">
    <w:name w:val="Emphasis"/>
    <w:basedOn w:val="Fontepargpadro"/>
    <w:uiPriority w:val="20"/>
    <w:qFormat/>
    <w:rsid w:val="008C04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68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1187</Words>
  <Characters>6414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Ana Karolline Soares Alves</cp:lastModifiedBy>
  <cp:revision>2</cp:revision>
  <dcterms:created xsi:type="dcterms:W3CDTF">2025-05-20T13:12:00Z</dcterms:created>
  <dcterms:modified xsi:type="dcterms:W3CDTF">2025-05-23T17:02:00Z</dcterms:modified>
</cp:coreProperties>
</file>