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71322" w14:textId="77777777" w:rsidR="00B068A7" w:rsidRPr="00B068A7" w:rsidRDefault="00B068A7" w:rsidP="00B068A7">
      <w:pPr>
        <w:spacing w:before="100" w:beforeAutospacing="1" w:after="100" w:afterAutospacing="1"/>
        <w:jc w:val="center"/>
        <w:outlineLvl w:val="0"/>
        <w:rPr>
          <w:rFonts w:ascii="Times New Roman" w:eastAsia="Times New Roman" w:hAnsi="Times New Roman" w:cs="Times New Roman"/>
          <w:b/>
          <w:bCs/>
          <w:color w:val="000000"/>
          <w:kern w:val="36"/>
          <w:lang w:val="en-US" w:eastAsia="pt-BR"/>
          <w14:ligatures w14:val="none"/>
        </w:rPr>
      </w:pPr>
      <w:proofErr w:type="spellStart"/>
      <w:r w:rsidRPr="00B068A7">
        <w:rPr>
          <w:rFonts w:ascii="Times New Roman" w:eastAsia="Times New Roman" w:hAnsi="Times New Roman" w:cs="Times New Roman"/>
          <w:b/>
          <w:bCs/>
          <w:color w:val="000000"/>
          <w:kern w:val="36"/>
          <w:lang w:val="en-US" w:eastAsia="pt-BR"/>
          <w14:ligatures w14:val="none"/>
        </w:rPr>
        <w:t>Resenha</w:t>
      </w:r>
      <w:proofErr w:type="spellEnd"/>
      <w:r w:rsidRPr="00B068A7">
        <w:rPr>
          <w:rFonts w:ascii="Times New Roman" w:eastAsia="Times New Roman" w:hAnsi="Times New Roman" w:cs="Times New Roman"/>
          <w:b/>
          <w:bCs/>
          <w:color w:val="000000"/>
          <w:kern w:val="36"/>
          <w:lang w:val="en-US" w:eastAsia="pt-BR"/>
          <w14:ligatures w14:val="none"/>
        </w:rPr>
        <w:t xml:space="preserve"> </w:t>
      </w:r>
      <w:proofErr w:type="spellStart"/>
      <w:r w:rsidRPr="00B068A7">
        <w:rPr>
          <w:rFonts w:ascii="Times New Roman" w:eastAsia="Times New Roman" w:hAnsi="Times New Roman" w:cs="Times New Roman"/>
          <w:b/>
          <w:bCs/>
          <w:color w:val="000000"/>
          <w:kern w:val="36"/>
          <w:lang w:val="en-US" w:eastAsia="pt-BR"/>
          <w14:ligatures w14:val="none"/>
        </w:rPr>
        <w:t>Crítica</w:t>
      </w:r>
      <w:proofErr w:type="spellEnd"/>
      <w:r w:rsidRPr="00B068A7">
        <w:rPr>
          <w:rFonts w:ascii="Times New Roman" w:eastAsia="Times New Roman" w:hAnsi="Times New Roman" w:cs="Times New Roman"/>
          <w:b/>
          <w:bCs/>
          <w:color w:val="000000"/>
          <w:kern w:val="36"/>
          <w:lang w:val="en-US" w:eastAsia="pt-BR"/>
          <w14:ligatures w14:val="none"/>
        </w:rPr>
        <w:t>: </w:t>
      </w:r>
      <w:r w:rsidRPr="00B068A7">
        <w:rPr>
          <w:rFonts w:ascii="Times New Roman" w:eastAsia="Times New Roman" w:hAnsi="Times New Roman" w:cs="Times New Roman"/>
          <w:b/>
          <w:bCs/>
          <w:i/>
          <w:iCs/>
          <w:color w:val="000000"/>
          <w:kern w:val="36"/>
          <w:lang w:val="en-US" w:eastAsia="pt-BR"/>
          <w14:ligatures w14:val="none"/>
        </w:rPr>
        <w:t>The Academy Bulletin</w:t>
      </w:r>
      <w:r w:rsidRPr="00B068A7">
        <w:rPr>
          <w:rFonts w:ascii="Times New Roman" w:eastAsia="Times New Roman" w:hAnsi="Times New Roman" w:cs="Times New Roman"/>
          <w:b/>
          <w:bCs/>
          <w:color w:val="000000"/>
          <w:kern w:val="36"/>
          <w:lang w:val="en-US" w:eastAsia="pt-BR"/>
          <w14:ligatures w14:val="none"/>
        </w:rPr>
        <w:t> – Issue 4, Fall 2024</w:t>
      </w:r>
    </w:p>
    <w:p w14:paraId="1D1D6FEF" w14:textId="59C3615B" w:rsidR="00B068A7" w:rsidRPr="00B068A7" w:rsidRDefault="00B068A7" w:rsidP="00B068A7">
      <w:pPr>
        <w:spacing w:before="100" w:beforeAutospacing="1" w:after="100" w:afterAutospacing="1"/>
        <w:jc w:val="right"/>
        <w:outlineLvl w:val="0"/>
        <w:rPr>
          <w:rFonts w:ascii="Times New Roman" w:eastAsia="Times New Roman" w:hAnsi="Times New Roman" w:cs="Times New Roman"/>
          <w:b/>
          <w:bCs/>
          <w:color w:val="000000"/>
          <w:kern w:val="36"/>
          <w:lang w:eastAsia="pt-BR"/>
          <w14:ligatures w14:val="none"/>
        </w:rPr>
      </w:pPr>
      <w:r w:rsidRPr="00B068A7">
        <w:rPr>
          <w:rFonts w:ascii="Times New Roman" w:eastAsia="Times New Roman" w:hAnsi="Times New Roman" w:cs="Times New Roman"/>
          <w:b/>
          <w:bCs/>
          <w:color w:val="000000"/>
          <w:kern w:val="36"/>
          <w:lang w:eastAsia="pt-BR"/>
          <w14:ligatures w14:val="none"/>
        </w:rPr>
        <w:t>Por: Pedro Paulo H</w:t>
      </w:r>
      <w:r>
        <w:rPr>
          <w:rFonts w:ascii="Times New Roman" w:eastAsia="Times New Roman" w:hAnsi="Times New Roman" w:cs="Times New Roman"/>
          <w:b/>
          <w:bCs/>
          <w:color w:val="000000"/>
          <w:kern w:val="36"/>
          <w:lang w:eastAsia="pt-BR"/>
          <w14:ligatures w14:val="none"/>
        </w:rPr>
        <w:t>enrichs Neto</w:t>
      </w:r>
    </w:p>
    <w:p w14:paraId="4F75F49D" w14:textId="09A27F70" w:rsidR="00B068A7" w:rsidRPr="00B068A7" w:rsidRDefault="00B068A7" w:rsidP="00B068A7">
      <w:pPr>
        <w:spacing w:before="100" w:beforeAutospacing="1" w:after="100" w:afterAutospacing="1"/>
        <w:outlineLvl w:val="1"/>
        <w:rPr>
          <w:rFonts w:ascii="Times New Roman" w:eastAsia="Times New Roman" w:hAnsi="Times New Roman" w:cs="Times New Roman"/>
          <w:b/>
          <w:bCs/>
          <w:color w:val="000000"/>
          <w:kern w:val="0"/>
          <w:lang w:eastAsia="pt-BR"/>
          <w14:ligatures w14:val="none"/>
        </w:rPr>
      </w:pPr>
      <w:r w:rsidRPr="00B068A7">
        <w:rPr>
          <w:rFonts w:ascii="Times New Roman" w:eastAsia="Times New Roman" w:hAnsi="Times New Roman" w:cs="Times New Roman"/>
          <w:b/>
          <w:bCs/>
          <w:color w:val="000000"/>
          <w:kern w:val="0"/>
          <w:lang w:eastAsia="pt-BR"/>
          <w14:ligatures w14:val="none"/>
        </w:rPr>
        <w:t>1. INTRODUÇÃO</w:t>
      </w:r>
    </w:p>
    <w:p w14:paraId="7B360F23"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A quarta edição do </w:t>
      </w:r>
      <w:r w:rsidRPr="00B068A7">
        <w:rPr>
          <w:rFonts w:ascii="Times New Roman" w:eastAsia="Times New Roman" w:hAnsi="Times New Roman" w:cs="Times New Roman"/>
          <w:i/>
          <w:iCs/>
          <w:color w:val="000000"/>
          <w:kern w:val="0"/>
          <w:lang w:eastAsia="pt-BR"/>
          <w14:ligatures w14:val="none"/>
        </w:rPr>
        <w:t xml:space="preserve">The </w:t>
      </w:r>
      <w:proofErr w:type="spellStart"/>
      <w:r w:rsidRPr="00B068A7">
        <w:rPr>
          <w:rFonts w:ascii="Times New Roman" w:eastAsia="Times New Roman" w:hAnsi="Times New Roman" w:cs="Times New Roman"/>
          <w:i/>
          <w:iCs/>
          <w:color w:val="000000"/>
          <w:kern w:val="0"/>
          <w:lang w:eastAsia="pt-BR"/>
          <w14:ligatures w14:val="none"/>
        </w:rPr>
        <w:t>Academy</w:t>
      </w:r>
      <w:proofErr w:type="spellEnd"/>
      <w:r w:rsidRPr="00B068A7">
        <w:rPr>
          <w:rFonts w:ascii="Times New Roman" w:eastAsia="Times New Roman" w:hAnsi="Times New Roman" w:cs="Times New Roman"/>
          <w:i/>
          <w:iCs/>
          <w:color w:val="000000"/>
          <w:kern w:val="0"/>
          <w:lang w:eastAsia="pt-BR"/>
          <w14:ligatures w14:val="none"/>
        </w:rPr>
        <w:t xml:space="preserve"> Bulletin</w:t>
      </w:r>
      <w:r w:rsidRPr="00B068A7">
        <w:rPr>
          <w:rFonts w:ascii="Times New Roman" w:eastAsia="Times New Roman" w:hAnsi="Times New Roman" w:cs="Times New Roman"/>
          <w:color w:val="000000"/>
          <w:kern w:val="0"/>
          <w:lang w:eastAsia="pt-BR"/>
          <w14:ligatures w14:val="none"/>
        </w:rPr>
        <w:t>, publicação semestral da </w:t>
      </w:r>
      <w:proofErr w:type="spellStart"/>
      <w:r w:rsidRPr="00B068A7">
        <w:rPr>
          <w:rFonts w:ascii="Times New Roman" w:eastAsia="Times New Roman" w:hAnsi="Times New Roman" w:cs="Times New Roman"/>
          <w:i/>
          <w:iCs/>
          <w:color w:val="000000"/>
          <w:kern w:val="0"/>
          <w:lang w:eastAsia="pt-BR"/>
          <w14:ligatures w14:val="none"/>
        </w:rPr>
        <w:t>International</w:t>
      </w:r>
      <w:proofErr w:type="spellEnd"/>
      <w:r w:rsidRPr="00B068A7">
        <w:rPr>
          <w:rFonts w:ascii="Times New Roman" w:eastAsia="Times New Roman" w:hAnsi="Times New Roman" w:cs="Times New Roman"/>
          <w:i/>
          <w:iCs/>
          <w:color w:val="000000"/>
          <w:kern w:val="0"/>
          <w:lang w:eastAsia="pt-BR"/>
          <w14:ligatures w14:val="none"/>
        </w:rPr>
        <w:t xml:space="preserve"> </w:t>
      </w:r>
      <w:proofErr w:type="spellStart"/>
      <w:r w:rsidRPr="00B068A7">
        <w:rPr>
          <w:rFonts w:ascii="Times New Roman" w:eastAsia="Times New Roman" w:hAnsi="Times New Roman" w:cs="Times New Roman"/>
          <w:i/>
          <w:iCs/>
          <w:color w:val="000000"/>
          <w:kern w:val="0"/>
          <w:lang w:eastAsia="pt-BR"/>
          <w14:ligatures w14:val="none"/>
        </w:rPr>
        <w:t>Academy</w:t>
      </w:r>
      <w:proofErr w:type="spellEnd"/>
      <w:r w:rsidRPr="00B068A7">
        <w:rPr>
          <w:rFonts w:ascii="Times New Roman" w:eastAsia="Times New Roman" w:hAnsi="Times New Roman" w:cs="Times New Roman"/>
          <w:i/>
          <w:iCs/>
          <w:color w:val="000000"/>
          <w:kern w:val="0"/>
          <w:lang w:eastAsia="pt-BR"/>
          <w14:ligatures w14:val="none"/>
        </w:rPr>
        <w:t xml:space="preserve"> </w:t>
      </w:r>
      <w:proofErr w:type="spellStart"/>
      <w:r w:rsidRPr="00B068A7">
        <w:rPr>
          <w:rFonts w:ascii="Times New Roman" w:eastAsia="Times New Roman" w:hAnsi="Times New Roman" w:cs="Times New Roman"/>
          <w:i/>
          <w:iCs/>
          <w:color w:val="000000"/>
          <w:kern w:val="0"/>
          <w:lang w:eastAsia="pt-BR"/>
          <w14:ligatures w14:val="none"/>
        </w:rPr>
        <w:t>of</w:t>
      </w:r>
      <w:proofErr w:type="spellEnd"/>
      <w:r w:rsidRPr="00B068A7">
        <w:rPr>
          <w:rFonts w:ascii="Times New Roman" w:eastAsia="Times New Roman" w:hAnsi="Times New Roman" w:cs="Times New Roman"/>
          <w:i/>
          <w:iCs/>
          <w:color w:val="000000"/>
          <w:kern w:val="0"/>
          <w:lang w:eastAsia="pt-BR"/>
          <w14:ligatures w14:val="none"/>
        </w:rPr>
        <w:t xml:space="preserve"> Financial Crime </w:t>
      </w:r>
      <w:proofErr w:type="spellStart"/>
      <w:r w:rsidRPr="00B068A7">
        <w:rPr>
          <w:rFonts w:ascii="Times New Roman" w:eastAsia="Times New Roman" w:hAnsi="Times New Roman" w:cs="Times New Roman"/>
          <w:i/>
          <w:iCs/>
          <w:color w:val="000000"/>
          <w:kern w:val="0"/>
          <w:lang w:eastAsia="pt-BR"/>
          <w14:ligatures w14:val="none"/>
        </w:rPr>
        <w:t>Litigators</w:t>
      </w:r>
      <w:proofErr w:type="spellEnd"/>
      <w:r w:rsidRPr="00B068A7">
        <w:rPr>
          <w:rFonts w:ascii="Times New Roman" w:eastAsia="Times New Roman" w:hAnsi="Times New Roman" w:cs="Times New Roman"/>
          <w:color w:val="000000"/>
          <w:kern w:val="0"/>
          <w:lang w:eastAsia="pt-BR"/>
          <w14:ligatures w14:val="none"/>
        </w:rPr>
        <w:t>, traz uma seleção robusta de artigos voltados à análise de crimes financeiros em contexto global. A edição foca em temas como corrupção, financiamento do terrorismo, recuperação de ativos, e os desafios legais de distinguir influência legítima de práticas ilícitas em democracias contemporâneas. Apesar da relevância jurídica e política dos textos, a publicação apresenta limitações notáveis, sobretudo por negligenciar contradições flagrantes no comportamento de determinados Estados.</w:t>
      </w:r>
    </w:p>
    <w:p w14:paraId="63EFA554"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Este é particularmente o caso de Israel, cuja atuação histórica no financiamento de grupos armados, como o Hamas, e sua seletiva aplicação de leis antiterrorismo, revelam um padrão de hipocrisia geopolítica raramente abordado com a profundidade necessária por revistas jurídicas ocidentais. O </w:t>
      </w:r>
      <w:r w:rsidRPr="00B068A7">
        <w:rPr>
          <w:rFonts w:ascii="Times New Roman" w:eastAsia="Times New Roman" w:hAnsi="Times New Roman" w:cs="Times New Roman"/>
          <w:i/>
          <w:iCs/>
          <w:color w:val="000000"/>
          <w:kern w:val="0"/>
          <w:lang w:eastAsia="pt-BR"/>
          <w14:ligatures w14:val="none"/>
        </w:rPr>
        <w:t>Bulletin</w:t>
      </w:r>
      <w:r w:rsidRPr="00B068A7">
        <w:rPr>
          <w:rFonts w:ascii="Times New Roman" w:eastAsia="Times New Roman" w:hAnsi="Times New Roman" w:cs="Times New Roman"/>
          <w:color w:val="000000"/>
          <w:kern w:val="0"/>
          <w:lang w:eastAsia="pt-BR"/>
          <w14:ligatures w14:val="none"/>
        </w:rPr>
        <w:t> acerta ao elevar o debate técnico, mas peca ao blindar certas potências de uma análise crítica mais incisiva. Esta resenha visa, portanto, não apenas destacar os méritos dos artigos publicados, mas também tensionar as ausências estruturais, os silêncios editoriais e os duplos padrões evidentes na abordagem geopolítica.</w:t>
      </w:r>
    </w:p>
    <w:p w14:paraId="7BA66BD7" w14:textId="509E8FF3" w:rsidR="00B068A7" w:rsidRPr="00B068A7" w:rsidRDefault="00B068A7" w:rsidP="00B068A7">
      <w:pPr>
        <w:rPr>
          <w:rFonts w:ascii="Times New Roman" w:eastAsia="Times New Roman" w:hAnsi="Times New Roman" w:cs="Times New Roman"/>
          <w:kern w:val="0"/>
          <w:lang w:eastAsia="pt-BR"/>
          <w14:ligatures w14:val="none"/>
        </w:rPr>
      </w:pPr>
    </w:p>
    <w:p w14:paraId="3A841FA0" w14:textId="450696C8" w:rsidR="00B068A7" w:rsidRPr="00B068A7" w:rsidRDefault="00B068A7" w:rsidP="00B068A7">
      <w:pPr>
        <w:spacing w:before="100" w:beforeAutospacing="1" w:after="100" w:afterAutospacing="1"/>
        <w:outlineLvl w:val="1"/>
        <w:rPr>
          <w:rFonts w:ascii="Times New Roman" w:eastAsia="Times New Roman" w:hAnsi="Times New Roman" w:cs="Times New Roman"/>
          <w:b/>
          <w:bCs/>
          <w:color w:val="000000"/>
          <w:kern w:val="0"/>
          <w:lang w:eastAsia="pt-BR"/>
          <w14:ligatures w14:val="none"/>
        </w:rPr>
      </w:pPr>
      <w:r w:rsidRPr="00B068A7">
        <w:rPr>
          <w:rFonts w:ascii="Times New Roman" w:eastAsia="Times New Roman" w:hAnsi="Times New Roman" w:cs="Times New Roman"/>
          <w:b/>
          <w:bCs/>
          <w:color w:val="000000"/>
          <w:kern w:val="0"/>
          <w:lang w:eastAsia="pt-BR"/>
          <w14:ligatures w14:val="none"/>
        </w:rPr>
        <w:t>2. ANÁLISE DOS ARTIGOS</w:t>
      </w:r>
    </w:p>
    <w:p w14:paraId="79BE1503" w14:textId="77777777" w:rsidR="00B068A7" w:rsidRPr="00B068A7" w:rsidRDefault="00B068A7" w:rsidP="00B068A7">
      <w:pPr>
        <w:spacing w:before="100" w:beforeAutospacing="1" w:after="100" w:afterAutospacing="1"/>
        <w:outlineLvl w:val="2"/>
        <w:rPr>
          <w:rFonts w:ascii="Times New Roman" w:eastAsia="Times New Roman" w:hAnsi="Times New Roman" w:cs="Times New Roman"/>
          <w:b/>
          <w:bCs/>
          <w:color w:val="000000"/>
          <w:kern w:val="0"/>
          <w:lang w:eastAsia="pt-BR"/>
          <w14:ligatures w14:val="none"/>
        </w:rPr>
      </w:pPr>
      <w:r w:rsidRPr="00B068A7">
        <w:rPr>
          <w:rFonts w:ascii="Times New Roman" w:eastAsia="Times New Roman" w:hAnsi="Times New Roman" w:cs="Times New Roman"/>
          <w:b/>
          <w:bCs/>
          <w:color w:val="000000"/>
          <w:kern w:val="0"/>
          <w:lang w:eastAsia="pt-BR"/>
          <w14:ligatures w14:val="none"/>
        </w:rPr>
        <w:t>2.1. O FCPA aos 50 anos: avanços e contradições</w:t>
      </w:r>
    </w:p>
    <w:p w14:paraId="0C3916C5"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Andrew T. Wise oferece uma análise histórica do </w:t>
      </w:r>
      <w:proofErr w:type="spellStart"/>
      <w:r w:rsidRPr="00B068A7">
        <w:rPr>
          <w:rFonts w:ascii="Times New Roman" w:eastAsia="Times New Roman" w:hAnsi="Times New Roman" w:cs="Times New Roman"/>
          <w:i/>
          <w:iCs/>
          <w:color w:val="000000"/>
          <w:kern w:val="0"/>
          <w:lang w:eastAsia="pt-BR"/>
          <w14:ligatures w14:val="none"/>
        </w:rPr>
        <w:t>Foreign</w:t>
      </w:r>
      <w:proofErr w:type="spellEnd"/>
      <w:r w:rsidRPr="00B068A7">
        <w:rPr>
          <w:rFonts w:ascii="Times New Roman" w:eastAsia="Times New Roman" w:hAnsi="Times New Roman" w:cs="Times New Roman"/>
          <w:i/>
          <w:iCs/>
          <w:color w:val="000000"/>
          <w:kern w:val="0"/>
          <w:lang w:eastAsia="pt-BR"/>
          <w14:ligatures w14:val="none"/>
        </w:rPr>
        <w:t xml:space="preserve"> </w:t>
      </w:r>
      <w:proofErr w:type="spellStart"/>
      <w:r w:rsidRPr="00B068A7">
        <w:rPr>
          <w:rFonts w:ascii="Times New Roman" w:eastAsia="Times New Roman" w:hAnsi="Times New Roman" w:cs="Times New Roman"/>
          <w:i/>
          <w:iCs/>
          <w:color w:val="000000"/>
          <w:kern w:val="0"/>
          <w:lang w:eastAsia="pt-BR"/>
          <w14:ligatures w14:val="none"/>
        </w:rPr>
        <w:t>Corrupt</w:t>
      </w:r>
      <w:proofErr w:type="spellEnd"/>
      <w:r w:rsidRPr="00B068A7">
        <w:rPr>
          <w:rFonts w:ascii="Times New Roman" w:eastAsia="Times New Roman" w:hAnsi="Times New Roman" w:cs="Times New Roman"/>
          <w:i/>
          <w:iCs/>
          <w:color w:val="000000"/>
          <w:kern w:val="0"/>
          <w:lang w:eastAsia="pt-BR"/>
          <w14:ligatures w14:val="none"/>
        </w:rPr>
        <w:t xml:space="preserve"> </w:t>
      </w:r>
      <w:proofErr w:type="spellStart"/>
      <w:r w:rsidRPr="00B068A7">
        <w:rPr>
          <w:rFonts w:ascii="Times New Roman" w:eastAsia="Times New Roman" w:hAnsi="Times New Roman" w:cs="Times New Roman"/>
          <w:i/>
          <w:iCs/>
          <w:color w:val="000000"/>
          <w:kern w:val="0"/>
          <w:lang w:eastAsia="pt-BR"/>
          <w14:ligatures w14:val="none"/>
        </w:rPr>
        <w:t>Practices</w:t>
      </w:r>
      <w:proofErr w:type="spellEnd"/>
      <w:r w:rsidRPr="00B068A7">
        <w:rPr>
          <w:rFonts w:ascii="Times New Roman" w:eastAsia="Times New Roman" w:hAnsi="Times New Roman" w:cs="Times New Roman"/>
          <w:i/>
          <w:iCs/>
          <w:color w:val="000000"/>
          <w:kern w:val="0"/>
          <w:lang w:eastAsia="pt-BR"/>
          <w14:ligatures w14:val="none"/>
        </w:rPr>
        <w:t xml:space="preserve"> </w:t>
      </w:r>
      <w:proofErr w:type="spellStart"/>
      <w:r w:rsidRPr="00B068A7">
        <w:rPr>
          <w:rFonts w:ascii="Times New Roman" w:eastAsia="Times New Roman" w:hAnsi="Times New Roman" w:cs="Times New Roman"/>
          <w:i/>
          <w:iCs/>
          <w:color w:val="000000"/>
          <w:kern w:val="0"/>
          <w:lang w:eastAsia="pt-BR"/>
          <w14:ligatures w14:val="none"/>
        </w:rPr>
        <w:t>Act</w:t>
      </w:r>
      <w:proofErr w:type="spellEnd"/>
      <w:r w:rsidRPr="00B068A7">
        <w:rPr>
          <w:rFonts w:ascii="Times New Roman" w:eastAsia="Times New Roman" w:hAnsi="Times New Roman" w:cs="Times New Roman"/>
          <w:color w:val="000000"/>
          <w:kern w:val="0"/>
          <w:lang w:eastAsia="pt-BR"/>
          <w14:ligatures w14:val="none"/>
        </w:rPr>
        <w:t> (FCPA), destacando sua importância para a institucionalização de práticas de </w:t>
      </w:r>
      <w:r w:rsidRPr="00B068A7">
        <w:rPr>
          <w:rFonts w:ascii="Times New Roman" w:eastAsia="Times New Roman" w:hAnsi="Times New Roman" w:cs="Times New Roman"/>
          <w:i/>
          <w:iCs/>
          <w:color w:val="000000"/>
          <w:kern w:val="0"/>
          <w:lang w:eastAsia="pt-BR"/>
          <w14:ligatures w14:val="none"/>
        </w:rPr>
        <w:t>compliance</w:t>
      </w:r>
      <w:r w:rsidRPr="00B068A7">
        <w:rPr>
          <w:rFonts w:ascii="Times New Roman" w:eastAsia="Times New Roman" w:hAnsi="Times New Roman" w:cs="Times New Roman"/>
          <w:color w:val="000000"/>
          <w:kern w:val="0"/>
          <w:lang w:eastAsia="pt-BR"/>
          <w14:ligatures w14:val="none"/>
        </w:rPr>
        <w:t> corporativo e para a promoção da ética nos negócios internacionais. O autor acerta ao evidenciar o impacto do caso </w:t>
      </w:r>
      <w:r w:rsidRPr="00B068A7">
        <w:rPr>
          <w:rFonts w:ascii="Times New Roman" w:eastAsia="Times New Roman" w:hAnsi="Times New Roman" w:cs="Times New Roman"/>
          <w:i/>
          <w:iCs/>
          <w:color w:val="000000"/>
          <w:kern w:val="0"/>
          <w:lang w:eastAsia="pt-BR"/>
          <w14:ligatures w14:val="none"/>
        </w:rPr>
        <w:t xml:space="preserve">United States v. </w:t>
      </w:r>
      <w:proofErr w:type="spellStart"/>
      <w:r w:rsidRPr="00B068A7">
        <w:rPr>
          <w:rFonts w:ascii="Times New Roman" w:eastAsia="Times New Roman" w:hAnsi="Times New Roman" w:cs="Times New Roman"/>
          <w:i/>
          <w:iCs/>
          <w:color w:val="000000"/>
          <w:kern w:val="0"/>
          <w:lang w:eastAsia="pt-BR"/>
          <w14:ligatures w14:val="none"/>
        </w:rPr>
        <w:t>Hoskins</w:t>
      </w:r>
      <w:proofErr w:type="spellEnd"/>
      <w:r w:rsidRPr="00B068A7">
        <w:rPr>
          <w:rFonts w:ascii="Times New Roman" w:eastAsia="Times New Roman" w:hAnsi="Times New Roman" w:cs="Times New Roman"/>
          <w:color w:val="000000"/>
          <w:kern w:val="0"/>
          <w:lang w:eastAsia="pt-BR"/>
          <w14:ligatures w14:val="none"/>
        </w:rPr>
        <w:t> na limitação da aplicação extraterritorial da norma, marcando um importante precedente jurídico. No entanto, a análise carece de profundidade crítica ao ignorar como o próprio sistema internacional de combate à corrupção pode ser instrumentalizado por potências hegemônicas.</w:t>
      </w:r>
    </w:p>
    <w:p w14:paraId="052B2EA7"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Um exemplo ilustrativo é o comportamento de empresas israelenses na África. Segundo o </w:t>
      </w:r>
      <w:r w:rsidRPr="00B068A7">
        <w:rPr>
          <w:rFonts w:ascii="Times New Roman" w:eastAsia="Times New Roman" w:hAnsi="Times New Roman" w:cs="Times New Roman"/>
          <w:i/>
          <w:iCs/>
          <w:color w:val="000000"/>
          <w:kern w:val="0"/>
          <w:lang w:eastAsia="pt-BR"/>
          <w14:ligatures w14:val="none"/>
        </w:rPr>
        <w:t>Washington Post</w:t>
      </w:r>
      <w:r w:rsidRPr="00B068A7">
        <w:rPr>
          <w:rFonts w:ascii="Times New Roman" w:eastAsia="Times New Roman" w:hAnsi="Times New Roman" w:cs="Times New Roman"/>
          <w:color w:val="000000"/>
          <w:kern w:val="0"/>
          <w:lang w:eastAsia="pt-BR"/>
          <w14:ligatures w14:val="none"/>
        </w:rPr>
        <w:t> (2020), diversas companhias com sede em Israel estariam envolvidas em esquemas de suborno e evasão de divisas, usando paraísos fiscais para mascarar transações ilícitas. O FCPA, com sua pretensa universalidade, permanece impotente frente a essas práticas quando perpetradas por aliados estratégicos dos EUA, evidenciando um duplo padrão na aplicação da lei anticorrupção.</w:t>
      </w:r>
    </w:p>
    <w:p w14:paraId="64A98127" w14:textId="77777777" w:rsidR="00B068A7" w:rsidRPr="00B068A7" w:rsidRDefault="00B068A7" w:rsidP="00B068A7">
      <w:pPr>
        <w:spacing w:before="100" w:beforeAutospacing="1" w:after="100" w:afterAutospacing="1"/>
        <w:outlineLvl w:val="2"/>
        <w:rPr>
          <w:rFonts w:ascii="Times New Roman" w:eastAsia="Times New Roman" w:hAnsi="Times New Roman" w:cs="Times New Roman"/>
          <w:b/>
          <w:bCs/>
          <w:color w:val="000000"/>
          <w:kern w:val="0"/>
          <w:lang w:eastAsia="pt-BR"/>
          <w14:ligatures w14:val="none"/>
        </w:rPr>
      </w:pPr>
      <w:r w:rsidRPr="00B068A7">
        <w:rPr>
          <w:rFonts w:ascii="Times New Roman" w:eastAsia="Times New Roman" w:hAnsi="Times New Roman" w:cs="Times New Roman"/>
          <w:b/>
          <w:bCs/>
          <w:color w:val="000000"/>
          <w:kern w:val="0"/>
          <w:lang w:eastAsia="pt-BR"/>
          <w14:ligatures w14:val="none"/>
        </w:rPr>
        <w:t>2.2. Doação política vs. suborno: a hipocrisia democrática</w:t>
      </w:r>
    </w:p>
    <w:p w14:paraId="55CC8FC1"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 xml:space="preserve">No artigo de Judith de Boer, há uma interessante exploração da fronteira ambígua entre financiamento político legítimo e corrupção disfarçada. Usando exemplos da Holanda, a </w:t>
      </w:r>
      <w:r w:rsidRPr="00B068A7">
        <w:rPr>
          <w:rFonts w:ascii="Times New Roman" w:eastAsia="Times New Roman" w:hAnsi="Times New Roman" w:cs="Times New Roman"/>
          <w:color w:val="000000"/>
          <w:kern w:val="0"/>
          <w:lang w:eastAsia="pt-BR"/>
          <w14:ligatures w14:val="none"/>
        </w:rPr>
        <w:lastRenderedPageBreak/>
        <w:t>autora aponta como interesses privados podem cooptar a democracia por meio de doações legais, porém eticamente questionáveis. A reflexão é válida, mas o escopo europeu limita seu potencial analítico.</w:t>
      </w:r>
    </w:p>
    <w:p w14:paraId="23B3D01B"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Não se menciona, por exemplo, o caso de Israel e o financiamento político que recebe de bilionários norte-americanos como Sheldon Adelson. A </w:t>
      </w:r>
      <w:proofErr w:type="spellStart"/>
      <w:r w:rsidRPr="00B068A7">
        <w:rPr>
          <w:rFonts w:ascii="Times New Roman" w:eastAsia="Times New Roman" w:hAnsi="Times New Roman" w:cs="Times New Roman"/>
          <w:i/>
          <w:iCs/>
          <w:color w:val="000000"/>
          <w:kern w:val="0"/>
          <w:lang w:eastAsia="pt-BR"/>
          <w14:ligatures w14:val="none"/>
        </w:rPr>
        <w:t>Transparency</w:t>
      </w:r>
      <w:proofErr w:type="spellEnd"/>
      <w:r w:rsidRPr="00B068A7">
        <w:rPr>
          <w:rFonts w:ascii="Times New Roman" w:eastAsia="Times New Roman" w:hAnsi="Times New Roman" w:cs="Times New Roman"/>
          <w:i/>
          <w:iCs/>
          <w:color w:val="000000"/>
          <w:kern w:val="0"/>
          <w:lang w:eastAsia="pt-BR"/>
          <w14:ligatures w14:val="none"/>
        </w:rPr>
        <w:t xml:space="preserve"> </w:t>
      </w:r>
      <w:proofErr w:type="spellStart"/>
      <w:r w:rsidRPr="00B068A7">
        <w:rPr>
          <w:rFonts w:ascii="Times New Roman" w:eastAsia="Times New Roman" w:hAnsi="Times New Roman" w:cs="Times New Roman"/>
          <w:i/>
          <w:iCs/>
          <w:color w:val="000000"/>
          <w:kern w:val="0"/>
          <w:lang w:eastAsia="pt-BR"/>
          <w14:ligatures w14:val="none"/>
        </w:rPr>
        <w:t>International</w:t>
      </w:r>
      <w:proofErr w:type="spellEnd"/>
      <w:r w:rsidRPr="00B068A7">
        <w:rPr>
          <w:rFonts w:ascii="Times New Roman" w:eastAsia="Times New Roman" w:hAnsi="Times New Roman" w:cs="Times New Roman"/>
          <w:color w:val="000000"/>
          <w:kern w:val="0"/>
          <w:lang w:eastAsia="pt-BR"/>
          <w14:ligatures w14:val="none"/>
        </w:rPr>
        <w:t> (2022) denunciou como essas doações privadas influenciaram diretamente a formulação de políticas públicas e decisões diplomáticas em Israel. Paralelamente, qualquer forma de financiamento oriundo da diáspora palestina é automaticamente classificado como “apoio ao terrorismo”, revelando o caráter seletivo e ideológico da aplicação das normas. O que é influência legítima para uns é subversão para outros, a depender do alinhamento geopolítico.</w:t>
      </w:r>
    </w:p>
    <w:p w14:paraId="4443725A" w14:textId="77777777" w:rsidR="00B068A7" w:rsidRPr="00B068A7" w:rsidRDefault="00B068A7" w:rsidP="00B068A7">
      <w:pPr>
        <w:spacing w:before="100" w:beforeAutospacing="1" w:after="100" w:afterAutospacing="1"/>
        <w:outlineLvl w:val="2"/>
        <w:rPr>
          <w:rFonts w:ascii="Times New Roman" w:eastAsia="Times New Roman" w:hAnsi="Times New Roman" w:cs="Times New Roman"/>
          <w:b/>
          <w:bCs/>
          <w:color w:val="000000"/>
          <w:kern w:val="0"/>
          <w:lang w:eastAsia="pt-BR"/>
          <w14:ligatures w14:val="none"/>
        </w:rPr>
      </w:pPr>
      <w:r w:rsidRPr="00B068A7">
        <w:rPr>
          <w:rFonts w:ascii="Times New Roman" w:eastAsia="Times New Roman" w:hAnsi="Times New Roman" w:cs="Times New Roman"/>
          <w:b/>
          <w:bCs/>
          <w:color w:val="000000"/>
          <w:kern w:val="0"/>
          <w:lang w:eastAsia="pt-BR"/>
          <w14:ligatures w14:val="none"/>
        </w:rPr>
        <w:t>2.3. Recuperação de ativos e cooperação internacional</w:t>
      </w:r>
    </w:p>
    <w:p w14:paraId="6A86B8AA"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 xml:space="preserve">Oscar </w:t>
      </w:r>
      <w:proofErr w:type="spellStart"/>
      <w:r w:rsidRPr="00B068A7">
        <w:rPr>
          <w:rFonts w:ascii="Times New Roman" w:eastAsia="Times New Roman" w:hAnsi="Times New Roman" w:cs="Times New Roman"/>
          <w:color w:val="000000"/>
          <w:kern w:val="0"/>
          <w:lang w:eastAsia="pt-BR"/>
          <w14:ligatures w14:val="none"/>
        </w:rPr>
        <w:t>Solórzano</w:t>
      </w:r>
      <w:proofErr w:type="spellEnd"/>
      <w:r w:rsidRPr="00B068A7">
        <w:rPr>
          <w:rFonts w:ascii="Times New Roman" w:eastAsia="Times New Roman" w:hAnsi="Times New Roman" w:cs="Times New Roman"/>
          <w:color w:val="000000"/>
          <w:kern w:val="0"/>
          <w:lang w:eastAsia="pt-BR"/>
          <w14:ligatures w14:val="none"/>
        </w:rPr>
        <w:t xml:space="preserve"> traz à tona os desafios legais e políticos da recuperação de ativos ilícitos, com foco no caso peruano de James Stone. O artigo é tecnicamente consistente e revela as dificuldades de cooperação entre jurisdições com diferentes níveis de institucionalidade. Todavia, novamente, o recorte da análise exclui protagonistas geopolíticos relevantes.</w:t>
      </w:r>
    </w:p>
    <w:p w14:paraId="4D674705"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Israel, por exemplo, figura como um destino preferencial para ativos de origem duvidosa. Reportagem do </w:t>
      </w:r>
      <w:r w:rsidRPr="00B068A7">
        <w:rPr>
          <w:rFonts w:ascii="Times New Roman" w:eastAsia="Times New Roman" w:hAnsi="Times New Roman" w:cs="Times New Roman"/>
          <w:i/>
          <w:iCs/>
          <w:color w:val="000000"/>
          <w:kern w:val="0"/>
          <w:lang w:eastAsia="pt-BR"/>
          <w14:ligatures w14:val="none"/>
        </w:rPr>
        <w:t>Haaretz</w:t>
      </w:r>
      <w:r w:rsidRPr="00B068A7">
        <w:rPr>
          <w:rFonts w:ascii="Times New Roman" w:eastAsia="Times New Roman" w:hAnsi="Times New Roman" w:cs="Times New Roman"/>
          <w:color w:val="000000"/>
          <w:kern w:val="0"/>
          <w:lang w:eastAsia="pt-BR"/>
          <w14:ligatures w14:val="none"/>
        </w:rPr>
        <w:t> (2023) revelou que bancos israelenses lavaram cerca de US$ 1,3 bilhão pertencentes a oligarcas russos com vínculos diretos com o Kremlin. Apesar de sanções ocidentais, essas instituições operaram com relativa impunidade, sob complacência de autoridades financeiras locais. Isso demonstra que a recuperação de ativos não é apenas um problema técnico, mas um campo permeado por considerações estratégicas e alianças políticas.</w:t>
      </w:r>
    </w:p>
    <w:p w14:paraId="0E1C6EED" w14:textId="77777777" w:rsidR="00B068A7" w:rsidRPr="00B068A7" w:rsidRDefault="00B068A7" w:rsidP="00B068A7">
      <w:pPr>
        <w:spacing w:before="100" w:beforeAutospacing="1" w:after="100" w:afterAutospacing="1"/>
        <w:outlineLvl w:val="2"/>
        <w:rPr>
          <w:rFonts w:ascii="Times New Roman" w:eastAsia="Times New Roman" w:hAnsi="Times New Roman" w:cs="Times New Roman"/>
          <w:b/>
          <w:bCs/>
          <w:color w:val="000000"/>
          <w:kern w:val="0"/>
          <w:lang w:eastAsia="pt-BR"/>
          <w14:ligatures w14:val="none"/>
        </w:rPr>
      </w:pPr>
      <w:r w:rsidRPr="00B068A7">
        <w:rPr>
          <w:rFonts w:ascii="Times New Roman" w:eastAsia="Times New Roman" w:hAnsi="Times New Roman" w:cs="Times New Roman"/>
          <w:b/>
          <w:bCs/>
          <w:color w:val="000000"/>
          <w:kern w:val="0"/>
          <w:lang w:eastAsia="pt-BR"/>
          <w14:ligatures w14:val="none"/>
        </w:rPr>
        <w:t>2.4. Israel e o financiamento do terrorismo: uma contradição histórica</w:t>
      </w:r>
    </w:p>
    <w:p w14:paraId="73D820FC"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 xml:space="preserve">Hadar </w:t>
      </w:r>
      <w:proofErr w:type="spellStart"/>
      <w:r w:rsidRPr="00B068A7">
        <w:rPr>
          <w:rFonts w:ascii="Times New Roman" w:eastAsia="Times New Roman" w:hAnsi="Times New Roman" w:cs="Times New Roman"/>
          <w:color w:val="000000"/>
          <w:kern w:val="0"/>
          <w:lang w:eastAsia="pt-BR"/>
          <w14:ligatures w14:val="none"/>
        </w:rPr>
        <w:t>Israeli</w:t>
      </w:r>
      <w:proofErr w:type="spellEnd"/>
      <w:r w:rsidRPr="00B068A7">
        <w:rPr>
          <w:rFonts w:ascii="Times New Roman" w:eastAsia="Times New Roman" w:hAnsi="Times New Roman" w:cs="Times New Roman"/>
          <w:color w:val="000000"/>
          <w:kern w:val="0"/>
          <w:lang w:eastAsia="pt-BR"/>
          <w14:ligatures w14:val="none"/>
        </w:rPr>
        <w:t xml:space="preserve"> e </w:t>
      </w:r>
      <w:proofErr w:type="spellStart"/>
      <w:r w:rsidRPr="00B068A7">
        <w:rPr>
          <w:rFonts w:ascii="Times New Roman" w:eastAsia="Times New Roman" w:hAnsi="Times New Roman" w:cs="Times New Roman"/>
          <w:color w:val="000000"/>
          <w:kern w:val="0"/>
          <w:lang w:eastAsia="pt-BR"/>
          <w14:ligatures w14:val="none"/>
        </w:rPr>
        <w:t>Eran</w:t>
      </w:r>
      <w:proofErr w:type="spellEnd"/>
      <w:r w:rsidRPr="00B068A7">
        <w:rPr>
          <w:rFonts w:ascii="Times New Roman" w:eastAsia="Times New Roman" w:hAnsi="Times New Roman" w:cs="Times New Roman"/>
          <w:color w:val="000000"/>
          <w:kern w:val="0"/>
          <w:lang w:eastAsia="pt-BR"/>
          <w14:ligatures w14:val="none"/>
        </w:rPr>
        <w:t xml:space="preserve"> </w:t>
      </w:r>
      <w:proofErr w:type="spellStart"/>
      <w:r w:rsidRPr="00B068A7">
        <w:rPr>
          <w:rFonts w:ascii="Times New Roman" w:eastAsia="Times New Roman" w:hAnsi="Times New Roman" w:cs="Times New Roman"/>
          <w:color w:val="000000"/>
          <w:kern w:val="0"/>
          <w:lang w:eastAsia="pt-BR"/>
          <w14:ligatures w14:val="none"/>
        </w:rPr>
        <w:t>Elharar</w:t>
      </w:r>
      <w:proofErr w:type="spellEnd"/>
      <w:r w:rsidRPr="00B068A7">
        <w:rPr>
          <w:rFonts w:ascii="Times New Roman" w:eastAsia="Times New Roman" w:hAnsi="Times New Roman" w:cs="Times New Roman"/>
          <w:color w:val="000000"/>
          <w:kern w:val="0"/>
          <w:lang w:eastAsia="pt-BR"/>
          <w14:ligatures w14:val="none"/>
        </w:rPr>
        <w:t xml:space="preserve"> escrevem sobre as medidas adotadas por Israel após os ataques de 7 de outubro, exaltando o rigor das suas legislações antiterrorismo. Contudo, a dupla ignora uma das contradições mais documentadas da política israelense: seu apoio ao crescimento do Hamas nos anos 1980. Segundo o </w:t>
      </w:r>
      <w:proofErr w:type="spellStart"/>
      <w:r w:rsidRPr="00B068A7">
        <w:rPr>
          <w:rFonts w:ascii="Times New Roman" w:eastAsia="Times New Roman" w:hAnsi="Times New Roman" w:cs="Times New Roman"/>
          <w:i/>
          <w:iCs/>
          <w:color w:val="000000"/>
          <w:kern w:val="0"/>
          <w:lang w:eastAsia="pt-BR"/>
          <w14:ligatures w14:val="none"/>
        </w:rPr>
        <w:t>Institute</w:t>
      </w:r>
      <w:proofErr w:type="spellEnd"/>
      <w:r w:rsidRPr="00B068A7">
        <w:rPr>
          <w:rFonts w:ascii="Times New Roman" w:eastAsia="Times New Roman" w:hAnsi="Times New Roman" w:cs="Times New Roman"/>
          <w:i/>
          <w:iCs/>
          <w:color w:val="000000"/>
          <w:kern w:val="0"/>
          <w:lang w:eastAsia="pt-BR"/>
          <w14:ligatures w14:val="none"/>
        </w:rPr>
        <w:t xml:space="preserve"> for </w:t>
      </w:r>
      <w:proofErr w:type="spellStart"/>
      <w:r w:rsidRPr="00B068A7">
        <w:rPr>
          <w:rFonts w:ascii="Times New Roman" w:eastAsia="Times New Roman" w:hAnsi="Times New Roman" w:cs="Times New Roman"/>
          <w:i/>
          <w:iCs/>
          <w:color w:val="000000"/>
          <w:kern w:val="0"/>
          <w:lang w:eastAsia="pt-BR"/>
          <w14:ligatures w14:val="none"/>
        </w:rPr>
        <w:t>Palestine</w:t>
      </w:r>
      <w:proofErr w:type="spellEnd"/>
      <w:r w:rsidRPr="00B068A7">
        <w:rPr>
          <w:rFonts w:ascii="Times New Roman" w:eastAsia="Times New Roman" w:hAnsi="Times New Roman" w:cs="Times New Roman"/>
          <w:i/>
          <w:iCs/>
          <w:color w:val="000000"/>
          <w:kern w:val="0"/>
          <w:lang w:eastAsia="pt-BR"/>
          <w14:ligatures w14:val="none"/>
        </w:rPr>
        <w:t xml:space="preserve"> </w:t>
      </w:r>
      <w:proofErr w:type="spellStart"/>
      <w:r w:rsidRPr="00B068A7">
        <w:rPr>
          <w:rFonts w:ascii="Times New Roman" w:eastAsia="Times New Roman" w:hAnsi="Times New Roman" w:cs="Times New Roman"/>
          <w:i/>
          <w:iCs/>
          <w:color w:val="000000"/>
          <w:kern w:val="0"/>
          <w:lang w:eastAsia="pt-BR"/>
          <w14:ligatures w14:val="none"/>
        </w:rPr>
        <w:t>Studies</w:t>
      </w:r>
      <w:proofErr w:type="spellEnd"/>
      <w:r w:rsidRPr="00B068A7">
        <w:rPr>
          <w:rFonts w:ascii="Times New Roman" w:eastAsia="Times New Roman" w:hAnsi="Times New Roman" w:cs="Times New Roman"/>
          <w:color w:val="000000"/>
          <w:kern w:val="0"/>
          <w:lang w:eastAsia="pt-BR"/>
          <w14:ligatures w14:val="none"/>
        </w:rPr>
        <w:t> e reportagens do </w:t>
      </w:r>
      <w:r w:rsidRPr="00B068A7">
        <w:rPr>
          <w:rFonts w:ascii="Times New Roman" w:eastAsia="Times New Roman" w:hAnsi="Times New Roman" w:cs="Times New Roman"/>
          <w:i/>
          <w:iCs/>
          <w:color w:val="000000"/>
          <w:kern w:val="0"/>
          <w:lang w:eastAsia="pt-BR"/>
          <w14:ligatures w14:val="none"/>
        </w:rPr>
        <w:t>The Guardian</w:t>
      </w:r>
      <w:r w:rsidRPr="00B068A7">
        <w:rPr>
          <w:rFonts w:ascii="Times New Roman" w:eastAsia="Times New Roman" w:hAnsi="Times New Roman" w:cs="Times New Roman"/>
          <w:color w:val="000000"/>
          <w:kern w:val="0"/>
          <w:lang w:eastAsia="pt-BR"/>
          <w14:ligatures w14:val="none"/>
        </w:rPr>
        <w:t> (2018), Israel promoveu e tolerou o crescimento da organização islâmica como forma de enfraquecer a então hegemônica OLP (Organização para a Libertação da Palestina).</w:t>
      </w:r>
    </w:p>
    <w:p w14:paraId="457647CD"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Esse tipo de estratégia, de criar inimigos controláveis, se repete hoje na Síria, onde Israel já apoiou grupos armados contrários ao governo Assad, conforme revelado pela </w:t>
      </w:r>
      <w:r w:rsidRPr="00B068A7">
        <w:rPr>
          <w:rFonts w:ascii="Times New Roman" w:eastAsia="Times New Roman" w:hAnsi="Times New Roman" w:cs="Times New Roman"/>
          <w:i/>
          <w:iCs/>
          <w:color w:val="000000"/>
          <w:kern w:val="0"/>
          <w:lang w:eastAsia="pt-BR"/>
          <w14:ligatures w14:val="none"/>
        </w:rPr>
        <w:t>Reuters</w:t>
      </w:r>
      <w:r w:rsidRPr="00B068A7">
        <w:rPr>
          <w:rFonts w:ascii="Times New Roman" w:eastAsia="Times New Roman" w:hAnsi="Times New Roman" w:cs="Times New Roman"/>
          <w:color w:val="000000"/>
          <w:kern w:val="0"/>
          <w:lang w:eastAsia="pt-BR"/>
          <w14:ligatures w14:val="none"/>
        </w:rPr>
        <w:t> (2021). Essa duplicidade mina a credibilidade de qualquer discurso sobre combate ao terrorismo e revela como o rótulo “terrorista” pode ser manipulado de acordo com conveniências geopolíticas. O </w:t>
      </w:r>
      <w:r w:rsidRPr="00B068A7">
        <w:rPr>
          <w:rFonts w:ascii="Times New Roman" w:eastAsia="Times New Roman" w:hAnsi="Times New Roman" w:cs="Times New Roman"/>
          <w:i/>
          <w:iCs/>
          <w:color w:val="000000"/>
          <w:kern w:val="0"/>
          <w:lang w:eastAsia="pt-BR"/>
          <w14:ligatures w14:val="none"/>
        </w:rPr>
        <w:t>Bulletin</w:t>
      </w:r>
      <w:r w:rsidRPr="00B068A7">
        <w:rPr>
          <w:rFonts w:ascii="Times New Roman" w:eastAsia="Times New Roman" w:hAnsi="Times New Roman" w:cs="Times New Roman"/>
          <w:color w:val="000000"/>
          <w:kern w:val="0"/>
          <w:lang w:eastAsia="pt-BR"/>
          <w14:ligatures w14:val="none"/>
        </w:rPr>
        <w:t>, ao silenciar sobre esses fatos, compromete sua autoridade moral no tema.</w:t>
      </w:r>
    </w:p>
    <w:p w14:paraId="65AD5EA9" w14:textId="77777777" w:rsidR="00B068A7" w:rsidRPr="00B068A7" w:rsidRDefault="00B068A7" w:rsidP="00B068A7">
      <w:pPr>
        <w:spacing w:before="100" w:beforeAutospacing="1" w:after="100" w:afterAutospacing="1"/>
        <w:outlineLvl w:val="2"/>
        <w:rPr>
          <w:rFonts w:ascii="Times New Roman" w:eastAsia="Times New Roman" w:hAnsi="Times New Roman" w:cs="Times New Roman"/>
          <w:b/>
          <w:bCs/>
          <w:color w:val="000000"/>
          <w:kern w:val="0"/>
          <w:lang w:eastAsia="pt-BR"/>
          <w14:ligatures w14:val="none"/>
        </w:rPr>
      </w:pPr>
      <w:r w:rsidRPr="00B068A7">
        <w:rPr>
          <w:rFonts w:ascii="Times New Roman" w:eastAsia="Times New Roman" w:hAnsi="Times New Roman" w:cs="Times New Roman"/>
          <w:b/>
          <w:bCs/>
          <w:color w:val="000000"/>
          <w:kern w:val="0"/>
          <w:lang w:eastAsia="pt-BR"/>
          <w14:ligatures w14:val="none"/>
        </w:rPr>
        <w:t>2.5. Criminalização excessiva e riscos ao investimento</w:t>
      </w:r>
    </w:p>
    <w:p w14:paraId="47155568"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 xml:space="preserve">Por fim, </w:t>
      </w:r>
      <w:proofErr w:type="spellStart"/>
      <w:r w:rsidRPr="00B068A7">
        <w:rPr>
          <w:rFonts w:ascii="Times New Roman" w:eastAsia="Times New Roman" w:hAnsi="Times New Roman" w:cs="Times New Roman"/>
          <w:color w:val="000000"/>
          <w:kern w:val="0"/>
          <w:lang w:eastAsia="pt-BR"/>
          <w14:ligatures w14:val="none"/>
        </w:rPr>
        <w:t>Pisano</w:t>
      </w:r>
      <w:proofErr w:type="spellEnd"/>
      <w:r w:rsidRPr="00B068A7">
        <w:rPr>
          <w:rFonts w:ascii="Times New Roman" w:eastAsia="Times New Roman" w:hAnsi="Times New Roman" w:cs="Times New Roman"/>
          <w:color w:val="000000"/>
          <w:kern w:val="0"/>
          <w:lang w:eastAsia="pt-BR"/>
          <w14:ligatures w14:val="none"/>
        </w:rPr>
        <w:t xml:space="preserve"> e </w:t>
      </w:r>
      <w:proofErr w:type="spellStart"/>
      <w:r w:rsidRPr="00B068A7">
        <w:rPr>
          <w:rFonts w:ascii="Times New Roman" w:eastAsia="Times New Roman" w:hAnsi="Times New Roman" w:cs="Times New Roman"/>
          <w:color w:val="000000"/>
          <w:kern w:val="0"/>
          <w:lang w:eastAsia="pt-BR"/>
          <w14:ligatures w14:val="none"/>
        </w:rPr>
        <w:t>Capogna</w:t>
      </w:r>
      <w:proofErr w:type="spellEnd"/>
      <w:r w:rsidRPr="00B068A7">
        <w:rPr>
          <w:rFonts w:ascii="Times New Roman" w:eastAsia="Times New Roman" w:hAnsi="Times New Roman" w:cs="Times New Roman"/>
          <w:color w:val="000000"/>
          <w:kern w:val="0"/>
          <w:lang w:eastAsia="pt-BR"/>
          <w14:ligatures w14:val="none"/>
        </w:rPr>
        <w:t xml:space="preserve"> discutem os riscos da criminalização exacerbada de relações comerciais legítimas, utilizando os escândalos envolvendo a petroleira </w:t>
      </w:r>
      <w:proofErr w:type="spellStart"/>
      <w:r w:rsidRPr="00B068A7">
        <w:rPr>
          <w:rFonts w:ascii="Times New Roman" w:eastAsia="Times New Roman" w:hAnsi="Times New Roman" w:cs="Times New Roman"/>
          <w:color w:val="000000"/>
          <w:kern w:val="0"/>
          <w:lang w:eastAsia="pt-BR"/>
          <w14:ligatures w14:val="none"/>
        </w:rPr>
        <w:t>Eni</w:t>
      </w:r>
      <w:proofErr w:type="spellEnd"/>
      <w:r w:rsidRPr="00B068A7">
        <w:rPr>
          <w:rFonts w:ascii="Times New Roman" w:eastAsia="Times New Roman" w:hAnsi="Times New Roman" w:cs="Times New Roman"/>
          <w:color w:val="000000"/>
          <w:kern w:val="0"/>
          <w:lang w:eastAsia="pt-BR"/>
          <w14:ligatures w14:val="none"/>
        </w:rPr>
        <w:t xml:space="preserve"> como </w:t>
      </w:r>
      <w:r w:rsidRPr="00B068A7">
        <w:rPr>
          <w:rFonts w:ascii="Times New Roman" w:eastAsia="Times New Roman" w:hAnsi="Times New Roman" w:cs="Times New Roman"/>
          <w:color w:val="000000"/>
          <w:kern w:val="0"/>
          <w:lang w:eastAsia="pt-BR"/>
          <w14:ligatures w14:val="none"/>
        </w:rPr>
        <w:lastRenderedPageBreak/>
        <w:t>exemplo. A análise tem mérito ao alertar para o risco de sobreposição entre política criminal e guerra comercial, especialmente na Europa. Ainda assim, falha em não considerar a dimensão política da seletividade penal, quando aplicada a atores não alinhados ao eixo euro-americano.</w:t>
      </w:r>
    </w:p>
    <w:p w14:paraId="187A52B9"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Israel, por exemplo, aplica suas leis antiterrorismo com enviesamento étnico e político. Conforme documentado pela ONG israelense </w:t>
      </w:r>
      <w:proofErr w:type="spellStart"/>
      <w:r w:rsidRPr="00B068A7">
        <w:rPr>
          <w:rFonts w:ascii="Times New Roman" w:eastAsia="Times New Roman" w:hAnsi="Times New Roman" w:cs="Times New Roman"/>
          <w:i/>
          <w:iCs/>
          <w:color w:val="000000"/>
          <w:kern w:val="0"/>
          <w:lang w:eastAsia="pt-BR"/>
          <w14:ligatures w14:val="none"/>
        </w:rPr>
        <w:t>B’Tselem</w:t>
      </w:r>
      <w:proofErr w:type="spellEnd"/>
      <w:r w:rsidRPr="00B068A7">
        <w:rPr>
          <w:rFonts w:ascii="Times New Roman" w:eastAsia="Times New Roman" w:hAnsi="Times New Roman" w:cs="Times New Roman"/>
          <w:color w:val="000000"/>
          <w:kern w:val="0"/>
          <w:lang w:eastAsia="pt-BR"/>
          <w14:ligatures w14:val="none"/>
        </w:rPr>
        <w:t> (2021), grupos de colonos que cometem crimes violentos contra palestinos recebem financiamento do Estado e raramente enfrentam sanções. Enquanto isso, ONGs palestinas são criminalizadas com base em alegações vagas de “vínculos terroristas”, muitas vezes sem provas concretas. Essa disparidade jurídica não é apenas uma falha técnica, mas um uso cínico do direito como arma política.</w:t>
      </w:r>
    </w:p>
    <w:p w14:paraId="27C431D0" w14:textId="6E05420E" w:rsidR="00B068A7" w:rsidRPr="00B068A7" w:rsidRDefault="00B068A7" w:rsidP="00B068A7">
      <w:pPr>
        <w:rPr>
          <w:rFonts w:ascii="Times New Roman" w:eastAsia="Times New Roman" w:hAnsi="Times New Roman" w:cs="Times New Roman"/>
          <w:kern w:val="0"/>
          <w:lang w:eastAsia="pt-BR"/>
          <w14:ligatures w14:val="none"/>
        </w:rPr>
      </w:pPr>
    </w:p>
    <w:p w14:paraId="2CB7D1A7" w14:textId="5B552D5D" w:rsidR="00B068A7" w:rsidRPr="00B068A7" w:rsidRDefault="00B068A7" w:rsidP="00B068A7">
      <w:pPr>
        <w:spacing w:before="100" w:beforeAutospacing="1" w:after="100" w:afterAutospacing="1"/>
        <w:outlineLvl w:val="1"/>
        <w:rPr>
          <w:rFonts w:ascii="Times New Roman" w:eastAsia="Times New Roman" w:hAnsi="Times New Roman" w:cs="Times New Roman"/>
          <w:b/>
          <w:bCs/>
          <w:color w:val="000000"/>
          <w:kern w:val="0"/>
          <w:lang w:eastAsia="pt-BR"/>
          <w14:ligatures w14:val="none"/>
        </w:rPr>
      </w:pPr>
      <w:r w:rsidRPr="00B068A7">
        <w:rPr>
          <w:rFonts w:ascii="Times New Roman" w:eastAsia="Times New Roman" w:hAnsi="Times New Roman" w:cs="Times New Roman"/>
          <w:b/>
          <w:bCs/>
          <w:color w:val="000000"/>
          <w:kern w:val="0"/>
          <w:lang w:eastAsia="pt-BR"/>
          <w14:ligatures w14:val="none"/>
        </w:rPr>
        <w:t>3. CRÍTICAS ESTRUTURAIS AO </w:t>
      </w:r>
      <w:r w:rsidRPr="00B068A7">
        <w:rPr>
          <w:rFonts w:ascii="Times New Roman" w:eastAsia="Times New Roman" w:hAnsi="Times New Roman" w:cs="Times New Roman"/>
          <w:b/>
          <w:bCs/>
          <w:i/>
          <w:iCs/>
          <w:color w:val="000000"/>
          <w:kern w:val="0"/>
          <w:lang w:eastAsia="pt-BR"/>
          <w14:ligatures w14:val="none"/>
        </w:rPr>
        <w:t>BULLETIN</w:t>
      </w:r>
    </w:p>
    <w:p w14:paraId="22F2CC63"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Além das omissões nos artigos individuais, o </w:t>
      </w:r>
      <w:r w:rsidRPr="00B068A7">
        <w:rPr>
          <w:rFonts w:ascii="Times New Roman" w:eastAsia="Times New Roman" w:hAnsi="Times New Roman" w:cs="Times New Roman"/>
          <w:i/>
          <w:iCs/>
          <w:color w:val="000000"/>
          <w:kern w:val="0"/>
          <w:lang w:eastAsia="pt-BR"/>
          <w14:ligatures w14:val="none"/>
        </w:rPr>
        <w:t xml:space="preserve">The </w:t>
      </w:r>
      <w:proofErr w:type="spellStart"/>
      <w:r w:rsidRPr="00B068A7">
        <w:rPr>
          <w:rFonts w:ascii="Times New Roman" w:eastAsia="Times New Roman" w:hAnsi="Times New Roman" w:cs="Times New Roman"/>
          <w:i/>
          <w:iCs/>
          <w:color w:val="000000"/>
          <w:kern w:val="0"/>
          <w:lang w:eastAsia="pt-BR"/>
          <w14:ligatures w14:val="none"/>
        </w:rPr>
        <w:t>Academy</w:t>
      </w:r>
      <w:proofErr w:type="spellEnd"/>
      <w:r w:rsidRPr="00B068A7">
        <w:rPr>
          <w:rFonts w:ascii="Times New Roman" w:eastAsia="Times New Roman" w:hAnsi="Times New Roman" w:cs="Times New Roman"/>
          <w:i/>
          <w:iCs/>
          <w:color w:val="000000"/>
          <w:kern w:val="0"/>
          <w:lang w:eastAsia="pt-BR"/>
          <w14:ligatures w14:val="none"/>
        </w:rPr>
        <w:t xml:space="preserve"> Bulletin</w:t>
      </w:r>
      <w:r w:rsidRPr="00B068A7">
        <w:rPr>
          <w:rFonts w:ascii="Times New Roman" w:eastAsia="Times New Roman" w:hAnsi="Times New Roman" w:cs="Times New Roman"/>
          <w:color w:val="000000"/>
          <w:kern w:val="0"/>
          <w:lang w:eastAsia="pt-BR"/>
          <w14:ligatures w14:val="none"/>
        </w:rPr>
        <w:t> falha em aspectos estruturais que comprometem sua pretensão de ser uma publicação crítica e global:</w:t>
      </w:r>
    </w:p>
    <w:p w14:paraId="5797A7D6" w14:textId="77777777" w:rsidR="00B068A7" w:rsidRPr="00B068A7" w:rsidRDefault="00B068A7" w:rsidP="00B068A7">
      <w:pPr>
        <w:spacing w:before="100" w:beforeAutospacing="1" w:after="100" w:afterAutospacing="1"/>
        <w:outlineLvl w:val="2"/>
        <w:rPr>
          <w:rFonts w:ascii="Times New Roman" w:eastAsia="Times New Roman" w:hAnsi="Times New Roman" w:cs="Times New Roman"/>
          <w:b/>
          <w:bCs/>
          <w:color w:val="000000"/>
          <w:kern w:val="0"/>
          <w:lang w:eastAsia="pt-BR"/>
          <w14:ligatures w14:val="none"/>
        </w:rPr>
      </w:pPr>
      <w:r w:rsidRPr="00B068A7">
        <w:rPr>
          <w:rFonts w:ascii="Times New Roman" w:eastAsia="Times New Roman" w:hAnsi="Times New Roman" w:cs="Times New Roman"/>
          <w:b/>
          <w:bCs/>
          <w:color w:val="000000"/>
          <w:kern w:val="0"/>
          <w:lang w:eastAsia="pt-BR"/>
          <w14:ligatures w14:val="none"/>
        </w:rPr>
        <w:t>3.1. Viés geopolítico evidente</w:t>
      </w:r>
    </w:p>
    <w:p w14:paraId="700EAD95"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O foco excessivo em práticas jurídicas dos EUA e da Europa cria um desequilíbrio analítico. A ausência de críticas a aliados estratégicos como Israel, Arábia Saudita e Emirados Árabes Unidos revela uma cautela editorial que beira a conivência. A luta contra a corrupção e o terrorismo, quando tratada com filtros geopolíticos, perde legitimidade.</w:t>
      </w:r>
    </w:p>
    <w:p w14:paraId="7E261C18" w14:textId="77777777" w:rsidR="00B068A7" w:rsidRPr="00B068A7" w:rsidRDefault="00B068A7" w:rsidP="00B068A7">
      <w:pPr>
        <w:spacing w:before="100" w:beforeAutospacing="1" w:after="100" w:afterAutospacing="1"/>
        <w:outlineLvl w:val="2"/>
        <w:rPr>
          <w:rFonts w:ascii="Times New Roman" w:eastAsia="Times New Roman" w:hAnsi="Times New Roman" w:cs="Times New Roman"/>
          <w:b/>
          <w:bCs/>
          <w:color w:val="000000"/>
          <w:kern w:val="0"/>
          <w:lang w:eastAsia="pt-BR"/>
          <w14:ligatures w14:val="none"/>
        </w:rPr>
      </w:pPr>
      <w:r w:rsidRPr="00B068A7">
        <w:rPr>
          <w:rFonts w:ascii="Times New Roman" w:eastAsia="Times New Roman" w:hAnsi="Times New Roman" w:cs="Times New Roman"/>
          <w:b/>
          <w:bCs/>
          <w:color w:val="000000"/>
          <w:kern w:val="0"/>
          <w:lang w:eastAsia="pt-BR"/>
          <w14:ligatures w14:val="none"/>
        </w:rPr>
        <w:t>3.2. Hipocrisia tecnológica</w:t>
      </w:r>
    </w:p>
    <w:p w14:paraId="1710C560"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O </w:t>
      </w:r>
      <w:r w:rsidRPr="00B068A7">
        <w:rPr>
          <w:rFonts w:ascii="Times New Roman" w:eastAsia="Times New Roman" w:hAnsi="Times New Roman" w:cs="Times New Roman"/>
          <w:i/>
          <w:iCs/>
          <w:color w:val="000000"/>
          <w:kern w:val="0"/>
          <w:lang w:eastAsia="pt-BR"/>
          <w14:ligatures w14:val="none"/>
        </w:rPr>
        <w:t>Bulletin</w:t>
      </w:r>
      <w:r w:rsidRPr="00B068A7">
        <w:rPr>
          <w:rFonts w:ascii="Times New Roman" w:eastAsia="Times New Roman" w:hAnsi="Times New Roman" w:cs="Times New Roman"/>
          <w:color w:val="000000"/>
          <w:kern w:val="0"/>
          <w:lang w:eastAsia="pt-BR"/>
          <w14:ligatures w14:val="none"/>
        </w:rPr>
        <w:t> dedica artigos à ameaça das criptomoedas no financiamento do terrorismo, mas ignora como Israel se tornou uma referência global em tecnologias de espionagem e vigilância. O escândalo do </w:t>
      </w:r>
      <w:r w:rsidRPr="00B068A7">
        <w:rPr>
          <w:rFonts w:ascii="Times New Roman" w:eastAsia="Times New Roman" w:hAnsi="Times New Roman" w:cs="Times New Roman"/>
          <w:i/>
          <w:iCs/>
          <w:color w:val="000000"/>
          <w:kern w:val="0"/>
          <w:lang w:eastAsia="pt-BR"/>
          <w14:ligatures w14:val="none"/>
        </w:rPr>
        <w:t>Pegasus Project</w:t>
      </w:r>
      <w:r w:rsidRPr="00B068A7">
        <w:rPr>
          <w:rFonts w:ascii="Times New Roman" w:eastAsia="Times New Roman" w:hAnsi="Times New Roman" w:cs="Times New Roman"/>
          <w:color w:val="000000"/>
          <w:kern w:val="0"/>
          <w:lang w:eastAsia="pt-BR"/>
          <w14:ligatures w14:val="none"/>
        </w:rPr>
        <w:t xml:space="preserve"> (2021) mostrou como o software da NSO </w:t>
      </w:r>
      <w:proofErr w:type="spellStart"/>
      <w:r w:rsidRPr="00B068A7">
        <w:rPr>
          <w:rFonts w:ascii="Times New Roman" w:eastAsia="Times New Roman" w:hAnsi="Times New Roman" w:cs="Times New Roman"/>
          <w:color w:val="000000"/>
          <w:kern w:val="0"/>
          <w:lang w:eastAsia="pt-BR"/>
          <w14:ligatures w14:val="none"/>
        </w:rPr>
        <w:t>Group</w:t>
      </w:r>
      <w:proofErr w:type="spellEnd"/>
      <w:r w:rsidRPr="00B068A7">
        <w:rPr>
          <w:rFonts w:ascii="Times New Roman" w:eastAsia="Times New Roman" w:hAnsi="Times New Roman" w:cs="Times New Roman"/>
          <w:color w:val="000000"/>
          <w:kern w:val="0"/>
          <w:lang w:eastAsia="pt-BR"/>
          <w14:ligatures w14:val="none"/>
        </w:rPr>
        <w:t>, empresa israelense, foi utilizado por regimes autoritários para perseguir jornalistas e opositores. É inadmissível que uma publicação voltada à ética jurídica ignore o papel dessas tecnologias na erosão do Estado de Direito.</w:t>
      </w:r>
    </w:p>
    <w:p w14:paraId="7970A2B4" w14:textId="77777777" w:rsidR="00B068A7" w:rsidRPr="00B068A7" w:rsidRDefault="00B068A7" w:rsidP="00B068A7">
      <w:pPr>
        <w:spacing w:before="100" w:beforeAutospacing="1" w:after="100" w:afterAutospacing="1"/>
        <w:outlineLvl w:val="2"/>
        <w:rPr>
          <w:rFonts w:ascii="Times New Roman" w:eastAsia="Times New Roman" w:hAnsi="Times New Roman" w:cs="Times New Roman"/>
          <w:b/>
          <w:bCs/>
          <w:color w:val="000000"/>
          <w:kern w:val="0"/>
          <w:lang w:eastAsia="pt-BR"/>
          <w14:ligatures w14:val="none"/>
        </w:rPr>
      </w:pPr>
      <w:r w:rsidRPr="00B068A7">
        <w:rPr>
          <w:rFonts w:ascii="Times New Roman" w:eastAsia="Times New Roman" w:hAnsi="Times New Roman" w:cs="Times New Roman"/>
          <w:b/>
          <w:bCs/>
          <w:color w:val="000000"/>
          <w:kern w:val="0"/>
          <w:lang w:eastAsia="pt-BR"/>
          <w14:ligatures w14:val="none"/>
        </w:rPr>
        <w:t>3.3. Omissão sobre lobbies e militarismo</w:t>
      </w:r>
    </w:p>
    <w:p w14:paraId="711EC162"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O </w:t>
      </w:r>
      <w:r w:rsidRPr="00B068A7">
        <w:rPr>
          <w:rFonts w:ascii="Times New Roman" w:eastAsia="Times New Roman" w:hAnsi="Times New Roman" w:cs="Times New Roman"/>
          <w:i/>
          <w:iCs/>
          <w:color w:val="000000"/>
          <w:kern w:val="0"/>
          <w:lang w:eastAsia="pt-BR"/>
          <w14:ligatures w14:val="none"/>
        </w:rPr>
        <w:t>Bulletin</w:t>
      </w:r>
      <w:r w:rsidRPr="00B068A7">
        <w:rPr>
          <w:rFonts w:ascii="Times New Roman" w:eastAsia="Times New Roman" w:hAnsi="Times New Roman" w:cs="Times New Roman"/>
          <w:color w:val="000000"/>
          <w:kern w:val="0"/>
          <w:lang w:eastAsia="pt-BR"/>
          <w14:ligatures w14:val="none"/>
        </w:rPr>
        <w:t> trata com profundidade a corrupção privada e estatal, mas silencia sobre o gigantesco lobby pró-Israel no Congresso dos EUA. Em 2023, foram destinados US$ 3,8 bilhões em ajuda militar a Israel, mesmo diante de reiteradas denúncias de crimes de guerra contra civis palestinos, como apontado pela Anistia Internacional. A interseção entre lobby, financiamento público e violação de direitos humanos deveria estar no centro do debate, mas é convenientemente ignorada.</w:t>
      </w:r>
    </w:p>
    <w:p w14:paraId="43EDBF51" w14:textId="5AC3F8B0" w:rsidR="00B068A7" w:rsidRPr="00B068A7" w:rsidRDefault="00B068A7" w:rsidP="00B068A7">
      <w:pPr>
        <w:rPr>
          <w:rFonts w:ascii="Times New Roman" w:eastAsia="Times New Roman" w:hAnsi="Times New Roman" w:cs="Times New Roman"/>
          <w:kern w:val="0"/>
          <w:lang w:eastAsia="pt-BR"/>
          <w14:ligatures w14:val="none"/>
        </w:rPr>
      </w:pPr>
    </w:p>
    <w:p w14:paraId="12D163DD" w14:textId="1BA944F3" w:rsidR="00B068A7" w:rsidRPr="00B068A7" w:rsidRDefault="00B068A7" w:rsidP="00B068A7">
      <w:pPr>
        <w:spacing w:before="100" w:beforeAutospacing="1" w:after="100" w:afterAutospacing="1"/>
        <w:outlineLvl w:val="1"/>
        <w:rPr>
          <w:rFonts w:ascii="Times New Roman" w:eastAsia="Times New Roman" w:hAnsi="Times New Roman" w:cs="Times New Roman"/>
          <w:b/>
          <w:bCs/>
          <w:color w:val="000000"/>
          <w:kern w:val="0"/>
          <w:lang w:eastAsia="pt-BR"/>
          <w14:ligatures w14:val="none"/>
        </w:rPr>
      </w:pPr>
      <w:r w:rsidRPr="00B068A7">
        <w:rPr>
          <w:rFonts w:ascii="Times New Roman" w:eastAsia="Times New Roman" w:hAnsi="Times New Roman" w:cs="Times New Roman"/>
          <w:b/>
          <w:bCs/>
          <w:color w:val="000000"/>
          <w:kern w:val="0"/>
          <w:lang w:eastAsia="pt-BR"/>
          <w14:ligatures w14:val="none"/>
        </w:rPr>
        <w:t>4. CONCLUSÃO</w:t>
      </w:r>
    </w:p>
    <w:p w14:paraId="05F0DC2C"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lastRenderedPageBreak/>
        <w:t>A quarta edição do </w:t>
      </w:r>
      <w:r w:rsidRPr="00B068A7">
        <w:rPr>
          <w:rFonts w:ascii="Times New Roman" w:eastAsia="Times New Roman" w:hAnsi="Times New Roman" w:cs="Times New Roman"/>
          <w:i/>
          <w:iCs/>
          <w:color w:val="000000"/>
          <w:kern w:val="0"/>
          <w:lang w:eastAsia="pt-BR"/>
          <w14:ligatures w14:val="none"/>
        </w:rPr>
        <w:t xml:space="preserve">The </w:t>
      </w:r>
      <w:proofErr w:type="spellStart"/>
      <w:r w:rsidRPr="00B068A7">
        <w:rPr>
          <w:rFonts w:ascii="Times New Roman" w:eastAsia="Times New Roman" w:hAnsi="Times New Roman" w:cs="Times New Roman"/>
          <w:i/>
          <w:iCs/>
          <w:color w:val="000000"/>
          <w:kern w:val="0"/>
          <w:lang w:eastAsia="pt-BR"/>
          <w14:ligatures w14:val="none"/>
        </w:rPr>
        <w:t>Academy</w:t>
      </w:r>
      <w:proofErr w:type="spellEnd"/>
      <w:r w:rsidRPr="00B068A7">
        <w:rPr>
          <w:rFonts w:ascii="Times New Roman" w:eastAsia="Times New Roman" w:hAnsi="Times New Roman" w:cs="Times New Roman"/>
          <w:i/>
          <w:iCs/>
          <w:color w:val="000000"/>
          <w:kern w:val="0"/>
          <w:lang w:eastAsia="pt-BR"/>
          <w14:ligatures w14:val="none"/>
        </w:rPr>
        <w:t xml:space="preserve"> Bulletin</w:t>
      </w:r>
      <w:r w:rsidRPr="00B068A7">
        <w:rPr>
          <w:rFonts w:ascii="Times New Roman" w:eastAsia="Times New Roman" w:hAnsi="Times New Roman" w:cs="Times New Roman"/>
          <w:color w:val="000000"/>
          <w:kern w:val="0"/>
          <w:lang w:eastAsia="pt-BR"/>
          <w14:ligatures w14:val="none"/>
        </w:rPr>
        <w:t> acerta ao trazer temas centrais para o debate jurídico contemporâneo, especialmente no que tange à intersecção entre política, finanças e direito penal internacional. Os artigos são, em geral, tecnicamente bem elaborados e relevantes para acadêmicos, operadores do direito e formuladores de políticas públicas.</w:t>
      </w:r>
    </w:p>
    <w:p w14:paraId="043B3105"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Entretanto, a ausência de uma crítica sistemática a Estados como Israel compromete a pretensão de universalidade ética da publicação. Ao evitar temas espinhosos como o financiamento israelense a milícias, a lavagem de dinheiro por bancos nacionais e a criminalização seletiva de organizações palestinas, o </w:t>
      </w:r>
      <w:r w:rsidRPr="00B068A7">
        <w:rPr>
          <w:rFonts w:ascii="Times New Roman" w:eastAsia="Times New Roman" w:hAnsi="Times New Roman" w:cs="Times New Roman"/>
          <w:i/>
          <w:iCs/>
          <w:color w:val="000000"/>
          <w:kern w:val="0"/>
          <w:lang w:eastAsia="pt-BR"/>
          <w14:ligatures w14:val="none"/>
        </w:rPr>
        <w:t>Bulletin</w:t>
      </w:r>
      <w:r w:rsidRPr="00B068A7">
        <w:rPr>
          <w:rFonts w:ascii="Times New Roman" w:eastAsia="Times New Roman" w:hAnsi="Times New Roman" w:cs="Times New Roman"/>
          <w:color w:val="000000"/>
          <w:kern w:val="0"/>
          <w:lang w:eastAsia="pt-BR"/>
          <w14:ligatures w14:val="none"/>
        </w:rPr>
        <w:t> acaba por reforçar um duplo padrão que mina a luta global contra o crime financeiro e o terrorismo.</w:t>
      </w:r>
    </w:p>
    <w:p w14:paraId="6DD446A9" w14:textId="77777777" w:rsidR="00B068A7" w:rsidRPr="00B068A7" w:rsidRDefault="00B068A7" w:rsidP="00B068A7">
      <w:pPr>
        <w:spacing w:before="100" w:beforeAutospacing="1" w:after="100" w:afterAutospacing="1"/>
        <w:rPr>
          <w:rFonts w:ascii="Times New Roman" w:eastAsia="Times New Roman" w:hAnsi="Times New Roman" w:cs="Times New Roman"/>
          <w:color w:val="000000"/>
          <w:kern w:val="0"/>
          <w:lang w:eastAsia="pt-BR"/>
          <w14:ligatures w14:val="none"/>
        </w:rPr>
      </w:pPr>
      <w:r w:rsidRPr="00B068A7">
        <w:rPr>
          <w:rFonts w:ascii="Times New Roman" w:eastAsia="Times New Roman" w:hAnsi="Times New Roman" w:cs="Times New Roman"/>
          <w:color w:val="000000"/>
          <w:kern w:val="0"/>
          <w:lang w:eastAsia="pt-BR"/>
          <w14:ligatures w14:val="none"/>
        </w:rPr>
        <w:t>Fica o desafio para as próximas edições: incluir vozes e casos que incomodam, abrir espaço para análises verdadeiramente plurais e romper com o filtro geopolítico que ainda contamina o campo jurídico internacional. Só assim a publicação poderá cumprir seu papel com plena integridade intelectual.</w:t>
      </w:r>
    </w:p>
    <w:p w14:paraId="03A7A3EE" w14:textId="2B285D78" w:rsidR="00B068A7" w:rsidRPr="00B068A7" w:rsidRDefault="00B068A7" w:rsidP="00B068A7">
      <w:pPr>
        <w:rPr>
          <w:rFonts w:ascii="Times New Roman" w:eastAsia="Times New Roman" w:hAnsi="Times New Roman" w:cs="Times New Roman"/>
          <w:kern w:val="0"/>
          <w:lang w:eastAsia="pt-BR"/>
          <w14:ligatures w14:val="none"/>
        </w:rPr>
      </w:pPr>
    </w:p>
    <w:p w14:paraId="51488F8B" w14:textId="4F2743E1" w:rsidR="00B068A7" w:rsidRPr="00B068A7" w:rsidRDefault="00B068A7" w:rsidP="00B068A7">
      <w:pPr>
        <w:spacing w:before="100" w:beforeAutospacing="1" w:after="100" w:afterAutospacing="1"/>
        <w:outlineLvl w:val="1"/>
        <w:rPr>
          <w:rFonts w:ascii="Times New Roman" w:eastAsia="Times New Roman" w:hAnsi="Times New Roman" w:cs="Times New Roman"/>
          <w:b/>
          <w:bCs/>
          <w:color w:val="000000"/>
          <w:kern w:val="0"/>
          <w:lang w:eastAsia="pt-BR"/>
          <w14:ligatures w14:val="none"/>
        </w:rPr>
      </w:pPr>
      <w:r w:rsidRPr="00B068A7">
        <w:rPr>
          <w:rFonts w:ascii="Times New Roman" w:eastAsia="Times New Roman" w:hAnsi="Times New Roman" w:cs="Times New Roman"/>
          <w:b/>
          <w:bCs/>
          <w:color w:val="000000"/>
          <w:kern w:val="0"/>
          <w:lang w:eastAsia="pt-BR"/>
          <w14:ligatures w14:val="none"/>
        </w:rPr>
        <w:t>REFERÊNCIAS BIBLIOGRÁFICAS</w:t>
      </w:r>
    </w:p>
    <w:p w14:paraId="67B7962B" w14:textId="77777777" w:rsidR="00B068A7" w:rsidRPr="00B068A7" w:rsidRDefault="00B068A7" w:rsidP="00B068A7">
      <w:pPr>
        <w:numPr>
          <w:ilvl w:val="0"/>
          <w:numId w:val="1"/>
        </w:numPr>
        <w:spacing w:before="100" w:beforeAutospacing="1" w:after="100" w:afterAutospacing="1"/>
        <w:rPr>
          <w:rFonts w:ascii="Times New Roman" w:eastAsia="Times New Roman" w:hAnsi="Times New Roman" w:cs="Times New Roman"/>
          <w:color w:val="000000"/>
          <w:kern w:val="0"/>
          <w:lang w:val="en-US" w:eastAsia="pt-BR"/>
          <w14:ligatures w14:val="none"/>
        </w:rPr>
      </w:pPr>
      <w:r w:rsidRPr="00B068A7">
        <w:rPr>
          <w:rFonts w:ascii="Times New Roman" w:eastAsia="Times New Roman" w:hAnsi="Times New Roman" w:cs="Times New Roman"/>
          <w:color w:val="000000"/>
          <w:kern w:val="0"/>
          <w:lang w:val="en-US" w:eastAsia="pt-BR"/>
          <w14:ligatures w14:val="none"/>
        </w:rPr>
        <w:t>B’Tselem. (2021). </w:t>
      </w:r>
      <w:r w:rsidRPr="00B068A7">
        <w:rPr>
          <w:rFonts w:ascii="Times New Roman" w:eastAsia="Times New Roman" w:hAnsi="Times New Roman" w:cs="Times New Roman"/>
          <w:i/>
          <w:iCs/>
          <w:color w:val="000000"/>
          <w:kern w:val="0"/>
          <w:lang w:val="en-US" w:eastAsia="pt-BR"/>
          <w14:ligatures w14:val="none"/>
        </w:rPr>
        <w:t>A regime of Jewish supremacy from the Jordan River to the Mediterranean Sea: This is apartheid.</w:t>
      </w:r>
    </w:p>
    <w:p w14:paraId="0908E530" w14:textId="77777777" w:rsidR="00B068A7" w:rsidRPr="00B068A7" w:rsidRDefault="00B068A7" w:rsidP="00B068A7">
      <w:pPr>
        <w:numPr>
          <w:ilvl w:val="0"/>
          <w:numId w:val="1"/>
        </w:numPr>
        <w:spacing w:before="100" w:beforeAutospacing="1" w:after="100" w:afterAutospacing="1"/>
        <w:rPr>
          <w:rFonts w:ascii="Times New Roman" w:eastAsia="Times New Roman" w:hAnsi="Times New Roman" w:cs="Times New Roman"/>
          <w:color w:val="000000"/>
          <w:kern w:val="0"/>
          <w:lang w:val="en-US" w:eastAsia="pt-BR"/>
          <w14:ligatures w14:val="none"/>
        </w:rPr>
      </w:pPr>
      <w:r w:rsidRPr="00B068A7">
        <w:rPr>
          <w:rFonts w:ascii="Times New Roman" w:eastAsia="Times New Roman" w:hAnsi="Times New Roman" w:cs="Times New Roman"/>
          <w:color w:val="000000"/>
          <w:kern w:val="0"/>
          <w:lang w:val="en-US" w:eastAsia="pt-BR"/>
          <w14:ligatures w14:val="none"/>
        </w:rPr>
        <w:t>The Guardian. (2018). </w:t>
      </w:r>
      <w:r w:rsidRPr="00B068A7">
        <w:rPr>
          <w:rFonts w:ascii="Times New Roman" w:eastAsia="Times New Roman" w:hAnsi="Times New Roman" w:cs="Times New Roman"/>
          <w:i/>
          <w:iCs/>
          <w:color w:val="000000"/>
          <w:kern w:val="0"/>
          <w:lang w:val="en-US" w:eastAsia="pt-BR"/>
          <w14:ligatures w14:val="none"/>
        </w:rPr>
        <w:t>How Israel helped create Hamas.</w:t>
      </w:r>
    </w:p>
    <w:p w14:paraId="354D15B0" w14:textId="77777777" w:rsidR="00B068A7" w:rsidRPr="00B068A7" w:rsidRDefault="00B068A7" w:rsidP="00B068A7">
      <w:pPr>
        <w:numPr>
          <w:ilvl w:val="0"/>
          <w:numId w:val="1"/>
        </w:numPr>
        <w:spacing w:before="100" w:beforeAutospacing="1" w:after="100" w:afterAutospacing="1"/>
        <w:rPr>
          <w:rFonts w:ascii="Times New Roman" w:eastAsia="Times New Roman" w:hAnsi="Times New Roman" w:cs="Times New Roman"/>
          <w:color w:val="000000"/>
          <w:kern w:val="0"/>
          <w:lang w:val="en-US" w:eastAsia="pt-BR"/>
          <w14:ligatures w14:val="none"/>
        </w:rPr>
      </w:pPr>
      <w:r w:rsidRPr="00B068A7">
        <w:rPr>
          <w:rFonts w:ascii="Times New Roman" w:eastAsia="Times New Roman" w:hAnsi="Times New Roman" w:cs="Times New Roman"/>
          <w:color w:val="000000"/>
          <w:kern w:val="0"/>
          <w:lang w:val="en-US" w:eastAsia="pt-BR"/>
          <w14:ligatures w14:val="none"/>
        </w:rPr>
        <w:t>Haaretz. (2023). </w:t>
      </w:r>
      <w:r w:rsidRPr="00B068A7">
        <w:rPr>
          <w:rFonts w:ascii="Times New Roman" w:eastAsia="Times New Roman" w:hAnsi="Times New Roman" w:cs="Times New Roman"/>
          <w:i/>
          <w:iCs/>
          <w:color w:val="000000"/>
          <w:kern w:val="0"/>
          <w:lang w:val="en-US" w:eastAsia="pt-BR"/>
          <w14:ligatures w14:val="none"/>
        </w:rPr>
        <w:t>Israeli banks involved in laundering for Russian oligarchs.</w:t>
      </w:r>
    </w:p>
    <w:p w14:paraId="6945E411" w14:textId="77777777" w:rsidR="00B068A7" w:rsidRPr="00B068A7" w:rsidRDefault="00B068A7" w:rsidP="00B068A7">
      <w:pPr>
        <w:numPr>
          <w:ilvl w:val="0"/>
          <w:numId w:val="1"/>
        </w:numPr>
        <w:spacing w:before="100" w:beforeAutospacing="1" w:after="100" w:afterAutospacing="1"/>
        <w:rPr>
          <w:rFonts w:ascii="Times New Roman" w:eastAsia="Times New Roman" w:hAnsi="Times New Roman" w:cs="Times New Roman"/>
          <w:color w:val="000000"/>
          <w:kern w:val="0"/>
          <w:lang w:val="en-US" w:eastAsia="pt-BR"/>
          <w14:ligatures w14:val="none"/>
        </w:rPr>
      </w:pPr>
      <w:r w:rsidRPr="00B068A7">
        <w:rPr>
          <w:rFonts w:ascii="Times New Roman" w:eastAsia="Times New Roman" w:hAnsi="Times New Roman" w:cs="Times New Roman"/>
          <w:color w:val="000000"/>
          <w:kern w:val="0"/>
          <w:lang w:val="en-US" w:eastAsia="pt-BR"/>
          <w14:ligatures w14:val="none"/>
        </w:rPr>
        <w:t>Institute for Palestine Studies. (2014). </w:t>
      </w:r>
      <w:r w:rsidRPr="00B068A7">
        <w:rPr>
          <w:rFonts w:ascii="Times New Roman" w:eastAsia="Times New Roman" w:hAnsi="Times New Roman" w:cs="Times New Roman"/>
          <w:i/>
          <w:iCs/>
          <w:color w:val="000000"/>
          <w:kern w:val="0"/>
          <w:lang w:val="en-US" w:eastAsia="pt-BR"/>
          <w14:ligatures w14:val="none"/>
        </w:rPr>
        <w:t>Hamas: A Creation of Mossad?</w:t>
      </w:r>
    </w:p>
    <w:p w14:paraId="394B45EE" w14:textId="77777777" w:rsidR="00B068A7" w:rsidRPr="00B068A7" w:rsidRDefault="00B068A7" w:rsidP="00B068A7">
      <w:pPr>
        <w:numPr>
          <w:ilvl w:val="0"/>
          <w:numId w:val="1"/>
        </w:numPr>
        <w:spacing w:before="100" w:beforeAutospacing="1" w:after="100" w:afterAutospacing="1"/>
        <w:rPr>
          <w:rFonts w:ascii="Times New Roman" w:eastAsia="Times New Roman" w:hAnsi="Times New Roman" w:cs="Times New Roman"/>
          <w:color w:val="000000"/>
          <w:kern w:val="0"/>
          <w:lang w:val="en-US" w:eastAsia="pt-BR"/>
          <w14:ligatures w14:val="none"/>
        </w:rPr>
      </w:pPr>
      <w:r w:rsidRPr="00B068A7">
        <w:rPr>
          <w:rFonts w:ascii="Times New Roman" w:eastAsia="Times New Roman" w:hAnsi="Times New Roman" w:cs="Times New Roman"/>
          <w:color w:val="000000"/>
          <w:kern w:val="0"/>
          <w:lang w:val="en-US" w:eastAsia="pt-BR"/>
          <w14:ligatures w14:val="none"/>
        </w:rPr>
        <w:t>New York Times. (2014). </w:t>
      </w:r>
      <w:r w:rsidRPr="00B068A7">
        <w:rPr>
          <w:rFonts w:ascii="Times New Roman" w:eastAsia="Times New Roman" w:hAnsi="Times New Roman" w:cs="Times New Roman"/>
          <w:i/>
          <w:iCs/>
          <w:color w:val="000000"/>
          <w:kern w:val="0"/>
          <w:lang w:val="en-US" w:eastAsia="pt-BR"/>
          <w14:ligatures w14:val="none"/>
        </w:rPr>
        <w:t>Israel’s Strategic Support for Hamas in the 1980s.</w:t>
      </w:r>
    </w:p>
    <w:p w14:paraId="17C68891" w14:textId="77777777" w:rsidR="00B068A7" w:rsidRPr="00B068A7" w:rsidRDefault="00B068A7" w:rsidP="00B068A7">
      <w:pPr>
        <w:numPr>
          <w:ilvl w:val="0"/>
          <w:numId w:val="1"/>
        </w:numPr>
        <w:spacing w:before="100" w:beforeAutospacing="1" w:after="100" w:afterAutospacing="1"/>
        <w:rPr>
          <w:rFonts w:ascii="Times New Roman" w:eastAsia="Times New Roman" w:hAnsi="Times New Roman" w:cs="Times New Roman"/>
          <w:color w:val="000000"/>
          <w:kern w:val="0"/>
          <w:lang w:val="en-US" w:eastAsia="pt-BR"/>
          <w14:ligatures w14:val="none"/>
        </w:rPr>
      </w:pPr>
      <w:r w:rsidRPr="00B068A7">
        <w:rPr>
          <w:rFonts w:ascii="Times New Roman" w:eastAsia="Times New Roman" w:hAnsi="Times New Roman" w:cs="Times New Roman"/>
          <w:color w:val="000000"/>
          <w:kern w:val="0"/>
          <w:lang w:val="en-US" w:eastAsia="pt-BR"/>
          <w14:ligatures w14:val="none"/>
        </w:rPr>
        <w:t>Pegasus Project. (2021). </w:t>
      </w:r>
      <w:r w:rsidRPr="00B068A7">
        <w:rPr>
          <w:rFonts w:ascii="Times New Roman" w:eastAsia="Times New Roman" w:hAnsi="Times New Roman" w:cs="Times New Roman"/>
          <w:i/>
          <w:iCs/>
          <w:color w:val="000000"/>
          <w:kern w:val="0"/>
          <w:lang w:val="en-US" w:eastAsia="pt-BR"/>
          <w14:ligatures w14:val="none"/>
        </w:rPr>
        <w:t>Global investigation into NSO Group spyware.</w:t>
      </w:r>
    </w:p>
    <w:p w14:paraId="3671D2A1" w14:textId="77777777" w:rsidR="00B068A7" w:rsidRPr="00B068A7" w:rsidRDefault="00B068A7" w:rsidP="00B068A7">
      <w:pPr>
        <w:numPr>
          <w:ilvl w:val="0"/>
          <w:numId w:val="1"/>
        </w:numPr>
        <w:spacing w:before="100" w:beforeAutospacing="1" w:after="100" w:afterAutospacing="1"/>
        <w:rPr>
          <w:rFonts w:ascii="Times New Roman" w:eastAsia="Times New Roman" w:hAnsi="Times New Roman" w:cs="Times New Roman"/>
          <w:color w:val="000000"/>
          <w:kern w:val="0"/>
          <w:lang w:val="en-US" w:eastAsia="pt-BR"/>
          <w14:ligatures w14:val="none"/>
        </w:rPr>
      </w:pPr>
      <w:r w:rsidRPr="00B068A7">
        <w:rPr>
          <w:rFonts w:ascii="Times New Roman" w:eastAsia="Times New Roman" w:hAnsi="Times New Roman" w:cs="Times New Roman"/>
          <w:color w:val="000000"/>
          <w:kern w:val="0"/>
          <w:lang w:val="en-US" w:eastAsia="pt-BR"/>
          <w14:ligatures w14:val="none"/>
        </w:rPr>
        <w:t>Reuters. (2021). </w:t>
      </w:r>
      <w:r w:rsidRPr="00B068A7">
        <w:rPr>
          <w:rFonts w:ascii="Times New Roman" w:eastAsia="Times New Roman" w:hAnsi="Times New Roman" w:cs="Times New Roman"/>
          <w:i/>
          <w:iCs/>
          <w:color w:val="000000"/>
          <w:kern w:val="0"/>
          <w:lang w:val="en-US" w:eastAsia="pt-BR"/>
          <w14:ligatures w14:val="none"/>
        </w:rPr>
        <w:t>Israel secretly armed Syrian rebels in Golan Heights.</w:t>
      </w:r>
    </w:p>
    <w:p w14:paraId="47AA4DEB" w14:textId="77777777" w:rsidR="00B068A7" w:rsidRPr="00B068A7" w:rsidRDefault="00B068A7" w:rsidP="00B068A7">
      <w:pPr>
        <w:numPr>
          <w:ilvl w:val="0"/>
          <w:numId w:val="1"/>
        </w:numPr>
        <w:spacing w:before="100" w:beforeAutospacing="1" w:after="100" w:afterAutospacing="1"/>
        <w:rPr>
          <w:rFonts w:ascii="Times New Roman" w:eastAsia="Times New Roman" w:hAnsi="Times New Roman" w:cs="Times New Roman"/>
          <w:color w:val="000000"/>
          <w:kern w:val="0"/>
          <w:lang w:val="en-US" w:eastAsia="pt-BR"/>
          <w14:ligatures w14:val="none"/>
        </w:rPr>
      </w:pPr>
      <w:r w:rsidRPr="00B068A7">
        <w:rPr>
          <w:rFonts w:ascii="Times New Roman" w:eastAsia="Times New Roman" w:hAnsi="Times New Roman" w:cs="Times New Roman"/>
          <w:color w:val="000000"/>
          <w:kern w:val="0"/>
          <w:lang w:val="en-US" w:eastAsia="pt-BR"/>
          <w14:ligatures w14:val="none"/>
        </w:rPr>
        <w:t>Transparency International. (2022). </w:t>
      </w:r>
      <w:r w:rsidRPr="00B068A7">
        <w:rPr>
          <w:rFonts w:ascii="Times New Roman" w:eastAsia="Times New Roman" w:hAnsi="Times New Roman" w:cs="Times New Roman"/>
          <w:i/>
          <w:iCs/>
          <w:color w:val="000000"/>
          <w:kern w:val="0"/>
          <w:lang w:val="en-US" w:eastAsia="pt-BR"/>
          <w14:ligatures w14:val="none"/>
        </w:rPr>
        <w:t>The influence of private donations in Israeli politics.</w:t>
      </w:r>
    </w:p>
    <w:p w14:paraId="6B7C0BA2" w14:textId="77777777" w:rsidR="00B068A7" w:rsidRPr="00B068A7" w:rsidRDefault="00B068A7" w:rsidP="00B068A7">
      <w:pPr>
        <w:numPr>
          <w:ilvl w:val="0"/>
          <w:numId w:val="1"/>
        </w:numPr>
        <w:spacing w:before="100" w:beforeAutospacing="1" w:after="100" w:afterAutospacing="1"/>
        <w:rPr>
          <w:rFonts w:ascii="Times New Roman" w:eastAsia="Times New Roman" w:hAnsi="Times New Roman" w:cs="Times New Roman"/>
          <w:color w:val="000000"/>
          <w:kern w:val="0"/>
          <w:lang w:val="en-US" w:eastAsia="pt-BR"/>
          <w14:ligatures w14:val="none"/>
        </w:rPr>
      </w:pPr>
      <w:r w:rsidRPr="00B068A7">
        <w:rPr>
          <w:rFonts w:ascii="Times New Roman" w:eastAsia="Times New Roman" w:hAnsi="Times New Roman" w:cs="Times New Roman"/>
          <w:color w:val="000000"/>
          <w:kern w:val="0"/>
          <w:lang w:val="en-US" w:eastAsia="pt-BR"/>
          <w14:ligatures w14:val="none"/>
        </w:rPr>
        <w:t>Washington Post. (2020). </w:t>
      </w:r>
      <w:r w:rsidRPr="00B068A7">
        <w:rPr>
          <w:rFonts w:ascii="Times New Roman" w:eastAsia="Times New Roman" w:hAnsi="Times New Roman" w:cs="Times New Roman"/>
          <w:i/>
          <w:iCs/>
          <w:color w:val="000000"/>
          <w:kern w:val="0"/>
          <w:lang w:val="en-US" w:eastAsia="pt-BR"/>
          <w14:ligatures w14:val="none"/>
        </w:rPr>
        <w:t>Israeli firms bribing officials in Africa.</w:t>
      </w:r>
    </w:p>
    <w:p w14:paraId="10D728D6" w14:textId="46967CCA" w:rsidR="00B068A7" w:rsidRPr="00B068A7" w:rsidRDefault="00B068A7" w:rsidP="00B068A7">
      <w:pPr>
        <w:rPr>
          <w:rFonts w:ascii="Times New Roman" w:eastAsia="Times New Roman" w:hAnsi="Times New Roman" w:cs="Times New Roman"/>
          <w:kern w:val="0"/>
          <w:lang w:eastAsia="pt-BR"/>
          <w14:ligatures w14:val="none"/>
        </w:rPr>
      </w:pPr>
    </w:p>
    <w:p w14:paraId="32FBFD3B" w14:textId="77777777" w:rsidR="00FF3143" w:rsidRDefault="00FF3143"/>
    <w:sectPr w:rsidR="00FF31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C2E23"/>
    <w:multiLevelType w:val="multilevel"/>
    <w:tmpl w:val="8180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923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8A7"/>
    <w:rsid w:val="003102A3"/>
    <w:rsid w:val="00963AE9"/>
    <w:rsid w:val="00B068A7"/>
    <w:rsid w:val="00D856BC"/>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12090"/>
  <w15:chartTrackingRefBased/>
  <w15:docId w15:val="{3F4D7AF7-42D8-F342-94E6-B216F439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06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B06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B068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068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068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068A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068A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068A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068A7"/>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068A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B068A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B068A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068A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068A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068A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068A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068A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068A7"/>
    <w:rPr>
      <w:rFonts w:eastAsiaTheme="majorEastAsia" w:cstheme="majorBidi"/>
      <w:color w:val="272727" w:themeColor="text1" w:themeTint="D8"/>
    </w:rPr>
  </w:style>
  <w:style w:type="paragraph" w:styleId="Ttulo">
    <w:name w:val="Title"/>
    <w:basedOn w:val="Normal"/>
    <w:next w:val="Normal"/>
    <w:link w:val="TtuloChar"/>
    <w:uiPriority w:val="10"/>
    <w:qFormat/>
    <w:rsid w:val="00B068A7"/>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068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068A7"/>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068A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068A7"/>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B068A7"/>
    <w:rPr>
      <w:i/>
      <w:iCs/>
      <w:color w:val="404040" w:themeColor="text1" w:themeTint="BF"/>
    </w:rPr>
  </w:style>
  <w:style w:type="paragraph" w:styleId="PargrafodaLista">
    <w:name w:val="List Paragraph"/>
    <w:basedOn w:val="Normal"/>
    <w:uiPriority w:val="34"/>
    <w:qFormat/>
    <w:rsid w:val="00B068A7"/>
    <w:pPr>
      <w:ind w:left="720"/>
      <w:contextualSpacing/>
    </w:pPr>
  </w:style>
  <w:style w:type="character" w:styleId="nfaseIntensa">
    <w:name w:val="Intense Emphasis"/>
    <w:basedOn w:val="Fontepargpadro"/>
    <w:uiPriority w:val="21"/>
    <w:qFormat/>
    <w:rsid w:val="00B068A7"/>
    <w:rPr>
      <w:i/>
      <w:iCs/>
      <w:color w:val="0F4761" w:themeColor="accent1" w:themeShade="BF"/>
    </w:rPr>
  </w:style>
  <w:style w:type="paragraph" w:styleId="CitaoIntensa">
    <w:name w:val="Intense Quote"/>
    <w:basedOn w:val="Normal"/>
    <w:next w:val="Normal"/>
    <w:link w:val="CitaoIntensaChar"/>
    <w:uiPriority w:val="30"/>
    <w:qFormat/>
    <w:rsid w:val="00B06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068A7"/>
    <w:rPr>
      <w:i/>
      <w:iCs/>
      <w:color w:val="0F4761" w:themeColor="accent1" w:themeShade="BF"/>
    </w:rPr>
  </w:style>
  <w:style w:type="character" w:styleId="RefernciaIntensa">
    <w:name w:val="Intense Reference"/>
    <w:basedOn w:val="Fontepargpadro"/>
    <w:uiPriority w:val="32"/>
    <w:qFormat/>
    <w:rsid w:val="00B068A7"/>
    <w:rPr>
      <w:b/>
      <w:bCs/>
      <w:smallCaps/>
      <w:color w:val="0F4761" w:themeColor="accent1" w:themeShade="BF"/>
      <w:spacing w:val="5"/>
    </w:rPr>
  </w:style>
  <w:style w:type="paragraph" w:styleId="NormalWeb">
    <w:name w:val="Normal (Web)"/>
    <w:basedOn w:val="Normal"/>
    <w:uiPriority w:val="99"/>
    <w:semiHidden/>
    <w:unhideWhenUsed/>
    <w:rsid w:val="00B068A7"/>
    <w:pPr>
      <w:spacing w:before="100" w:beforeAutospacing="1" w:after="100" w:afterAutospacing="1"/>
    </w:pPr>
    <w:rPr>
      <w:rFonts w:ascii="Times New Roman" w:eastAsia="Times New Roman" w:hAnsi="Times New Roman" w:cs="Times New Roman"/>
      <w:kern w:val="0"/>
      <w:lang w:eastAsia="pt-BR"/>
      <w14:ligatures w14:val="none"/>
    </w:rPr>
  </w:style>
  <w:style w:type="character" w:customStyle="1" w:styleId="apple-converted-space">
    <w:name w:val="apple-converted-space"/>
    <w:basedOn w:val="Fontepargpadro"/>
    <w:rsid w:val="00B068A7"/>
  </w:style>
  <w:style w:type="character" w:styleId="Forte">
    <w:name w:val="Strong"/>
    <w:basedOn w:val="Fontepargpadro"/>
    <w:uiPriority w:val="22"/>
    <w:qFormat/>
    <w:rsid w:val="00B068A7"/>
    <w:rPr>
      <w:b/>
      <w:bCs/>
    </w:rPr>
  </w:style>
  <w:style w:type="character" w:styleId="nfase">
    <w:name w:val="Emphasis"/>
    <w:basedOn w:val="Fontepargpadro"/>
    <w:uiPriority w:val="20"/>
    <w:qFormat/>
    <w:rsid w:val="00B068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02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1554</Words>
  <Characters>8396</Characters>
  <Application>Microsoft Office Word</Application>
  <DocSecurity>0</DocSecurity>
  <Lines>69</Lines>
  <Paragraphs>19</Paragraphs>
  <ScaleCrop>false</ScaleCrop>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1</cp:revision>
  <dcterms:created xsi:type="dcterms:W3CDTF">2025-06-28T22:26:00Z</dcterms:created>
  <dcterms:modified xsi:type="dcterms:W3CDTF">2025-06-28T23:08:00Z</dcterms:modified>
</cp:coreProperties>
</file>