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3DF1" w14:textId="77777777" w:rsidR="00825AF9" w:rsidRDefault="00825AF9" w:rsidP="00825AF9">
      <w:pPr>
        <w:pStyle w:val="NormalWeb"/>
        <w:rPr>
          <w:rStyle w:val="Forte"/>
          <w:rFonts w:eastAsiaTheme="majorEastAsia"/>
          <w:color w:val="000000"/>
        </w:rPr>
      </w:pPr>
      <w:r>
        <w:rPr>
          <w:rStyle w:val="Forte"/>
          <w:rFonts w:eastAsiaTheme="majorEastAsia"/>
          <w:color w:val="000000"/>
        </w:rPr>
        <w:t>Margens de Preferência e Medidas Compensatórias em Compras Governamentais</w:t>
      </w:r>
    </w:p>
    <w:p w14:paraId="406C301D" w14:textId="03624164" w:rsidR="00771788" w:rsidRDefault="00771788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t>P</w:t>
      </w:r>
      <w:r w:rsidR="00324EE2">
        <w:rPr>
          <w:rStyle w:val="Forte"/>
          <w:rFonts w:eastAsiaTheme="majorEastAsia"/>
          <w:color w:val="000000"/>
        </w:rPr>
        <w:t xml:space="preserve">or: Pedro Paulo Henrichs Neto </w:t>
      </w:r>
    </w:p>
    <w:p w14:paraId="5F4C1C44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As compras governamentais são ferramentas estratégicas fundamentais para o desenvolvimento econômico, a promoção da inovação e o fortalecimento de pequenas e médias empresas. Dois instrumentos se destacam nesse contexto: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margens de preferência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medidas compensatórias (offsets)</w:t>
      </w:r>
      <w:r>
        <w:rPr>
          <w:color w:val="000000"/>
        </w:rPr>
        <w:t>, ambos com papel importante nas políticas industriais.</w:t>
      </w:r>
    </w:p>
    <w:p w14:paraId="05E5551E" w14:textId="77777777" w:rsidR="00825AF9" w:rsidRDefault="00825AF9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t>1. Margens de Preferência</w:t>
      </w:r>
    </w:p>
    <w:p w14:paraId="49FF0F67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As margens de preferência permitem que produtos ou serviços nacionais sejam priorizados em licitações públicas, mesmo quando seus preços são superiores aos de concorrentes estrangeiros, dentro de um limite legalmente estabelecido.</w:t>
      </w:r>
    </w:p>
    <w:p w14:paraId="58FEC266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Entre as vantagens, destaca-se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fortalecimento da indústria nacional</w:t>
      </w:r>
      <w:r>
        <w:rPr>
          <w:color w:val="000000"/>
        </w:rPr>
        <w:t>, com geração de empregos e fortalecimento de cadeias produtivas essenciais para a soberania produtiva (BRASIL, 2024a). Além disso, incentiva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inovação tecnológica</w:t>
      </w:r>
      <w:r>
        <w:rPr>
          <w:color w:val="000000"/>
        </w:rPr>
        <w:t>, estimula a participação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pequenas empresas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contribui para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reduzir desigualdades regionais</w:t>
      </w:r>
      <w:r>
        <w:rPr>
          <w:color w:val="000000"/>
        </w:rPr>
        <w:t>, promovendo inclusão social e desenvolvimento local (MDIC, 2024).</w:t>
      </w:r>
    </w:p>
    <w:p w14:paraId="4074B70B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Contudo, existem desvantagens. O Estado pode arcar com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custos mais elevados</w:t>
      </w:r>
      <w:r>
        <w:rPr>
          <w:color w:val="000000"/>
        </w:rPr>
        <w:t>, e empresas locais podem se acomodar, reduzindo sua competitividade (TCU, 2024). Há ainda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riscos de violação de princípios de isonomia e livre concorrência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dificuldade para mensurar se os benefícios superam os custos (TCU, 2024).</w:t>
      </w:r>
    </w:p>
    <w:p w14:paraId="589F01BA" w14:textId="77777777" w:rsidR="00825AF9" w:rsidRDefault="00825AF9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t>2. Medidas Compensatórias (Offsets)</w:t>
      </w:r>
    </w:p>
    <w:p w14:paraId="67122984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As medidas compensatórias consistem na exigência de contrapartidas de fornecedores estrangeiros em contratos governamentais,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transferência de tecnologia</w:t>
      </w:r>
      <w:r>
        <w:rPr>
          <w:color w:val="000000"/>
        </w:rPr>
        <w:t>, investimentos locais ou parcerias com empresas nacionais. São comuns em setores como defesa, saúde e tecnologia (ABIFINA, 2024; SCIELO, 2024).</w:t>
      </w:r>
    </w:p>
    <w:p w14:paraId="3ECF8AD7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As vantagens incluem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acesso a tecnologias</w:t>
      </w:r>
      <w:r>
        <w:rPr>
          <w:color w:val="000000"/>
        </w:rPr>
        <w:t>,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geração de empregos qualificados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o fortalecimento de setores estratégicos, contribuindo para a autonomia nacional (ABIFINA, 2024). Contudo, sua aplicação pode ser complexa, exigindo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alta capacidade técnica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para negociação e fiscalização (IPEA, 2024). Contrapartidas mal planejadas podem gerar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custos adicionais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ou judicialização (SCIELO, 2024).</w:t>
      </w:r>
    </w:p>
    <w:p w14:paraId="3B0E246F" w14:textId="77777777" w:rsidR="00825AF9" w:rsidRDefault="00825AF9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t>3. Acordo Mercosul–União Europeia (2019–2024)</w:t>
      </w:r>
    </w:p>
    <w:p w14:paraId="2898975C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Nas negociações do Acordo Mercosul–União Europeia, o Brasil buscou preservar seus instrumentos estratégicos. Garantiu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exclusão do SUS das regras do acordo</w:t>
      </w:r>
      <w:r>
        <w:rPr>
          <w:color w:val="000000"/>
        </w:rPr>
        <w:t>, mantendo a soberania em saúde pública (EBBC, 2024; CNN BRASIL, 2024). Também assegurou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continuidade das margens de preferência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a proteção de políticas para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orte"/>
          <w:rFonts w:eastAsiaTheme="majorEastAsia"/>
          <w:color w:val="000000"/>
        </w:rPr>
        <w:t>agricultura familiar e pequenas empresas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(ABDI, 2024; MDIC, 2024).</w:t>
      </w:r>
    </w:p>
    <w:p w14:paraId="00F36085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Essa postura buscou equilibrar abertura de mercado com a preservação de políticas essenciais ao desenvolvimento nacional.</w:t>
      </w:r>
    </w:p>
    <w:p w14:paraId="13CA755B" w14:textId="77777777" w:rsidR="00825AF9" w:rsidRDefault="00825AF9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lastRenderedPageBreak/>
        <w:t>4. Conclusão</w:t>
      </w:r>
    </w:p>
    <w:p w14:paraId="5904EFE3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As margens de preferência e as medidas compensatórias são instrumentos lícitos para estimular o desenvolvimento econômico, industrial e social. Sua aplicação deve ser criteriosa, garantindo eficiência e alinhamento com compromissos internacionais. A experiência brasileira demonstra a importância de conciliar integração global com a proteção de setores estratégicos.</w:t>
      </w:r>
    </w:p>
    <w:p w14:paraId="2D73B5EA" w14:textId="77777777" w:rsidR="00825AF9" w:rsidRDefault="00825AF9" w:rsidP="00825AF9">
      <w:pPr>
        <w:pStyle w:val="NormalWeb"/>
        <w:rPr>
          <w:color w:val="000000"/>
        </w:rPr>
      </w:pPr>
      <w:r>
        <w:rPr>
          <w:rStyle w:val="Forte"/>
          <w:rFonts w:eastAsiaTheme="majorEastAsia"/>
          <w:color w:val="000000"/>
        </w:rPr>
        <w:t>Referências</w:t>
      </w:r>
    </w:p>
    <w:p w14:paraId="4B169717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ABDI. Agência Brasileira de Desenvolvimento Industrial. Disponível em:</w:t>
      </w:r>
      <w:r>
        <w:rPr>
          <w:rStyle w:val="apple-converted-space"/>
          <w:rFonts w:eastAsiaTheme="majorEastAsia"/>
          <w:color w:val="000000"/>
        </w:rPr>
        <w:t> </w:t>
      </w:r>
      <w:hyperlink r:id="rId5" w:history="1">
        <w:r>
          <w:rPr>
            <w:rStyle w:val="Hyperlink"/>
            <w:rFonts w:eastAsiaTheme="majorEastAsia"/>
          </w:rPr>
          <w:t>https://www.abdi.com.br/</w:t>
        </w:r>
      </w:hyperlink>
      <w:r>
        <w:rPr>
          <w:color w:val="000000"/>
        </w:rPr>
        <w:t>. Acesso em: 02 jul. 2025.</w:t>
      </w:r>
    </w:p>
    <w:p w14:paraId="3CAF3954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ABIFINA. Associação Brasileira das Indústrias de Química Fina. Disponível em:</w:t>
      </w:r>
      <w:r>
        <w:rPr>
          <w:rStyle w:val="apple-converted-space"/>
          <w:rFonts w:eastAsiaTheme="majorEastAsia"/>
          <w:color w:val="000000"/>
        </w:rPr>
        <w:t> </w:t>
      </w:r>
      <w:hyperlink r:id="rId6" w:history="1">
        <w:r>
          <w:rPr>
            <w:rStyle w:val="Hyperlink"/>
            <w:rFonts w:eastAsiaTheme="majorEastAsia"/>
          </w:rPr>
          <w:t>https://www.abifina.org.br/</w:t>
        </w:r>
      </w:hyperlink>
      <w:r>
        <w:rPr>
          <w:color w:val="000000"/>
        </w:rPr>
        <w:t>. Acesso em: 02 jul. 2025.</w:t>
      </w:r>
    </w:p>
    <w:p w14:paraId="29371B8A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BRASIL. Ministério da Economia. Compras Governamentais. Brasília: 2024a.</w:t>
      </w:r>
    </w:p>
    <w:p w14:paraId="422856AC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CNN BRASIL. Acordo Mercosul-UE: entenda as negociações. 2024. Disponível em:</w:t>
      </w:r>
      <w:r>
        <w:rPr>
          <w:rStyle w:val="apple-converted-space"/>
          <w:rFonts w:eastAsiaTheme="majorEastAsia"/>
          <w:color w:val="000000"/>
        </w:rPr>
        <w:t> </w:t>
      </w:r>
      <w:hyperlink r:id="rId7" w:history="1">
        <w:r>
          <w:rPr>
            <w:rStyle w:val="Hyperlink"/>
            <w:rFonts w:eastAsiaTheme="majorEastAsia"/>
          </w:rPr>
          <w:t>https://www.cnnbrasil.com.br/</w:t>
        </w:r>
      </w:hyperlink>
      <w:r>
        <w:rPr>
          <w:color w:val="000000"/>
        </w:rPr>
        <w:t>. Acesso em: 02 jul. 2025.</w:t>
      </w:r>
    </w:p>
    <w:p w14:paraId="2091E0A6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 xml:space="preserve">EBBC. </w:t>
      </w:r>
      <w:proofErr w:type="spellStart"/>
      <w:r>
        <w:rPr>
          <w:color w:val="000000"/>
        </w:rPr>
        <w:t>European-Brazilian</w:t>
      </w:r>
      <w:proofErr w:type="spellEnd"/>
      <w:r>
        <w:rPr>
          <w:color w:val="000000"/>
        </w:rPr>
        <w:t xml:space="preserve"> Business </w:t>
      </w:r>
      <w:proofErr w:type="spellStart"/>
      <w:r>
        <w:rPr>
          <w:color w:val="000000"/>
        </w:rPr>
        <w:t>Council</w:t>
      </w:r>
      <w:proofErr w:type="spellEnd"/>
      <w:r>
        <w:rPr>
          <w:color w:val="000000"/>
        </w:rPr>
        <w:t>. Relatório sobre o Acordo Mercosul-UE. 2024.</w:t>
      </w:r>
    </w:p>
    <w:p w14:paraId="176403D1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IPEA. Instituto de Pesquisa Econômica Aplicada. Brasília: 2024.</w:t>
      </w:r>
    </w:p>
    <w:p w14:paraId="72F335A6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MDIC. Ministério do Desenvolvimento, Indústria, Comércio e Serviços. 2024.</w:t>
      </w:r>
    </w:p>
    <w:p w14:paraId="775E2181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 xml:space="preserve">SCIELO. </w:t>
      </w:r>
      <w:proofErr w:type="spellStart"/>
      <w:r>
        <w:rPr>
          <w:color w:val="000000"/>
        </w:rPr>
        <w:t>Scientific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Electronic</w:t>
      </w:r>
      <w:proofErr w:type="spellEnd"/>
      <w:r>
        <w:rPr>
          <w:color w:val="000000"/>
        </w:rPr>
        <w:t xml:space="preserve"> Library Online. 2024.</w:t>
      </w:r>
    </w:p>
    <w:p w14:paraId="713849F8" w14:textId="77777777" w:rsidR="00825AF9" w:rsidRDefault="00825AF9" w:rsidP="00825AF9">
      <w:pPr>
        <w:pStyle w:val="NormalWeb"/>
        <w:rPr>
          <w:color w:val="000000"/>
        </w:rPr>
      </w:pPr>
      <w:r>
        <w:rPr>
          <w:color w:val="000000"/>
        </w:rPr>
        <w:t>TCU. Tribunal de Contas da União. Brasília: 2024.</w:t>
      </w:r>
    </w:p>
    <w:p w14:paraId="023EEF3F" w14:textId="77777777" w:rsidR="00FF3143" w:rsidRPr="00825AF9" w:rsidRDefault="00FF3143" w:rsidP="00825AF9"/>
    <w:sectPr w:rsidR="00FF3143" w:rsidRPr="00825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633"/>
    <w:multiLevelType w:val="multilevel"/>
    <w:tmpl w:val="53A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6398"/>
    <w:multiLevelType w:val="multilevel"/>
    <w:tmpl w:val="385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54E40"/>
    <w:multiLevelType w:val="multilevel"/>
    <w:tmpl w:val="693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5145C"/>
    <w:multiLevelType w:val="multilevel"/>
    <w:tmpl w:val="992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1F2D"/>
    <w:multiLevelType w:val="multilevel"/>
    <w:tmpl w:val="4DC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580">
    <w:abstractNumId w:val="4"/>
  </w:num>
  <w:num w:numId="2" w16cid:durableId="1694576626">
    <w:abstractNumId w:val="2"/>
  </w:num>
  <w:num w:numId="3" w16cid:durableId="1192190118">
    <w:abstractNumId w:val="1"/>
  </w:num>
  <w:num w:numId="4" w16cid:durableId="1850244944">
    <w:abstractNumId w:val="0"/>
  </w:num>
  <w:num w:numId="5" w16cid:durableId="1955819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F9"/>
    <w:rsid w:val="003102A3"/>
    <w:rsid w:val="00324EE2"/>
    <w:rsid w:val="00771788"/>
    <w:rsid w:val="00825AF9"/>
    <w:rsid w:val="00963AE9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8F60"/>
  <w15:chartTrackingRefBased/>
  <w15:docId w15:val="{51DE6479-C183-E14A-9ED1-D1032E5D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5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A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A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A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A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5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A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A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A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A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A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A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A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A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A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A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25AF9"/>
    <w:rPr>
      <w:b/>
      <w:bCs/>
    </w:rPr>
  </w:style>
  <w:style w:type="character" w:customStyle="1" w:styleId="apple-converted-space">
    <w:name w:val="apple-converted-space"/>
    <w:basedOn w:val="Fontepargpadro"/>
    <w:rsid w:val="00825AF9"/>
  </w:style>
  <w:style w:type="character" w:styleId="Hyperlink">
    <w:name w:val="Hyperlink"/>
    <w:basedOn w:val="Fontepargpadro"/>
    <w:uiPriority w:val="99"/>
    <w:semiHidden/>
    <w:unhideWhenUsed/>
    <w:rsid w:val="00825A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nnbrasil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ifina.org.br/" TargetMode="External"/><Relationship Id="rId5" Type="http://schemas.openxmlformats.org/officeDocument/2006/relationships/hyperlink" Target="https://www.abdi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625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3</cp:revision>
  <dcterms:created xsi:type="dcterms:W3CDTF">2025-07-04T20:38:00Z</dcterms:created>
  <dcterms:modified xsi:type="dcterms:W3CDTF">2025-07-08T18:26:00Z</dcterms:modified>
</cp:coreProperties>
</file>