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FBFA" w14:textId="6C40F8A7" w:rsidR="00033FF2" w:rsidRPr="00033FF2" w:rsidRDefault="00033FF2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0D881B" w14:textId="009E46ED" w:rsidR="00033FF2" w:rsidRPr="00033FF2" w:rsidRDefault="00033FF2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F2B676D" w14:textId="252A3E5C" w:rsidR="00033FF2" w:rsidRPr="00033FF2" w:rsidRDefault="00033FF2" w:rsidP="00033F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pt-BR"/>
          <w14:ligatures w14:val="none"/>
        </w:rPr>
        <w:t xml:space="preserve">Análise Regulatória do Setor de Saúde no Brasil: </w:t>
      </w:r>
    </w:p>
    <w:p w14:paraId="0F2B7E7E" w14:textId="77777777" w:rsidR="00033FF2" w:rsidRPr="00033FF2" w:rsidRDefault="00033FF2" w:rsidP="00033F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Resumo</w:t>
      </w:r>
    </w:p>
    <w:p w14:paraId="12A05C9A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presente trabalho realiza uma análise crítica da aplicação do princípio do Tratamento Nacional (TN) no setor de saúde brasileiro, destacando suas tensões regulatórias, riscos à soberania sanitária e possíveis benefícios econômicos. A pesquisa aponta que, embora a equiparação entre prestadores de serviços nacionais e estrangeiros possa gerar inovação e investimentos, é necessária uma abertura regulada, com foco na preservação do Sistema Único de Saúde (SUS) e da autonomia normativa nacional.</w:t>
      </w:r>
    </w:p>
    <w:p w14:paraId="2D0D3598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Palavras-chave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Tratamento Nacional; Saúde; GATS; Acordos internacionais; Regulação sanitária.</w:t>
      </w:r>
    </w:p>
    <w:p w14:paraId="6ECDE427" w14:textId="78520643" w:rsidR="00033FF2" w:rsidRPr="00033FF2" w:rsidRDefault="00033FF2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B6A77F" w14:textId="77777777" w:rsidR="00033FF2" w:rsidRPr="00033FF2" w:rsidRDefault="00033FF2" w:rsidP="00033F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1. Introdução</w:t>
      </w:r>
    </w:p>
    <w:p w14:paraId="5944B297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 contexto das negociações multilaterais de comércio, o Acordo Geral sobre Comércio de Serviços (GATS, na sigla em inglês) é o principal marco regulatório da Organização Mundial do Comércio (OMC) no que tange à liberalização dos serviços. Firmado em 1995, o GATS estabelece um conjunto de normas para promover o comércio transfronteiriço de serviços de maneira progressiva e previsível, respeitando princípios como a transparência, a não discriminação e o Tratamento Nacional (TN). Este último, em particular, exige que os prestadores de serviços estrangeiros recebam tratamento equivalente ao dispensado aos prestadores nacionais, após sua entrada legal no mercado.</w:t>
      </w:r>
    </w:p>
    <w:p w14:paraId="3B8423A5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 entanto, a aplicação desse princípio em setores estratégicos, como o da saúde, suscita preocupações legítimas. No Brasil, onde a Constituição de 1988 assegura a saúde como direito de todos e dever do Estado por meio do Sistema Único de Saúde (SUS), a adoção irrestrita do TN pode comprometer políticas públicas, dificultar a regulação sanitária e estimular a mercantilização do atendimento médico.</w:t>
      </w:r>
    </w:p>
    <w:p w14:paraId="57585425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Diante dessas questões, esta resenha propõe uma análise das tensões, riscos e possíveis benefícios da aplicação do TN no setor de saúde brasileiro, sugerindo diretrizes para uma posição estratégica do país nas negociações internacionais.</w:t>
      </w:r>
    </w:p>
    <w:p w14:paraId="72A0FC29" w14:textId="77777777" w:rsidR="00033FF2" w:rsidRPr="00033FF2" w:rsidRDefault="00594870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487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6DCB66A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4F6A03D" w14:textId="77777777" w:rsidR="00033FF2" w:rsidRPr="00033FF2" w:rsidRDefault="00033FF2" w:rsidP="00033F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Tensões Regulatórias no Contexto Nacional</w:t>
      </w:r>
    </w:p>
    <w:p w14:paraId="246E1ADB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adoção do Tratamento Nacional no setor de saúde provoca choques entre a lógica comercial dos acordos internacionais e a função social da saúde pública. As principais tensões observadas são:</w:t>
      </w:r>
    </w:p>
    <w:p w14:paraId="2F08FD1B" w14:textId="77777777" w:rsidR="00033FF2" w:rsidRPr="00033FF2" w:rsidRDefault="00033FF2" w:rsidP="00033F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Soberania nacional e liberalização comercial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a pressão por abertura irrestrita pode comprometer a autonomia regulatória do Estado.</w:t>
      </w:r>
    </w:p>
    <w:p w14:paraId="06E2BB78" w14:textId="77777777" w:rsidR="00033FF2" w:rsidRPr="00033FF2" w:rsidRDefault="00033FF2" w:rsidP="00033F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Regulação sanitária e exigências comerciais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normas da ANVISA e do CFM são frequentemente questionadas como barreiras técnicas ao comércio.</w:t>
      </w:r>
    </w:p>
    <w:p w14:paraId="433EA916" w14:textId="77777777" w:rsidR="00033FF2" w:rsidRPr="00033FF2" w:rsidRDefault="00033FF2" w:rsidP="00033F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Universalidade de acesso e interesses mercantis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a expansão de grandes grupos privados tende a elitizar o acesso e fragmentar o sistema de saúde.</w:t>
      </w:r>
    </w:p>
    <w:p w14:paraId="55E97733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Exemplos práticos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incluem a pressão de empresas multinacionais por flexibilização nos registros sanitários, o crescimento da participação de operadoras estrangeiras como a </w:t>
      </w:r>
      <w:proofErr w:type="spellStart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UnitedHealth</w:t>
      </w:r>
      <w:proofErr w:type="spellEnd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Group</w:t>
      </w:r>
      <w:proofErr w:type="spellEnd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e a compra de redes hospitalares por fundos internacionais (PINHEIRO; TRAVASSOS, 2017).</w:t>
      </w:r>
    </w:p>
    <w:p w14:paraId="788EC0EE" w14:textId="77777777" w:rsidR="00033FF2" w:rsidRPr="00033FF2" w:rsidRDefault="00594870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487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C4ED52E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178C6FC3" w14:textId="77777777" w:rsidR="00033FF2" w:rsidRPr="00033FF2" w:rsidRDefault="00033FF2" w:rsidP="00033F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3. Riscos da Equiparação entre Serviços Nacionais e Estrangeiros</w:t>
      </w:r>
    </w:p>
    <w:p w14:paraId="01A844B7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adoção indiscriminada do TN pode produzir efeitos adversos para a saúde pública e para a soberania regulatória brasileira: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3175"/>
        <w:gridCol w:w="3211"/>
      </w:tblGrid>
      <w:tr w:rsidR="00033FF2" w:rsidRPr="00033FF2" w14:paraId="35BF658B" w14:textId="77777777" w:rsidTr="00033F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0CECA" w14:textId="77777777" w:rsidR="00033FF2" w:rsidRPr="00033FF2" w:rsidRDefault="00033FF2" w:rsidP="00033F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2FE9D89A" w14:textId="77777777" w:rsidR="00033FF2" w:rsidRPr="00033FF2" w:rsidRDefault="00033FF2" w:rsidP="00033F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9275A49" w14:textId="77777777" w:rsidR="00033FF2" w:rsidRPr="00033FF2" w:rsidRDefault="00033FF2" w:rsidP="00033F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Exemplo</w:t>
            </w:r>
          </w:p>
        </w:tc>
      </w:tr>
      <w:tr w:rsidR="00033FF2" w:rsidRPr="00033FF2" w14:paraId="4587D60D" w14:textId="77777777" w:rsidTr="00033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5E84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Fragilização do SUS</w:t>
            </w:r>
          </w:p>
        </w:tc>
        <w:tc>
          <w:tcPr>
            <w:tcW w:w="0" w:type="auto"/>
            <w:vAlign w:val="center"/>
            <w:hideMark/>
          </w:tcPr>
          <w:p w14:paraId="51E19956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Redução da base contributiva e migração de usuários para o setor privado</w:t>
            </w:r>
          </w:p>
        </w:tc>
        <w:tc>
          <w:tcPr>
            <w:tcW w:w="0" w:type="auto"/>
            <w:vAlign w:val="center"/>
            <w:hideMark/>
          </w:tcPr>
          <w:p w14:paraId="56C45899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Diminuição do financiamento público por fuga da classe média ao setor privado</w:t>
            </w:r>
          </w:p>
        </w:tc>
      </w:tr>
      <w:tr w:rsidR="00033FF2" w:rsidRPr="00033FF2" w14:paraId="176A1B4F" w14:textId="77777777" w:rsidTr="00033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7CDB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Aumento de custos</w:t>
            </w:r>
          </w:p>
        </w:tc>
        <w:tc>
          <w:tcPr>
            <w:tcW w:w="0" w:type="auto"/>
            <w:vAlign w:val="center"/>
            <w:hideMark/>
          </w:tcPr>
          <w:p w14:paraId="2A617FA7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Elevação dos preços de medicamentos e serviços devido à lógica lucrativa externa</w:t>
            </w:r>
          </w:p>
        </w:tc>
        <w:tc>
          <w:tcPr>
            <w:tcW w:w="0" w:type="auto"/>
            <w:vAlign w:val="center"/>
            <w:hideMark/>
          </w:tcPr>
          <w:p w14:paraId="796AF5F1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Caso norte-americano: custos elevados sem universalidade</w:t>
            </w:r>
          </w:p>
        </w:tc>
      </w:tr>
      <w:tr w:rsidR="00033FF2" w:rsidRPr="00033FF2" w14:paraId="135CAE92" w14:textId="77777777" w:rsidTr="00033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69CF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Dependência tecnológica</w:t>
            </w:r>
          </w:p>
        </w:tc>
        <w:tc>
          <w:tcPr>
            <w:tcW w:w="0" w:type="auto"/>
            <w:vAlign w:val="center"/>
            <w:hideMark/>
          </w:tcPr>
          <w:p w14:paraId="7736084E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Perda de autonomia na produção de vacinas, insumos e equipamentos</w:t>
            </w:r>
          </w:p>
        </w:tc>
        <w:tc>
          <w:tcPr>
            <w:tcW w:w="0" w:type="auto"/>
            <w:vAlign w:val="center"/>
            <w:hideMark/>
          </w:tcPr>
          <w:p w14:paraId="6EE99DEE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Pandemia de COVID-19 evidenciou essa vulnerabilidade</w:t>
            </w:r>
          </w:p>
        </w:tc>
      </w:tr>
      <w:tr w:rsidR="00033FF2" w:rsidRPr="00033FF2" w14:paraId="361F7D99" w14:textId="77777777" w:rsidTr="00033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DB4C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Desnacionalização de ativos</w:t>
            </w:r>
          </w:p>
        </w:tc>
        <w:tc>
          <w:tcPr>
            <w:tcW w:w="0" w:type="auto"/>
            <w:vAlign w:val="center"/>
            <w:hideMark/>
          </w:tcPr>
          <w:p w14:paraId="0D66DEA9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Aquisição de hospitais e laboratórios por grupos internacionais</w:t>
            </w:r>
          </w:p>
        </w:tc>
        <w:tc>
          <w:tcPr>
            <w:tcW w:w="0" w:type="auto"/>
            <w:vAlign w:val="center"/>
            <w:hideMark/>
          </w:tcPr>
          <w:p w14:paraId="3E78AA06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Compra da Amil por fundo estrangeiro; expansão da Rede D’Or</w:t>
            </w:r>
          </w:p>
        </w:tc>
      </w:tr>
    </w:tbl>
    <w:p w14:paraId="7122331E" w14:textId="77777777" w:rsidR="00033FF2" w:rsidRPr="00033FF2" w:rsidRDefault="00594870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487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75502EE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480FEC40" w14:textId="77777777" w:rsidR="00033FF2" w:rsidRPr="00033FF2" w:rsidRDefault="00033FF2" w:rsidP="00033F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4. Potenciais Benefícios da Abertura Controlada</w:t>
      </w:r>
    </w:p>
    <w:p w14:paraId="25E731BD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Por outro lado, uma abertura controlada e estrategicamente regulada pode gerar benefícios concretos: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3068"/>
        <w:gridCol w:w="3586"/>
      </w:tblGrid>
      <w:tr w:rsidR="00033FF2" w:rsidRPr="00033FF2" w14:paraId="0688885B" w14:textId="77777777" w:rsidTr="00033F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BD503" w14:textId="77777777" w:rsidR="00033FF2" w:rsidRPr="00033FF2" w:rsidRDefault="00033FF2" w:rsidP="00033F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Benefício</w:t>
            </w:r>
          </w:p>
        </w:tc>
        <w:tc>
          <w:tcPr>
            <w:tcW w:w="0" w:type="auto"/>
            <w:vAlign w:val="center"/>
            <w:hideMark/>
          </w:tcPr>
          <w:p w14:paraId="10D79428" w14:textId="77777777" w:rsidR="00033FF2" w:rsidRPr="00033FF2" w:rsidRDefault="00033FF2" w:rsidP="00033F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Impacto Positivo</w:t>
            </w:r>
          </w:p>
        </w:tc>
        <w:tc>
          <w:tcPr>
            <w:tcW w:w="0" w:type="auto"/>
            <w:vAlign w:val="center"/>
            <w:hideMark/>
          </w:tcPr>
          <w:p w14:paraId="395B819F" w14:textId="77777777" w:rsidR="00033FF2" w:rsidRPr="00033FF2" w:rsidRDefault="00033FF2" w:rsidP="00033F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Exemplo</w:t>
            </w:r>
          </w:p>
        </w:tc>
      </w:tr>
      <w:tr w:rsidR="00033FF2" w:rsidRPr="00033FF2" w14:paraId="2EF82F5B" w14:textId="77777777" w:rsidTr="00033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CB7F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Transferência tecnológica</w:t>
            </w:r>
          </w:p>
        </w:tc>
        <w:tc>
          <w:tcPr>
            <w:tcW w:w="0" w:type="auto"/>
            <w:vAlign w:val="center"/>
            <w:hideMark/>
          </w:tcPr>
          <w:p w14:paraId="4402A911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Acesso a técnicas avançadas e protocolos inovadores</w:t>
            </w:r>
          </w:p>
        </w:tc>
        <w:tc>
          <w:tcPr>
            <w:tcW w:w="0" w:type="auto"/>
            <w:vAlign w:val="center"/>
            <w:hideMark/>
          </w:tcPr>
          <w:p w14:paraId="351CDA87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Parcerias entre hospitais privados brasileiros e instituições internacionais</w:t>
            </w:r>
          </w:p>
        </w:tc>
      </w:tr>
      <w:tr w:rsidR="00033FF2" w:rsidRPr="00033FF2" w14:paraId="39830858" w14:textId="77777777" w:rsidTr="00033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8663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Ampliação da oferta</w:t>
            </w:r>
          </w:p>
        </w:tc>
        <w:tc>
          <w:tcPr>
            <w:tcW w:w="0" w:type="auto"/>
            <w:vAlign w:val="center"/>
            <w:hideMark/>
          </w:tcPr>
          <w:p w14:paraId="0D592CA8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Redução de filas e pressão sobre o SUS</w:t>
            </w:r>
          </w:p>
        </w:tc>
        <w:tc>
          <w:tcPr>
            <w:tcW w:w="0" w:type="auto"/>
            <w:vAlign w:val="center"/>
            <w:hideMark/>
          </w:tcPr>
          <w:p w14:paraId="3112CE59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Programas de Parceria Público-Privada para cirurgias eletivas</w:t>
            </w:r>
          </w:p>
        </w:tc>
      </w:tr>
      <w:tr w:rsidR="00033FF2" w:rsidRPr="00033FF2" w14:paraId="07807253" w14:textId="77777777" w:rsidTr="00033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F3E7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Atração de investimentos</w:t>
            </w:r>
          </w:p>
        </w:tc>
        <w:tc>
          <w:tcPr>
            <w:tcW w:w="0" w:type="auto"/>
            <w:vAlign w:val="center"/>
            <w:hideMark/>
          </w:tcPr>
          <w:p w14:paraId="2E10E040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Melhoria da infraestrutura hospitalar e geração de empregos</w:t>
            </w:r>
          </w:p>
        </w:tc>
        <w:tc>
          <w:tcPr>
            <w:tcW w:w="0" w:type="auto"/>
            <w:vAlign w:val="center"/>
            <w:hideMark/>
          </w:tcPr>
          <w:p w14:paraId="5877D057" w14:textId="77777777" w:rsidR="00033FF2" w:rsidRPr="00033FF2" w:rsidRDefault="00033FF2" w:rsidP="00033FF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033FF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Entrada de capital estrangeiro para construção de unidades hospitalares</w:t>
            </w:r>
          </w:p>
        </w:tc>
      </w:tr>
    </w:tbl>
    <w:p w14:paraId="65AE9006" w14:textId="77777777" w:rsidR="00033FF2" w:rsidRPr="00033FF2" w:rsidRDefault="00594870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487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35E274C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4D82705" w14:textId="77777777" w:rsidR="00033FF2" w:rsidRPr="00033FF2" w:rsidRDefault="00033FF2" w:rsidP="00033F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5. Serviços Sensíveis à Aplicação do TN</w:t>
      </w:r>
    </w:p>
    <w:p w14:paraId="235DD9CA" w14:textId="77777777" w:rsidR="00033FF2" w:rsidRPr="00033FF2" w:rsidRDefault="00033FF2" w:rsidP="00033F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a. Planos de Saúde (Modo 3 – Presença Comercial)</w:t>
      </w:r>
    </w:p>
    <w:p w14:paraId="6278CE4E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entrada de grandes seguradoras internacionais pode gerar concentração de mercado e exclusão. Propõe-se limitar participação estrangeira e exigir contrapartidas em investimentos no SUS.</w:t>
      </w:r>
    </w:p>
    <w:p w14:paraId="4F8F81D1" w14:textId="77777777" w:rsidR="00033FF2" w:rsidRPr="00033FF2" w:rsidRDefault="00033FF2" w:rsidP="00033F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b. Hospitais Privados</w:t>
      </w:r>
    </w:p>
    <w:p w14:paraId="4F7415F4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Fundos internacionais tendem a padronizar e elevar custos. Sugere-se obrigatoriedade de atendimento a pacientes do SUS mediante cotas.</w:t>
      </w:r>
    </w:p>
    <w:p w14:paraId="337B021D" w14:textId="77777777" w:rsidR="00033FF2" w:rsidRPr="00033FF2" w:rsidRDefault="00033FF2" w:rsidP="00033F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c. Telemedicina (Modo 1 – Transfronteiriço)</w:t>
      </w:r>
    </w:p>
    <w:p w14:paraId="110CEF86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Empresas sem sede no Brasil podem operar com baixa regulação. A proposta é exigir certificação da ANVISA e registro no Conselho Federal de Medicina.</w:t>
      </w:r>
    </w:p>
    <w:p w14:paraId="384DAB1E" w14:textId="77777777" w:rsidR="00033FF2" w:rsidRPr="00033FF2" w:rsidRDefault="00033FF2" w:rsidP="00033F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d. Profissionais de Saúde (Modo 4 – Movimento de Pessoas Físicas)</w:t>
      </w:r>
    </w:p>
    <w:p w14:paraId="16AA63A9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Profissionais estrangeiros devem passar por revalidação rigorosa de diplomas para evitar risco à qualidade da assistência.</w:t>
      </w:r>
    </w:p>
    <w:p w14:paraId="21BE01FE" w14:textId="77777777" w:rsidR="00033FF2" w:rsidRPr="00033FF2" w:rsidRDefault="00594870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487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E166959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115F3E93" w14:textId="77777777" w:rsidR="00033FF2" w:rsidRPr="00033FF2" w:rsidRDefault="00033FF2" w:rsidP="00033F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6. Proposta de Posição do Brasil em Relação ao TN</w:t>
      </w:r>
    </w:p>
    <w:p w14:paraId="0DF043F4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Recomenda-se que o Brasil adote uma postura crítica e seletiva quanto à aplicação do Tratamento Nacional na área da saúde, conforme os seguintes princípios:</w:t>
      </w:r>
    </w:p>
    <w:p w14:paraId="556BA41B" w14:textId="77777777" w:rsidR="00033FF2" w:rsidRPr="00033FF2" w:rsidRDefault="00033FF2" w:rsidP="00033F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Aplicação seletiva e com reservas explícitas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nos moldes permitidos pelo GATS.</w:t>
      </w:r>
    </w:p>
    <w:p w14:paraId="1D83900E" w14:textId="77777777" w:rsidR="00033FF2" w:rsidRPr="00033FF2" w:rsidRDefault="00033FF2" w:rsidP="00033F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Imposição de cláusulas de contrapartida social e regulatória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especialmente para serviços essenciais.</w:t>
      </w:r>
    </w:p>
    <w:p w14:paraId="5B3A204F" w14:textId="77777777" w:rsidR="00033FF2" w:rsidRPr="00033FF2" w:rsidRDefault="00033FF2" w:rsidP="00033F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Fortalecimento da regulação nacional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com protagonismo de órgãos como ANVISA, ANS e CFM.</w:t>
      </w:r>
    </w:p>
    <w:p w14:paraId="5FF64B84" w14:textId="77777777" w:rsidR="00033FF2" w:rsidRPr="00033FF2" w:rsidRDefault="00033FF2" w:rsidP="00033F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Estímulo à produção nacional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para redução da dependência externa em insumos e tecnologia.</w:t>
      </w:r>
    </w:p>
    <w:p w14:paraId="06BBF879" w14:textId="77777777" w:rsidR="00033FF2" w:rsidRPr="00033FF2" w:rsidRDefault="00594870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487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CD453E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437F48C" w14:textId="77777777" w:rsidR="00033FF2" w:rsidRPr="00033FF2" w:rsidRDefault="00033FF2" w:rsidP="00033F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7. Considerações Finais</w:t>
      </w:r>
    </w:p>
    <w:p w14:paraId="21ADA0B6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aplicação do Tratamento Nacional, conforme estabelecido pelo GATS, exige cautela no contexto brasileiro, especialmente no setor de saúde. Embora a liberalização de serviços possa gerar oportunidades, ela deve ser compatível com os objetivos constitucionais e sociais do país. O Brasil deve defender sua autonomia regulatória e a integridade do SUS, promovendo uma integração internacional que respeite as particularidades nacionais e os princípios da equidade, universalidade e integralidade do atendimento.</w:t>
      </w:r>
    </w:p>
    <w:p w14:paraId="1CFB37B7" w14:textId="77777777" w:rsidR="00033FF2" w:rsidRPr="00033FF2" w:rsidRDefault="00594870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487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8A36CDA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C9539E6" w14:textId="77777777" w:rsidR="00033FF2" w:rsidRPr="00033FF2" w:rsidRDefault="00033FF2" w:rsidP="00033F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Referências</w:t>
      </w:r>
    </w:p>
    <w:p w14:paraId="33DB2544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BRASIL. Constituição da República Federativa do Brasil de 1988. Diário Oficial da União, Brasília, DF, 5 out. 1988. Disponível em: </w:t>
      </w:r>
      <w:hyperlink r:id="rId5" w:history="1">
        <w:r w:rsidRPr="00033FF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https://www.planalto.gov.br/ccivil_03/constituicao/constituicao.htm</w:t>
        </w:r>
      </w:hyperlink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79316D27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ORGANIZAÇÃO MUNDIAL DO COMÉRCIO. General </w:t>
      </w:r>
      <w:proofErr w:type="spellStart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Agreement</w:t>
      </w:r>
      <w:proofErr w:type="spellEnd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on</w:t>
      </w:r>
      <w:proofErr w:type="spellEnd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Trade in Services – GATS. Genebra, 1995. Disponível em: </w:t>
      </w:r>
      <w:hyperlink r:id="rId6" w:history="1">
        <w:r w:rsidRPr="00033FF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https://www.wto.org/english/tratop_e/serv_e/gatsqa_e.htm</w:t>
        </w:r>
      </w:hyperlink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78356DFF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PINHEIRO, </w:t>
      </w:r>
      <w:proofErr w:type="spellStart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Roseni</w:t>
      </w:r>
      <w:proofErr w:type="spellEnd"/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; TRAVASSOS, Claudia. O impacto da privatização e financeirização na saúde brasileira. </w:t>
      </w:r>
      <w:r w:rsidRPr="00033FF2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Revista Saúde em Debate</w:t>
      </w: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Rio de Janeiro, v. 41, p. 85-95, 2017.</w:t>
      </w:r>
    </w:p>
    <w:p w14:paraId="34C9C101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AGÊNCIA NACIONAL DE SAÚDE SUPLEMENTAR (ANS). Normas regulatórias para operadoras. Disponível em: </w:t>
      </w:r>
      <w:hyperlink r:id="rId7" w:history="1">
        <w:r w:rsidRPr="00033FF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https://www.gov.br/ans/pt-br</w:t>
        </w:r>
      </w:hyperlink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3AFE1676" w14:textId="77777777" w:rsidR="00033FF2" w:rsidRPr="00033FF2" w:rsidRDefault="00033FF2" w:rsidP="00033F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AGÊNCIA NACIONAL DE VIGILÂNCIA SANITÁRIA (ANVISA). Disponível em: </w:t>
      </w:r>
      <w:hyperlink r:id="rId8" w:history="1">
        <w:r w:rsidRPr="00033FF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https://www.gov.br/anvisa</w:t>
        </w:r>
      </w:hyperlink>
      <w:r w:rsidRPr="00033F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40B07134" w14:textId="77777777" w:rsidR="00033FF2" w:rsidRPr="00033FF2" w:rsidRDefault="00594870" w:rsidP="00033FF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487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093E05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8F69465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### **Análise Regulatória do Setor Financeiro no Brasil: Tensões, Riscos e Benefícios da Aplicação do Tratamento Nacional (TN)**  </w:t>
      </w:r>
    </w:p>
    <w:p w14:paraId="26A7D656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0FD66D73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 setor financeiro é estratégico para a economia brasileira e sua abertura a prestadores estrangeiros, sob o princípio do **Tratamento Nacional (TN)**, envolve desafios complexos. Abaixo, detalhamos as **tensões regulatórias**, **riscos**, **benefícios** e **exemplos concretos** de serviços que exigem cautela ou abertura irrestrita.  </w:t>
      </w:r>
    </w:p>
    <w:p w14:paraId="30317DD7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5B56942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---</w:t>
      </w:r>
    </w:p>
    <w:p w14:paraId="4B94061B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08BB20B0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 **1. Tensões Regulatórias no Setor Financeiro**  </w:t>
      </w:r>
    </w:p>
    <w:p w14:paraId="0DE1C27A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aplicação do TN no sistema financeiro gera conflitos entre:  </w:t>
      </w:r>
    </w:p>
    <w:p w14:paraId="28EE8130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**Estabilidade financeira vs. liberalização**: O Banco Central (BCB) prioriza o controle de riscos sistêmicos, enquanto acordos comerciais pressionam por menor regulação para entidades estrangeiras.  </w:t>
      </w:r>
    </w:p>
    <w:p w14:paraId="60DED11F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**Proteção do consumidor vs. inovação**: Instituições nacionais seguem regras rígidas (ex.: Cadastro Positivo, LGPD), mas fintechs globais podem operar com padrões menos rigorosos.  </w:t>
      </w:r>
    </w:p>
    <w:p w14:paraId="5F09856D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**Soberania monetária vs. globalização**: A entrada maciça de bancos e fintechs estrangeiras pode reduzir a capacidade do BCB de regular crédito e liquidez.  </w:t>
      </w:r>
    </w:p>
    <w:p w14:paraId="0B508769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2B676E55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### **Exemplos de Tensões:**  </w:t>
      </w:r>
    </w:p>
    <w:p w14:paraId="3A008CA5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 **Bancos digitais estrangeiros**: Empresas como **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Revolut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** ou **N26** podem desafiar regras de capitalização local.  </w:t>
      </w:r>
    </w:p>
    <w:p w14:paraId="422060A5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**Pagamentos transfronteiriços**: Plataformas como **PayPal** ou **Wise** operam com menos exigências que as brasileiras (ex.: Pix tem regulação própria).  </w:t>
      </w:r>
    </w:p>
    <w:p w14:paraId="6F287773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**Criptoativos**: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Exchanges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globais (ex.: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Binance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) pressionam por regulação flexível, enquanto o BCB busca controle.  </w:t>
      </w:r>
    </w:p>
    <w:p w14:paraId="7E7B6AFD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FC4619F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---</w:t>
      </w:r>
    </w:p>
    <w:p w14:paraId="0BE1F864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702CFD1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 **2. Riscos da Equiparação entre Serviços Nacionais e Estrangeiros**  </w:t>
      </w:r>
    </w:p>
    <w:p w14:paraId="41EB8DAC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| **Risco**                | **Impacto**                                                                 | **Exemplo**                                                                 |</w:t>
      </w:r>
    </w:p>
    <w:p w14:paraId="04A6C5FF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|--------------------------|-----------------------------------------------------------------------------|-----------------------------------------------------------------------------|</w:t>
      </w:r>
    </w:p>
    <w:p w14:paraId="0D067832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| **Fragilização do sistema** | Entidades estrangeiras podem ignorar regras de capital mínimo, aumentando riscos. | Crise do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Credit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Suisse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(2023) mostrou como problemas no exterior afetam mercados locais. |</w:t>
      </w:r>
    </w:p>
    <w:p w14:paraId="4C3DBE40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| **Desproteção do consumidor** | Empresas estrangeiras podem fugir à jurisdição brasileira em disputas. | Clientes do PayPal têm dificuldade para resolver conflitos via Procon. |</w:t>
      </w:r>
    </w:p>
    <w:p w14:paraId="77B87DE8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| **Dolarização informal** | Uso de stablecoins ou contas no exterior pode enfraquecer o real. | Argentinos migraram para criptomoedas após crise cambial. |</w:t>
      </w:r>
    </w:p>
    <w:p w14:paraId="7BC31341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| **Concentração de mercado** | Grandes players globais (ex.: Visa, Mastercard) dominam pagamentos, reduzindo competição. | Taxas de intercâmbio no cartão são mais altas que no Pix. |</w:t>
      </w:r>
    </w:p>
    <w:p w14:paraId="05C6AD10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31E9E973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---</w:t>
      </w:r>
    </w:p>
    <w:p w14:paraId="75ADA1D0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21259BE1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 **3. Benefícios Potenciais da Abertura Controlada**  </w:t>
      </w:r>
    </w:p>
    <w:p w14:paraId="3AD9CF32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| **Benefício**            | **Impacto Positivo**                                                        | **Exemplo**                                                                 |</w:t>
      </w:r>
    </w:p>
    <w:p w14:paraId="50EE7D71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|--------------------------|-----------------------------------------------------------------------------|-----------------------------------------------------------------------------|</w:t>
      </w:r>
    </w:p>
    <w:p w14:paraId="684F2E71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| **Redução de custos**    | Maior competição diminui tarifas bancárias e de câmbio.                    | A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Revolut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oferece câmbio com taxas menores que bancos tradicionais.        |</w:t>
      </w:r>
    </w:p>
    <w:p w14:paraId="40B58F73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| **Inovação tecnológica** | Fintechs estrangeiras trazem soluções avançadas (ex.: open banking).        | A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Stripe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modernizou pagamentos online no Brasil.                            |</w:t>
      </w:r>
    </w:p>
    <w:p w14:paraId="104D05EC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| **Acesso a crédito**     | Bancos internacionais ampliam oferta de empréstimos a taxas competitivas.  | O BS2 (controlado pelo Banco Safra) usa capital estrangeiro para crédito SME. |</w:t>
      </w:r>
    </w:p>
    <w:p w14:paraId="75E8EBB9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03A812DE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---</w:t>
      </w:r>
    </w:p>
    <w:p w14:paraId="61E88F76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31D48047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 **4. Serviços que Exigem Cautela ou Abertura Irrestrita**  </w:t>
      </w:r>
    </w:p>
    <w:p w14:paraId="4049F88A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### **A. Bancos Digitais e Fintechs (Modo 3 – Presença </w:t>
      </w:r>
      <w:proofErr w:type="gram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Comercial)*</w:t>
      </w:r>
      <w:proofErr w:type="gram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*  </w:t>
      </w:r>
    </w:p>
    <w:p w14:paraId="70D08A51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**Risco:** Descapitalização de bancos nacionais se estrangeiros não cumprirem regras do BCB.  </w:t>
      </w:r>
    </w:p>
    <w:p w14:paraId="0B572A82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**Proposta:** Exigir licenciamento local e compliance com Basel III.  </w:t>
      </w:r>
    </w:p>
    <w:p w14:paraId="2A06720D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45238BC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### **B. Pagamentos Transfronteiriços (Modo 1 – </w:t>
      </w:r>
      <w:proofErr w:type="gram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Transfronteiriço)*</w:t>
      </w:r>
      <w:proofErr w:type="gram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*  </w:t>
      </w:r>
    </w:p>
    <w:p w14:paraId="7157603B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**Risco:** Evasão fiscal e lavagem de dinheiro em plataformas não reguladas.  </w:t>
      </w:r>
    </w:p>
    <w:p w14:paraId="4013B2C4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**Proposta:** Exigir parceria com instituições brasileiras (ex.: PayPal opera com Banco Rendimento).  </w:t>
      </w:r>
    </w:p>
    <w:p w14:paraId="4EBDE24B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659F2FF6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### **C. Criptoativos (Modo 1 – </w:t>
      </w:r>
      <w:proofErr w:type="gram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Transfronteiriço)*</w:t>
      </w:r>
      <w:proofErr w:type="gram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*  </w:t>
      </w:r>
    </w:p>
    <w:p w14:paraId="26FFCC9B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**Risco:** Instabilidade financeira e golpes (ex.: caso FTX).  </w:t>
      </w:r>
    </w:p>
    <w:p w14:paraId="3E5920CA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**Proposta:** Regulação rígida (como a lei 14.478/2022) e bloqueio a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exchanges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não autorizadas.  </w:t>
      </w:r>
    </w:p>
    <w:p w14:paraId="7C4BADFC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E5E9D1F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### **D. Seguros e Previdência (Modo 3 – Presença </w:t>
      </w:r>
      <w:proofErr w:type="gram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Comercial)*</w:t>
      </w:r>
      <w:proofErr w:type="gram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*  </w:t>
      </w:r>
    </w:p>
    <w:p w14:paraId="0EBEA2C7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**Risco:** Solvência duvidosa de seguradoras estrangeiras (ex.: caso Americanas).  </w:t>
      </w:r>
    </w:p>
    <w:p w14:paraId="42777127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**Proposta:** Exigir fundos garantidores no Brasil (como a SUSEP faz).  </w:t>
      </w:r>
    </w:p>
    <w:p w14:paraId="7B3CBC3B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640E262E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---</w:t>
      </w:r>
    </w:p>
    <w:p w14:paraId="0DDBB191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4037CF02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## **5. Conclusão: Posição Recomendada para o Brasil**  </w:t>
      </w:r>
    </w:p>
    <w:p w14:paraId="380D5692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 setor financeiro deve adotar uma **abertura seletiva**, com:  </w:t>
      </w:r>
    </w:p>
    <w:p w14:paraId="72BEE685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1. **Regulação assimétrica**: Exigir mais capitalização de entidades estrangeiras.  </w:t>
      </w:r>
    </w:p>
    <w:p w14:paraId="209E6119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2. **Equilíbrio competitivo**: Incentivar fintechs nacionais (ex.: Nubank,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PicPay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) a competir com globais.  </w:t>
      </w:r>
    </w:p>
    <w:p w14:paraId="76FFBB65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3. **Controle de riscos sistêmicos**: Monitorar operações transfronteiriças (ex.: criptomoedas).  </w:t>
      </w:r>
    </w:p>
    <w:p w14:paraId="4BC4FE30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F5851E0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**Fontes Oficiais:**  </w:t>
      </w:r>
    </w:p>
    <w:p w14:paraId="5A49E16E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[Banco Central - Regulação </w:t>
      </w:r>
      <w:proofErr w:type="gram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Financeira](</w:t>
      </w:r>
      <w:proofErr w:type="gram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https://www.bcb.gov.br/)  </w:t>
      </w:r>
    </w:p>
    <w:p w14:paraId="5F5A17BE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 xml:space="preserve">- [CMN - Resoluções sobre Capital </w:t>
      </w:r>
      <w:proofErr w:type="gram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Estrangeiro](</w:t>
      </w:r>
      <w:proofErr w:type="gram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https://www.bcb.gov.br/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pre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/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cmn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)  </w:t>
      </w:r>
    </w:p>
    <w:p w14:paraId="1E4DCB9D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[SUSEP - Regras para Seguradoras </w:t>
      </w:r>
      <w:proofErr w:type="gram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Estrangeiras](</w:t>
      </w:r>
      <w:proofErr w:type="gram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https://www.gov.br/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susep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/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pt-br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)  </w:t>
      </w:r>
    </w:p>
    <w:p w14:paraId="2988F59E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06436EFE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**Exemplos Internacionais:**  </w:t>
      </w:r>
    </w:p>
    <w:p w14:paraId="6405A96A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**União Europeia**: Passaporte financeiro permite operação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cross-border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mas com regras harmonizadas (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MiCA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para cripto).  </w:t>
      </w:r>
    </w:p>
    <w:p w14:paraId="4841289D" w14:textId="77777777" w:rsidR="00CB1912" w:rsidRPr="00CB1912" w:rsidRDefault="00CB191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- **EUA**: O Dodd-Frank </w:t>
      </w:r>
      <w:proofErr w:type="spellStart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Act</w:t>
      </w:r>
      <w:proofErr w:type="spellEnd"/>
      <w:r w:rsidRPr="00CB19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restringe bancos estrangeiros sem capitalização local.  </w:t>
      </w:r>
    </w:p>
    <w:p w14:paraId="4BF3A48B" w14:textId="32B82ED9" w:rsidR="00033FF2" w:rsidRPr="00033FF2" w:rsidRDefault="00033FF2" w:rsidP="00CB19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33C4B4CB" w14:textId="77777777" w:rsidR="00FF3143" w:rsidRDefault="00FF3143" w:rsidP="00033FF2">
      <w:pPr>
        <w:spacing w:before="100" w:beforeAutospacing="1" w:after="100" w:afterAutospacing="1"/>
      </w:pPr>
    </w:p>
    <w:sectPr w:rsidR="00FF3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7103"/>
    <w:multiLevelType w:val="multilevel"/>
    <w:tmpl w:val="C59A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55F2E"/>
    <w:multiLevelType w:val="multilevel"/>
    <w:tmpl w:val="437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06250">
    <w:abstractNumId w:val="1"/>
  </w:num>
  <w:num w:numId="2" w16cid:durableId="42068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F2"/>
    <w:rsid w:val="00033FF2"/>
    <w:rsid w:val="003102A3"/>
    <w:rsid w:val="00517FE8"/>
    <w:rsid w:val="00567E82"/>
    <w:rsid w:val="00594870"/>
    <w:rsid w:val="007847AC"/>
    <w:rsid w:val="007B4942"/>
    <w:rsid w:val="0085280D"/>
    <w:rsid w:val="00CB1912"/>
    <w:rsid w:val="00D856BC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CC8F9"/>
  <w15:chartTrackingRefBased/>
  <w15:docId w15:val="{AC24E0CC-5B58-BD42-90F3-F2D6F987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3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3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3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3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3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3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3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3F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3F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3F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3F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3F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3F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3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3F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3F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3F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3F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3F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3F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3F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3F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033FF2"/>
  </w:style>
  <w:style w:type="character" w:styleId="Forte">
    <w:name w:val="Strong"/>
    <w:basedOn w:val="Fontepargpadro"/>
    <w:uiPriority w:val="22"/>
    <w:qFormat/>
    <w:rsid w:val="00033FF2"/>
    <w:rPr>
      <w:b/>
      <w:bCs/>
    </w:rPr>
  </w:style>
  <w:style w:type="character" w:styleId="nfase">
    <w:name w:val="Emphasis"/>
    <w:basedOn w:val="Fontepargpadro"/>
    <w:uiPriority w:val="20"/>
    <w:qFormat/>
    <w:rsid w:val="00033FF2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033F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anvi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br/ans/pt-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to.org/english/tratop_e/serv_e/gatsqa_e.htm" TargetMode="External"/><Relationship Id="rId5" Type="http://schemas.openxmlformats.org/officeDocument/2006/relationships/hyperlink" Target="https://www.planalto.gov.br/ccivil_03/constituicao/constituicao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2028</Words>
  <Characters>10954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4</cp:revision>
  <dcterms:created xsi:type="dcterms:W3CDTF">2025-05-24T15:27:00Z</dcterms:created>
  <dcterms:modified xsi:type="dcterms:W3CDTF">2025-05-29T20:33:00Z</dcterms:modified>
</cp:coreProperties>
</file>