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59FA6" w14:textId="00C81BBE" w:rsidR="000A3D7A" w:rsidRDefault="000A3D7A" w:rsidP="000A3D7A">
      <w:pPr>
        <w:spacing w:line="360" w:lineRule="auto"/>
        <w:ind w:left="360" w:hanging="360"/>
        <w:jc w:val="center"/>
        <w:rPr>
          <w:rFonts w:ascii="Times New Roman" w:hAnsi="Times New Roman" w:cs="Times New Roman"/>
          <w:b/>
          <w:bCs/>
          <w:sz w:val="24"/>
          <w:szCs w:val="24"/>
        </w:rPr>
      </w:pPr>
      <w:r w:rsidRPr="000A3D7A">
        <w:rPr>
          <w:rFonts w:ascii="Times New Roman" w:hAnsi="Times New Roman" w:cs="Times New Roman"/>
          <w:b/>
          <w:bCs/>
          <w:sz w:val="24"/>
          <w:szCs w:val="24"/>
        </w:rPr>
        <w:t>ESTUDO DE CASO: PROGRAMA PÉ DE MEIA DO MINISTÉRIO DA EDUCAÇÃO</w:t>
      </w:r>
    </w:p>
    <w:p w14:paraId="23361947" w14:textId="246509FD" w:rsidR="00E20E0E" w:rsidRDefault="00E20E0E" w:rsidP="00E20E0E">
      <w:pPr>
        <w:spacing w:after="0" w:line="360" w:lineRule="auto"/>
        <w:jc w:val="right"/>
        <w:rPr>
          <w:rFonts w:ascii="Times New Roman" w:hAnsi="Times New Roman" w:cs="Times New Roman"/>
          <w:i/>
          <w:iCs/>
          <w:sz w:val="24"/>
          <w:szCs w:val="24"/>
        </w:rPr>
      </w:pPr>
      <w:r>
        <w:rPr>
          <w:rFonts w:ascii="Times New Roman" w:hAnsi="Times New Roman" w:cs="Times New Roman"/>
          <w:i/>
          <w:iCs/>
          <w:sz w:val="24"/>
          <w:szCs w:val="24"/>
        </w:rPr>
        <w:t xml:space="preserve">Mestrando </w:t>
      </w:r>
      <w:r w:rsidRPr="00FC061D">
        <w:rPr>
          <w:rFonts w:ascii="Times New Roman" w:hAnsi="Times New Roman" w:cs="Times New Roman"/>
          <w:i/>
          <w:iCs/>
          <w:sz w:val="24"/>
          <w:szCs w:val="24"/>
        </w:rPr>
        <w:t>Pedro Paulo Henrichs Neto</w:t>
      </w:r>
    </w:p>
    <w:p w14:paraId="3A249DE3" w14:textId="4220A257" w:rsidR="00685136" w:rsidRPr="0044661E" w:rsidRDefault="00685136" w:rsidP="00685136">
      <w:pPr>
        <w:spacing w:line="240" w:lineRule="auto"/>
        <w:jc w:val="both"/>
        <w:rPr>
          <w:rFonts w:ascii="Times New Roman" w:hAnsi="Times New Roman" w:cs="Times New Roman"/>
          <w:b/>
          <w:bCs/>
          <w:sz w:val="20"/>
          <w:szCs w:val="20"/>
        </w:rPr>
      </w:pPr>
      <w:r w:rsidRPr="0044661E">
        <w:rPr>
          <w:rFonts w:ascii="Times New Roman" w:hAnsi="Times New Roman" w:cs="Times New Roman"/>
          <w:b/>
          <w:bCs/>
          <w:sz w:val="20"/>
          <w:szCs w:val="20"/>
        </w:rPr>
        <w:t>Resumo</w:t>
      </w:r>
    </w:p>
    <w:p w14:paraId="79677CEC" w14:textId="77777777" w:rsidR="0044661E" w:rsidRDefault="0044661E" w:rsidP="00685136">
      <w:pPr>
        <w:spacing w:line="240" w:lineRule="auto"/>
        <w:jc w:val="both"/>
        <w:rPr>
          <w:rFonts w:ascii="Times New Roman" w:hAnsi="Times New Roman" w:cs="Times New Roman"/>
          <w:sz w:val="20"/>
          <w:szCs w:val="20"/>
        </w:rPr>
      </w:pPr>
      <w:r w:rsidRPr="0044661E">
        <w:rPr>
          <w:rFonts w:ascii="Times New Roman" w:hAnsi="Times New Roman" w:cs="Times New Roman"/>
          <w:sz w:val="20"/>
          <w:szCs w:val="20"/>
        </w:rPr>
        <w:t xml:space="preserve">Este estudo de caso analisa o Programa Pé de Meia, instituído pelo Ministério da Educação (MEC) em 2023, como uma política inovadora de permanência escolar no Ensino Médio. Com base no modelo de Transferência Condicionada de Renda (CCT), o programa busca enfrentar a evasão escolar por meio de incentivos financeiros vinculados à frequência, aprovação e participação dos estudantes em avaliações oficiais. A investigação se desenvolve a partir de três eixos analíticos: (1) o marco teórico das </w:t>
      </w:r>
      <w:proofErr w:type="spellStart"/>
      <w:r w:rsidRPr="0044661E">
        <w:rPr>
          <w:rFonts w:ascii="Times New Roman" w:hAnsi="Times New Roman" w:cs="Times New Roman"/>
          <w:sz w:val="20"/>
          <w:szCs w:val="20"/>
        </w:rPr>
        <w:t>CCTs</w:t>
      </w:r>
      <w:proofErr w:type="spellEnd"/>
      <w:r w:rsidRPr="0044661E">
        <w:rPr>
          <w:rFonts w:ascii="Times New Roman" w:hAnsi="Times New Roman" w:cs="Times New Roman"/>
          <w:sz w:val="20"/>
          <w:szCs w:val="20"/>
        </w:rPr>
        <w:t xml:space="preserve"> e sua aplicação na educação; (2) a contextualização da evasão escolar no Brasil; e (3) a avaliação do desenho institucional do programa à luz de experiências nacionais e internacionais, como o Bolsa Família e o </w:t>
      </w:r>
      <w:proofErr w:type="spellStart"/>
      <w:r w:rsidRPr="0044661E">
        <w:rPr>
          <w:rFonts w:ascii="Times New Roman" w:hAnsi="Times New Roman" w:cs="Times New Roman"/>
          <w:sz w:val="20"/>
          <w:szCs w:val="20"/>
        </w:rPr>
        <w:t>Progresa</w:t>
      </w:r>
      <w:proofErr w:type="spellEnd"/>
      <w:r w:rsidRPr="0044661E">
        <w:rPr>
          <w:rFonts w:ascii="Times New Roman" w:hAnsi="Times New Roman" w:cs="Times New Roman"/>
          <w:sz w:val="20"/>
          <w:szCs w:val="20"/>
        </w:rPr>
        <w:t>. Os resultados preliminares apontam que o Pé de Meia tem potencial de impacto positivo na permanência escolar, mas enfrenta desafios operacionais relacionados à governança, à sustentabilidade financeira e à articulação intersetorial. O estudo conclui com recomendações voltadas ao aprimoramento e à consolidação da política como modelo de referência.</w:t>
      </w:r>
    </w:p>
    <w:p w14:paraId="35F15538" w14:textId="06AB6C54" w:rsidR="00685136" w:rsidRDefault="00685136" w:rsidP="00685136">
      <w:pPr>
        <w:spacing w:line="240" w:lineRule="auto"/>
        <w:jc w:val="both"/>
        <w:rPr>
          <w:rFonts w:ascii="Times New Roman" w:hAnsi="Times New Roman" w:cs="Times New Roman"/>
          <w:sz w:val="20"/>
          <w:szCs w:val="20"/>
        </w:rPr>
      </w:pPr>
      <w:r w:rsidRPr="00685136">
        <w:rPr>
          <w:rFonts w:ascii="Times New Roman" w:hAnsi="Times New Roman" w:cs="Times New Roman"/>
          <w:b/>
          <w:bCs/>
          <w:sz w:val="20"/>
          <w:szCs w:val="20"/>
        </w:rPr>
        <w:t>Palavras-chave:</w:t>
      </w:r>
      <w:r>
        <w:rPr>
          <w:rFonts w:ascii="Times New Roman" w:hAnsi="Times New Roman" w:cs="Times New Roman"/>
          <w:sz w:val="20"/>
          <w:szCs w:val="20"/>
        </w:rPr>
        <w:t xml:space="preserve"> </w:t>
      </w:r>
      <w:r w:rsidRPr="00301AF1">
        <w:rPr>
          <w:rFonts w:ascii="Times New Roman" w:hAnsi="Times New Roman" w:cs="Times New Roman"/>
          <w:sz w:val="20"/>
          <w:szCs w:val="20"/>
        </w:rPr>
        <w:t xml:space="preserve">Programa Pé de Meia; Transferência Condicionada de Renda; Evasão Escolar; Ensino Médio; Políticas Educacionais; Sustentabilidade Financeira; Bolsa Família; </w:t>
      </w:r>
      <w:proofErr w:type="spellStart"/>
      <w:r w:rsidRPr="00301AF1">
        <w:rPr>
          <w:rFonts w:ascii="Times New Roman" w:hAnsi="Times New Roman" w:cs="Times New Roman"/>
          <w:sz w:val="20"/>
          <w:szCs w:val="20"/>
        </w:rPr>
        <w:t>Progresa</w:t>
      </w:r>
      <w:proofErr w:type="spellEnd"/>
      <w:r w:rsidRPr="00301AF1">
        <w:rPr>
          <w:rFonts w:ascii="Times New Roman" w:hAnsi="Times New Roman" w:cs="Times New Roman"/>
          <w:sz w:val="20"/>
          <w:szCs w:val="20"/>
        </w:rPr>
        <w:t>.</w:t>
      </w:r>
    </w:p>
    <w:p w14:paraId="122371BA" w14:textId="28566F0E" w:rsidR="00685136" w:rsidRDefault="00685136" w:rsidP="00685136">
      <w:pPr>
        <w:spacing w:after="0" w:line="360" w:lineRule="auto"/>
        <w:jc w:val="both"/>
        <w:rPr>
          <w:rFonts w:ascii="Times New Roman" w:hAnsi="Times New Roman" w:cs="Times New Roman"/>
          <w:i/>
          <w:iCs/>
          <w:sz w:val="24"/>
          <w:szCs w:val="24"/>
        </w:rPr>
      </w:pPr>
      <w:r>
        <w:rPr>
          <w:rFonts w:ascii="Times New Roman" w:hAnsi="Times New Roman" w:cs="Times New Roman"/>
          <w:i/>
          <w:iCs/>
          <w:sz w:val="24"/>
          <w:szCs w:val="24"/>
        </w:rPr>
        <w:br w:type="page"/>
      </w:r>
    </w:p>
    <w:p w14:paraId="54B48676" w14:textId="5051B425" w:rsidR="00FF6D14" w:rsidRPr="00404305" w:rsidRDefault="00404305" w:rsidP="00404305">
      <w:pPr>
        <w:pStyle w:val="PargrafodaLista"/>
        <w:numPr>
          <w:ilvl w:val="0"/>
          <w:numId w:val="3"/>
        </w:numPr>
        <w:spacing w:line="360" w:lineRule="auto"/>
        <w:jc w:val="both"/>
        <w:rPr>
          <w:rFonts w:ascii="Times New Roman" w:hAnsi="Times New Roman" w:cs="Times New Roman"/>
          <w:b/>
          <w:bCs/>
          <w:sz w:val="24"/>
          <w:szCs w:val="24"/>
        </w:rPr>
      </w:pPr>
      <w:r w:rsidRPr="00404305">
        <w:rPr>
          <w:rFonts w:ascii="Times New Roman" w:hAnsi="Times New Roman" w:cs="Times New Roman"/>
          <w:b/>
          <w:bCs/>
          <w:sz w:val="24"/>
          <w:szCs w:val="24"/>
        </w:rPr>
        <w:lastRenderedPageBreak/>
        <w:t>INTRODUÇÃO</w:t>
      </w:r>
    </w:p>
    <w:p w14:paraId="010549AF" w14:textId="2A46ED95" w:rsidR="0044661E" w:rsidRPr="00C85EB6" w:rsidRDefault="0044661E" w:rsidP="0044661E">
      <w:pPr>
        <w:spacing w:after="0" w:line="360" w:lineRule="auto"/>
        <w:ind w:firstLine="709"/>
        <w:jc w:val="both"/>
        <w:rPr>
          <w:rFonts w:ascii="Times New Roman" w:hAnsi="Times New Roman" w:cs="Times New Roman"/>
          <w:sz w:val="24"/>
          <w:szCs w:val="24"/>
        </w:rPr>
      </w:pPr>
      <w:r w:rsidRPr="00C85EB6">
        <w:rPr>
          <w:rFonts w:ascii="Times New Roman" w:hAnsi="Times New Roman" w:cs="Times New Roman"/>
          <w:sz w:val="24"/>
          <w:szCs w:val="24"/>
        </w:rPr>
        <w:t xml:space="preserve">A evasão escolar no Ensino Médio é um dos desafios mais persistentes e preocupantes da educação brasileira. Dados do Censo Escolar </w:t>
      </w:r>
      <w:r w:rsidRPr="00C85EB6">
        <w:rPr>
          <w:rFonts w:ascii="Times New Roman" w:hAnsi="Times New Roman" w:cs="Times New Roman"/>
          <w:i/>
          <w:iCs/>
          <w:sz w:val="24"/>
          <w:szCs w:val="24"/>
        </w:rPr>
        <w:t>(INEP, 2022)</w:t>
      </w:r>
      <w:r w:rsidRPr="00C85EB6">
        <w:rPr>
          <w:rFonts w:ascii="Times New Roman" w:hAnsi="Times New Roman" w:cs="Times New Roman"/>
          <w:sz w:val="24"/>
          <w:szCs w:val="24"/>
        </w:rPr>
        <w:t xml:space="preserve"> indicam que 5,6% dos alunos matriculados nessa etapa abandonam a escola, índice que subiu para 5,9% em 2024 (INEP,</w:t>
      </w:r>
      <w:r w:rsidRPr="00C85EB6">
        <w:rPr>
          <w:rFonts w:ascii="Times New Roman" w:hAnsi="Times New Roman" w:cs="Times New Roman"/>
          <w:i/>
          <w:iCs/>
          <w:sz w:val="24"/>
          <w:szCs w:val="24"/>
        </w:rPr>
        <w:t xml:space="preserve"> </w:t>
      </w:r>
      <w:r w:rsidRPr="00C85EB6">
        <w:rPr>
          <w:rFonts w:ascii="Times New Roman" w:hAnsi="Times New Roman" w:cs="Times New Roman"/>
          <w:sz w:val="24"/>
          <w:szCs w:val="24"/>
        </w:rPr>
        <w:t>2024). Esse problema afeta principalmente os estudantes em situação de vulnerabilidade social, para os quais a permanência escolar é diretamente condicionada a fatores econômicos.</w:t>
      </w:r>
    </w:p>
    <w:p w14:paraId="42E8762C" w14:textId="77777777" w:rsidR="0044661E" w:rsidRPr="00C85EB6" w:rsidRDefault="0044661E" w:rsidP="0044661E">
      <w:pPr>
        <w:spacing w:after="0" w:line="360" w:lineRule="auto"/>
        <w:ind w:firstLine="709"/>
        <w:jc w:val="both"/>
        <w:rPr>
          <w:rFonts w:ascii="Times New Roman" w:hAnsi="Times New Roman" w:cs="Times New Roman"/>
          <w:sz w:val="24"/>
          <w:szCs w:val="24"/>
        </w:rPr>
      </w:pPr>
      <w:r w:rsidRPr="00C85EB6">
        <w:rPr>
          <w:rFonts w:ascii="Times New Roman" w:hAnsi="Times New Roman" w:cs="Times New Roman"/>
          <w:sz w:val="24"/>
          <w:szCs w:val="24"/>
        </w:rPr>
        <w:t>A literatura educacional aponta que a evasão está associada a múltiplos fatores, como a necessidade de trabalhar, a baixa qualidade do ensino, a defasagem idade-série e a ausência de políticas públicas específicas para adolescentes e jovens em risco de abandono escolar (</w:t>
      </w:r>
      <w:proofErr w:type="spellStart"/>
      <w:r w:rsidRPr="00C85EB6">
        <w:rPr>
          <w:rFonts w:ascii="Times New Roman" w:hAnsi="Times New Roman" w:cs="Times New Roman"/>
          <w:sz w:val="24"/>
          <w:szCs w:val="24"/>
        </w:rPr>
        <w:t>Cenedese</w:t>
      </w:r>
      <w:proofErr w:type="spellEnd"/>
      <w:r w:rsidRPr="00C85EB6">
        <w:rPr>
          <w:rFonts w:ascii="Times New Roman" w:hAnsi="Times New Roman" w:cs="Times New Roman"/>
          <w:sz w:val="24"/>
          <w:szCs w:val="24"/>
        </w:rPr>
        <w:t>;</w:t>
      </w:r>
      <w:r w:rsidRPr="00C85EB6">
        <w:rPr>
          <w:rFonts w:ascii="Times New Roman" w:hAnsi="Times New Roman" w:cs="Times New Roman"/>
          <w:i/>
          <w:iCs/>
          <w:sz w:val="24"/>
          <w:szCs w:val="24"/>
        </w:rPr>
        <w:t xml:space="preserve"> Soares, 2020)</w:t>
      </w:r>
      <w:r w:rsidRPr="00C85EB6">
        <w:rPr>
          <w:rFonts w:ascii="Times New Roman" w:hAnsi="Times New Roman" w:cs="Times New Roman"/>
          <w:sz w:val="24"/>
          <w:szCs w:val="24"/>
        </w:rPr>
        <w:t>. Entre os jovens de famílias de baixa renda, a evasão é quase três vezes maior do que entre alunos de classes sociais mais favorecidas (Brasil, 2023a).</w:t>
      </w:r>
    </w:p>
    <w:p w14:paraId="6B0A4748" w14:textId="77777777" w:rsidR="0044661E" w:rsidRPr="00C85EB6" w:rsidRDefault="0044661E" w:rsidP="0044661E">
      <w:pPr>
        <w:spacing w:after="0" w:line="360" w:lineRule="auto"/>
        <w:ind w:firstLine="709"/>
        <w:jc w:val="both"/>
        <w:rPr>
          <w:rFonts w:ascii="Times New Roman" w:hAnsi="Times New Roman" w:cs="Times New Roman"/>
          <w:sz w:val="24"/>
          <w:szCs w:val="24"/>
        </w:rPr>
      </w:pPr>
      <w:r w:rsidRPr="00C85EB6">
        <w:rPr>
          <w:rFonts w:ascii="Times New Roman" w:hAnsi="Times New Roman" w:cs="Times New Roman"/>
          <w:sz w:val="24"/>
          <w:szCs w:val="24"/>
        </w:rPr>
        <w:t>Neste cenário, o Programa Pé de Meia foi instituído pela Portaria MEC nº 1.234/2023 com o objetivo de criar condições para que estudantes do Ensino Médio permaneçam na escola e concluam essa etapa. Inspirado em políticas sociais de transferência de renda condicionada, o programa oferece incentivos financeiros diretamente aos estudantes, vinculados à frequência escolar, participação em avaliações e aprovação anual.</w:t>
      </w:r>
    </w:p>
    <w:p w14:paraId="045D7D89" w14:textId="77777777" w:rsidR="0044661E" w:rsidRPr="00C85EB6" w:rsidRDefault="0044661E" w:rsidP="0044661E">
      <w:pPr>
        <w:spacing w:after="0" w:line="360" w:lineRule="auto"/>
        <w:ind w:firstLine="709"/>
        <w:jc w:val="both"/>
        <w:rPr>
          <w:rFonts w:ascii="Times New Roman" w:hAnsi="Times New Roman" w:cs="Times New Roman"/>
          <w:sz w:val="24"/>
          <w:szCs w:val="24"/>
        </w:rPr>
      </w:pPr>
      <w:r w:rsidRPr="00C85EB6">
        <w:rPr>
          <w:rFonts w:ascii="Times New Roman" w:hAnsi="Times New Roman" w:cs="Times New Roman"/>
          <w:sz w:val="24"/>
          <w:szCs w:val="24"/>
        </w:rPr>
        <w:t xml:space="preserve">O modelo adotado baseia-se na experiência de diversos países latino-americanos. Programas como o </w:t>
      </w:r>
      <w:proofErr w:type="spellStart"/>
      <w:r w:rsidRPr="00C85EB6">
        <w:rPr>
          <w:rFonts w:ascii="Times New Roman" w:hAnsi="Times New Roman" w:cs="Times New Roman"/>
          <w:sz w:val="24"/>
          <w:szCs w:val="24"/>
        </w:rPr>
        <w:t>Progresa</w:t>
      </w:r>
      <w:proofErr w:type="spellEnd"/>
      <w:r w:rsidRPr="00C85EB6">
        <w:rPr>
          <w:rFonts w:ascii="Times New Roman" w:hAnsi="Times New Roman" w:cs="Times New Roman"/>
          <w:sz w:val="24"/>
          <w:szCs w:val="24"/>
        </w:rPr>
        <w:t xml:space="preserve">/Oportunidades, no México, e os Subsídios Condicionados de Bogotá, na Colômbia, demonstraram que a combinação de apoio financeiro com exigências educacionais pode ter impactos concretos na permanência dos alunos na escola </w:t>
      </w:r>
      <w:r w:rsidRPr="00C85EB6">
        <w:rPr>
          <w:rFonts w:ascii="Times New Roman" w:hAnsi="Times New Roman" w:cs="Times New Roman"/>
          <w:i/>
          <w:iCs/>
          <w:sz w:val="24"/>
          <w:szCs w:val="24"/>
        </w:rPr>
        <w:t>(</w:t>
      </w:r>
      <w:proofErr w:type="spellStart"/>
      <w:r w:rsidRPr="00C85EB6">
        <w:rPr>
          <w:rFonts w:ascii="Times New Roman" w:hAnsi="Times New Roman" w:cs="Times New Roman"/>
          <w:i/>
          <w:iCs/>
          <w:sz w:val="24"/>
          <w:szCs w:val="24"/>
        </w:rPr>
        <w:t>Rawlings</w:t>
      </w:r>
      <w:proofErr w:type="spellEnd"/>
      <w:r w:rsidRPr="00C85EB6">
        <w:rPr>
          <w:rFonts w:ascii="Times New Roman" w:hAnsi="Times New Roman" w:cs="Times New Roman"/>
          <w:i/>
          <w:iCs/>
          <w:sz w:val="24"/>
          <w:szCs w:val="24"/>
        </w:rPr>
        <w:t>; Rubio, 2005)</w:t>
      </w:r>
      <w:r w:rsidRPr="00C85EB6">
        <w:rPr>
          <w:rFonts w:ascii="Times New Roman" w:hAnsi="Times New Roman" w:cs="Times New Roman"/>
          <w:sz w:val="24"/>
          <w:szCs w:val="24"/>
        </w:rPr>
        <w:t>.</w:t>
      </w:r>
    </w:p>
    <w:p w14:paraId="11A5A54C" w14:textId="77777777" w:rsidR="0044661E" w:rsidRPr="00C85EB6" w:rsidRDefault="0044661E" w:rsidP="0044661E">
      <w:pPr>
        <w:spacing w:after="0" w:line="360" w:lineRule="auto"/>
        <w:ind w:firstLine="709"/>
        <w:jc w:val="both"/>
        <w:rPr>
          <w:rFonts w:ascii="Times New Roman" w:hAnsi="Times New Roman" w:cs="Times New Roman"/>
          <w:sz w:val="24"/>
          <w:szCs w:val="24"/>
        </w:rPr>
      </w:pPr>
      <w:r w:rsidRPr="00C85EB6">
        <w:rPr>
          <w:rFonts w:ascii="Times New Roman" w:hAnsi="Times New Roman" w:cs="Times New Roman"/>
          <w:sz w:val="24"/>
          <w:szCs w:val="24"/>
        </w:rPr>
        <w:t xml:space="preserve">No Brasil, a experiência mais consolidada nesse campo é o Programa Bolsa Família. Pesquisas apontam que o programa teve efeito positivo na frequência escolar e na progressão dos alunos em idade escolar, principalmente no Ensino Fundamental </w:t>
      </w:r>
      <w:r w:rsidRPr="00C85EB6">
        <w:rPr>
          <w:rFonts w:ascii="Times New Roman" w:hAnsi="Times New Roman" w:cs="Times New Roman"/>
          <w:i/>
          <w:iCs/>
          <w:sz w:val="24"/>
          <w:szCs w:val="24"/>
        </w:rPr>
        <w:t xml:space="preserve">(Soares et </w:t>
      </w:r>
      <w:r w:rsidRPr="00C85EB6">
        <w:rPr>
          <w:rFonts w:ascii="Times New Roman" w:hAnsi="Times New Roman" w:cs="Times New Roman"/>
          <w:sz w:val="24"/>
          <w:szCs w:val="24"/>
        </w:rPr>
        <w:t>al.,</w:t>
      </w:r>
      <w:r w:rsidRPr="00C85EB6">
        <w:rPr>
          <w:rFonts w:ascii="Times New Roman" w:hAnsi="Times New Roman" w:cs="Times New Roman"/>
          <w:i/>
          <w:iCs/>
          <w:sz w:val="24"/>
          <w:szCs w:val="24"/>
        </w:rPr>
        <w:t xml:space="preserve"> </w:t>
      </w:r>
      <w:r w:rsidRPr="00C85EB6">
        <w:rPr>
          <w:rFonts w:ascii="Times New Roman" w:hAnsi="Times New Roman" w:cs="Times New Roman"/>
          <w:sz w:val="24"/>
          <w:szCs w:val="24"/>
        </w:rPr>
        <w:t>2010). O diferencial do Pé de Meia está em seu foco específico no Ensino Médio, etapa historicamente marcada por altas taxas de evasão.</w:t>
      </w:r>
    </w:p>
    <w:p w14:paraId="1AC314C0" w14:textId="77777777" w:rsidR="0044661E" w:rsidRPr="00C85EB6" w:rsidRDefault="0044661E" w:rsidP="0044661E">
      <w:pPr>
        <w:spacing w:after="0" w:line="360" w:lineRule="auto"/>
        <w:ind w:firstLine="709"/>
        <w:jc w:val="both"/>
        <w:rPr>
          <w:rFonts w:ascii="Times New Roman" w:hAnsi="Times New Roman" w:cs="Times New Roman"/>
          <w:sz w:val="24"/>
          <w:szCs w:val="24"/>
        </w:rPr>
      </w:pPr>
      <w:r w:rsidRPr="00C85EB6">
        <w:rPr>
          <w:rFonts w:ascii="Times New Roman" w:hAnsi="Times New Roman" w:cs="Times New Roman"/>
          <w:sz w:val="24"/>
          <w:szCs w:val="24"/>
        </w:rPr>
        <w:t>O incentivo financeiro do Pé de Meia é depositado em contas-poupança em nome dos estudantes, geridas pela Caixa Econômica Federal. Os valores são acumulados conforme o aluno cumpre as condicionalidades e conclui os anos escolares, podendo ser sacados ao final do ciclo. Essa estratégia visa estimular não apenas a matrícula, mas a permanência e o engajamento com os estudos (Brasil, 2023b).</w:t>
      </w:r>
    </w:p>
    <w:p w14:paraId="48FFCFCF" w14:textId="77777777" w:rsidR="0044661E" w:rsidRPr="00C85EB6" w:rsidRDefault="0044661E" w:rsidP="0044661E">
      <w:pPr>
        <w:spacing w:after="0" w:line="360" w:lineRule="auto"/>
        <w:ind w:firstLine="709"/>
        <w:jc w:val="both"/>
        <w:rPr>
          <w:rFonts w:ascii="Times New Roman" w:hAnsi="Times New Roman" w:cs="Times New Roman"/>
          <w:sz w:val="24"/>
          <w:szCs w:val="24"/>
        </w:rPr>
      </w:pPr>
      <w:r w:rsidRPr="00C85EB6">
        <w:rPr>
          <w:rFonts w:ascii="Times New Roman" w:hAnsi="Times New Roman" w:cs="Times New Roman"/>
          <w:sz w:val="24"/>
          <w:szCs w:val="24"/>
        </w:rPr>
        <w:t xml:space="preserve">Além do benefício financeiro, o programa impõe obrigações claras: o estudante deve manter frequência mínima de 80%, participar das avaliações oficiais do MEC e ser aprovado </w:t>
      </w:r>
      <w:r w:rsidRPr="00C85EB6">
        <w:rPr>
          <w:rFonts w:ascii="Times New Roman" w:hAnsi="Times New Roman" w:cs="Times New Roman"/>
          <w:sz w:val="24"/>
          <w:szCs w:val="24"/>
        </w:rPr>
        <w:lastRenderedPageBreak/>
        <w:t>ao final de cada ano letivo. Esses critérios têm como objetivo assegurar que o apoio financeiro esteja vinculado ao desempenho educacional.</w:t>
      </w:r>
    </w:p>
    <w:p w14:paraId="18D40BAC" w14:textId="77777777" w:rsidR="0044661E" w:rsidRPr="00C85EB6" w:rsidRDefault="0044661E" w:rsidP="0044661E">
      <w:pPr>
        <w:spacing w:after="0" w:line="360" w:lineRule="auto"/>
        <w:ind w:firstLine="709"/>
        <w:jc w:val="both"/>
        <w:rPr>
          <w:rFonts w:ascii="Times New Roman" w:hAnsi="Times New Roman" w:cs="Times New Roman"/>
          <w:sz w:val="24"/>
          <w:szCs w:val="24"/>
        </w:rPr>
      </w:pPr>
      <w:r w:rsidRPr="00C85EB6">
        <w:rPr>
          <w:rFonts w:ascii="Times New Roman" w:hAnsi="Times New Roman" w:cs="Times New Roman"/>
          <w:sz w:val="24"/>
          <w:szCs w:val="24"/>
        </w:rPr>
        <w:t>A operacionalização do programa é coordenada pela Secretaria de Gestão da Educação Básica (</w:t>
      </w:r>
      <w:proofErr w:type="spellStart"/>
      <w:r w:rsidRPr="00C85EB6">
        <w:rPr>
          <w:rFonts w:ascii="Times New Roman" w:hAnsi="Times New Roman" w:cs="Times New Roman"/>
          <w:sz w:val="24"/>
          <w:szCs w:val="24"/>
        </w:rPr>
        <w:t>Segape</w:t>
      </w:r>
      <w:proofErr w:type="spellEnd"/>
      <w:r w:rsidRPr="00C85EB6">
        <w:rPr>
          <w:rFonts w:ascii="Times New Roman" w:hAnsi="Times New Roman" w:cs="Times New Roman"/>
          <w:sz w:val="24"/>
          <w:szCs w:val="24"/>
        </w:rPr>
        <w:t>), com apoio da Diretoria de Monitoramento e Avaliação (</w:t>
      </w:r>
      <w:proofErr w:type="spellStart"/>
      <w:r w:rsidRPr="00C85EB6">
        <w:rPr>
          <w:rFonts w:ascii="Times New Roman" w:hAnsi="Times New Roman" w:cs="Times New Roman"/>
          <w:sz w:val="24"/>
          <w:szCs w:val="24"/>
        </w:rPr>
        <w:t>Diman</w:t>
      </w:r>
      <w:proofErr w:type="spellEnd"/>
      <w:r w:rsidRPr="00C85EB6">
        <w:rPr>
          <w:rFonts w:ascii="Times New Roman" w:hAnsi="Times New Roman" w:cs="Times New Roman"/>
          <w:sz w:val="24"/>
          <w:szCs w:val="24"/>
        </w:rPr>
        <w:t>/SEB) e da Diretoria de Apoio à Implementação (</w:t>
      </w:r>
      <w:proofErr w:type="spellStart"/>
      <w:r w:rsidRPr="00C85EB6">
        <w:rPr>
          <w:rFonts w:ascii="Times New Roman" w:hAnsi="Times New Roman" w:cs="Times New Roman"/>
          <w:sz w:val="24"/>
          <w:szCs w:val="24"/>
        </w:rPr>
        <w:t>Diab</w:t>
      </w:r>
      <w:proofErr w:type="spellEnd"/>
      <w:r w:rsidRPr="00C85EB6">
        <w:rPr>
          <w:rFonts w:ascii="Times New Roman" w:hAnsi="Times New Roman" w:cs="Times New Roman"/>
          <w:sz w:val="24"/>
          <w:szCs w:val="24"/>
        </w:rPr>
        <w:t xml:space="preserve">/SEB). Cabe à </w:t>
      </w:r>
      <w:proofErr w:type="spellStart"/>
      <w:r w:rsidRPr="00C85EB6">
        <w:rPr>
          <w:rFonts w:ascii="Times New Roman" w:hAnsi="Times New Roman" w:cs="Times New Roman"/>
          <w:sz w:val="24"/>
          <w:szCs w:val="24"/>
        </w:rPr>
        <w:t>Segape</w:t>
      </w:r>
      <w:proofErr w:type="spellEnd"/>
      <w:r w:rsidRPr="00C85EB6">
        <w:rPr>
          <w:rFonts w:ascii="Times New Roman" w:hAnsi="Times New Roman" w:cs="Times New Roman"/>
          <w:sz w:val="24"/>
          <w:szCs w:val="24"/>
        </w:rPr>
        <w:t xml:space="preserve"> a coleta e consolidação dos dados, enquanto as demais diretorias produzem e analisam os indicadores de desempenho do programa (Brasil, 2023c).</w:t>
      </w:r>
    </w:p>
    <w:p w14:paraId="19D0864D" w14:textId="77777777" w:rsidR="0044661E" w:rsidRPr="00C85EB6" w:rsidRDefault="0044661E" w:rsidP="0044661E">
      <w:pPr>
        <w:spacing w:after="0" w:line="360" w:lineRule="auto"/>
        <w:ind w:firstLine="709"/>
        <w:jc w:val="both"/>
        <w:rPr>
          <w:rFonts w:ascii="Times New Roman" w:hAnsi="Times New Roman" w:cs="Times New Roman"/>
          <w:sz w:val="24"/>
          <w:szCs w:val="24"/>
        </w:rPr>
      </w:pPr>
      <w:r w:rsidRPr="00C85EB6">
        <w:rPr>
          <w:rFonts w:ascii="Times New Roman" w:hAnsi="Times New Roman" w:cs="Times New Roman"/>
          <w:sz w:val="24"/>
          <w:szCs w:val="24"/>
        </w:rPr>
        <w:t>Apesar de ainda recente, o Programa Pé de Meia já tem despertado atenção acadêmica e política. Seu caráter inovador e seu alinhamento com os Objetivos de Desenvolvimento Sustentável (ODS 4 - Educação de Qualidade) tornam-no relevante no debate sobre políticas públicas de combate à evasão escolar entre jovens brasileiros.</w:t>
      </w:r>
    </w:p>
    <w:p w14:paraId="6FBCF004" w14:textId="77777777" w:rsidR="0044661E" w:rsidRPr="00C85EB6" w:rsidRDefault="0044661E" w:rsidP="0044661E">
      <w:pPr>
        <w:spacing w:after="0" w:line="360" w:lineRule="auto"/>
        <w:ind w:firstLine="709"/>
        <w:jc w:val="both"/>
        <w:rPr>
          <w:rFonts w:ascii="Times New Roman" w:hAnsi="Times New Roman" w:cs="Times New Roman"/>
          <w:sz w:val="24"/>
          <w:szCs w:val="24"/>
        </w:rPr>
      </w:pPr>
      <w:r w:rsidRPr="00C85EB6">
        <w:rPr>
          <w:rFonts w:ascii="Times New Roman" w:hAnsi="Times New Roman" w:cs="Times New Roman"/>
          <w:sz w:val="24"/>
          <w:szCs w:val="24"/>
        </w:rPr>
        <w:t xml:space="preserve">Este estudo de caso tem como objetivo descrever e analisar o Programa Pé de Meia a partir de três eixos: (1) sua fundamentação teórica no campo das </w:t>
      </w:r>
      <w:proofErr w:type="spellStart"/>
      <w:r w:rsidRPr="00C85EB6">
        <w:rPr>
          <w:rFonts w:ascii="Times New Roman" w:hAnsi="Times New Roman" w:cs="Times New Roman"/>
          <w:sz w:val="24"/>
          <w:szCs w:val="24"/>
        </w:rPr>
        <w:t>CCTs</w:t>
      </w:r>
      <w:proofErr w:type="spellEnd"/>
      <w:r w:rsidRPr="00C85EB6">
        <w:rPr>
          <w:rFonts w:ascii="Times New Roman" w:hAnsi="Times New Roman" w:cs="Times New Roman"/>
          <w:sz w:val="24"/>
          <w:szCs w:val="24"/>
        </w:rPr>
        <w:t>; (2) o contexto da evasão escolar no Brasil; e (3) a análise do seu desenho institucional, desafios e potencial de impacto. A investigação considera experiências nacionais e internacionais comparáveis, buscando oferecer subsídios para seu aprimoramento e fortalecimento.</w:t>
      </w:r>
    </w:p>
    <w:p w14:paraId="5AB78362" w14:textId="0A227D39" w:rsidR="00FF6D14" w:rsidRPr="00404305" w:rsidRDefault="00404305" w:rsidP="00404305">
      <w:pPr>
        <w:pStyle w:val="PargrafodaLista"/>
        <w:numPr>
          <w:ilvl w:val="0"/>
          <w:numId w:val="3"/>
        </w:numPr>
        <w:spacing w:before="240" w:line="360" w:lineRule="auto"/>
        <w:jc w:val="both"/>
        <w:rPr>
          <w:rFonts w:ascii="Times New Roman" w:hAnsi="Times New Roman" w:cs="Times New Roman"/>
          <w:b/>
          <w:bCs/>
          <w:sz w:val="24"/>
          <w:szCs w:val="24"/>
        </w:rPr>
      </w:pPr>
      <w:r w:rsidRPr="00404305">
        <w:rPr>
          <w:rFonts w:ascii="Times New Roman" w:hAnsi="Times New Roman" w:cs="Times New Roman"/>
          <w:b/>
          <w:bCs/>
          <w:sz w:val="24"/>
          <w:szCs w:val="24"/>
        </w:rPr>
        <w:t>FUNDAMENTAÇÃO TEÓRICA</w:t>
      </w:r>
    </w:p>
    <w:p w14:paraId="7A500D3D" w14:textId="3C274B17" w:rsidR="0044661E" w:rsidRPr="00C85EB6" w:rsidRDefault="00FF6D14" w:rsidP="0044661E">
      <w:pPr>
        <w:spacing w:after="0" w:line="360" w:lineRule="auto"/>
        <w:ind w:firstLine="709"/>
        <w:jc w:val="both"/>
        <w:rPr>
          <w:rFonts w:ascii="Times New Roman" w:hAnsi="Times New Roman" w:cs="Times New Roman"/>
          <w:sz w:val="24"/>
          <w:szCs w:val="24"/>
        </w:rPr>
      </w:pPr>
      <w:r w:rsidRPr="0044661E">
        <w:rPr>
          <w:rFonts w:ascii="Times New Roman" w:hAnsi="Times New Roman" w:cs="Times New Roman"/>
          <w:sz w:val="24"/>
          <w:szCs w:val="24"/>
        </w:rPr>
        <w:t xml:space="preserve">O </w:t>
      </w:r>
      <w:r w:rsidR="0044661E" w:rsidRPr="00C85EB6">
        <w:rPr>
          <w:rFonts w:ascii="Times New Roman" w:hAnsi="Times New Roman" w:cs="Times New Roman"/>
          <w:sz w:val="24"/>
          <w:szCs w:val="24"/>
        </w:rPr>
        <w:t>Programa Pé de Meia está ancorado em uma sólida base teórica construída a partir de diferentes campos das ciências sociais aplicadas, em especial da economia da educação, da sociologia das políticas públicas e da literatura sobre proteção social. O ponto de partida é a Teoria do Capital Humano, proposta por Gary Becker (1964), segundo a qual o investimento em educação gera retornos individuais e coletivos, ao aumentar a produtividade, a empregabilidade e a renda dos indivíduos.</w:t>
      </w:r>
    </w:p>
    <w:p w14:paraId="6C18DD23" w14:textId="77777777" w:rsidR="0044661E" w:rsidRPr="00C85EB6" w:rsidRDefault="0044661E" w:rsidP="0044661E">
      <w:pPr>
        <w:spacing w:after="0" w:line="360" w:lineRule="auto"/>
        <w:ind w:firstLine="709"/>
        <w:jc w:val="both"/>
        <w:rPr>
          <w:rFonts w:ascii="Times New Roman" w:hAnsi="Times New Roman" w:cs="Times New Roman"/>
          <w:sz w:val="24"/>
          <w:szCs w:val="24"/>
        </w:rPr>
      </w:pPr>
      <w:r w:rsidRPr="00C85EB6">
        <w:rPr>
          <w:rFonts w:ascii="Times New Roman" w:hAnsi="Times New Roman" w:cs="Times New Roman"/>
          <w:sz w:val="24"/>
          <w:szCs w:val="24"/>
        </w:rPr>
        <w:t>Becker argumenta que a educação deve ser compreendida como um investimento produtivo, pois eleva a capacidade de trabalho ao longo da vida e reduz a dependência de programas sociais no futuro. Essa lógica justifica a atuação estatal na promoção de políticas educacionais ativas, especialmente para populações em vulnerabilidade. No contexto brasileiro, essa teoria se mostra particularmente relevante frente às desigualdades estruturais que afetam o acesso e a permanência escolar.</w:t>
      </w:r>
    </w:p>
    <w:p w14:paraId="10E86AD9" w14:textId="77777777" w:rsidR="0044661E" w:rsidRPr="00C85EB6" w:rsidRDefault="0044661E" w:rsidP="0044661E">
      <w:pPr>
        <w:spacing w:after="0" w:line="360" w:lineRule="auto"/>
        <w:ind w:firstLine="709"/>
        <w:jc w:val="both"/>
        <w:rPr>
          <w:rFonts w:ascii="Times New Roman" w:hAnsi="Times New Roman" w:cs="Times New Roman"/>
          <w:sz w:val="24"/>
          <w:szCs w:val="24"/>
        </w:rPr>
      </w:pPr>
      <w:r w:rsidRPr="00C85EB6">
        <w:rPr>
          <w:rFonts w:ascii="Times New Roman" w:hAnsi="Times New Roman" w:cs="Times New Roman"/>
          <w:sz w:val="24"/>
          <w:szCs w:val="24"/>
        </w:rPr>
        <w:t>Outro eixo teórico essencial para compreender o Pé de Meia está na literatura sobre Transferências Condicionadas de Renda (</w:t>
      </w:r>
      <w:proofErr w:type="spellStart"/>
      <w:r w:rsidRPr="00C85EB6">
        <w:rPr>
          <w:rFonts w:ascii="Times New Roman" w:hAnsi="Times New Roman" w:cs="Times New Roman"/>
          <w:sz w:val="24"/>
          <w:szCs w:val="24"/>
        </w:rPr>
        <w:t>CCTs</w:t>
      </w:r>
      <w:proofErr w:type="spellEnd"/>
      <w:r w:rsidRPr="00C85EB6">
        <w:rPr>
          <w:rFonts w:ascii="Times New Roman" w:hAnsi="Times New Roman" w:cs="Times New Roman"/>
          <w:sz w:val="24"/>
          <w:szCs w:val="24"/>
        </w:rPr>
        <w:t xml:space="preserve">). Os </w:t>
      </w:r>
      <w:proofErr w:type="spellStart"/>
      <w:r w:rsidRPr="00C85EB6">
        <w:rPr>
          <w:rFonts w:ascii="Times New Roman" w:hAnsi="Times New Roman" w:cs="Times New Roman"/>
          <w:sz w:val="24"/>
          <w:szCs w:val="24"/>
        </w:rPr>
        <w:t>CCTs</w:t>
      </w:r>
      <w:proofErr w:type="spellEnd"/>
      <w:r w:rsidRPr="00C85EB6">
        <w:rPr>
          <w:rFonts w:ascii="Times New Roman" w:hAnsi="Times New Roman" w:cs="Times New Roman"/>
          <w:sz w:val="24"/>
          <w:szCs w:val="24"/>
        </w:rPr>
        <w:t xml:space="preserve"> foram popularizados a partir do final dos anos 1990 na América Latina, como resposta à pobreza intergeracional. Diferente das transferências assistencialistas tradicionais, os </w:t>
      </w:r>
      <w:proofErr w:type="spellStart"/>
      <w:r w:rsidRPr="00C85EB6">
        <w:rPr>
          <w:rFonts w:ascii="Times New Roman" w:hAnsi="Times New Roman" w:cs="Times New Roman"/>
          <w:sz w:val="24"/>
          <w:szCs w:val="24"/>
        </w:rPr>
        <w:t>CCTs</w:t>
      </w:r>
      <w:proofErr w:type="spellEnd"/>
      <w:r w:rsidRPr="00C85EB6">
        <w:rPr>
          <w:rFonts w:ascii="Times New Roman" w:hAnsi="Times New Roman" w:cs="Times New Roman"/>
          <w:sz w:val="24"/>
          <w:szCs w:val="24"/>
        </w:rPr>
        <w:t xml:space="preserve"> vinculam o recebimento do benefício ao </w:t>
      </w:r>
      <w:r w:rsidRPr="00C85EB6">
        <w:rPr>
          <w:rFonts w:ascii="Times New Roman" w:hAnsi="Times New Roman" w:cs="Times New Roman"/>
          <w:sz w:val="24"/>
          <w:szCs w:val="24"/>
        </w:rPr>
        <w:lastRenderedPageBreak/>
        <w:t xml:space="preserve">cumprimento de exigências nas áreas de saúde e educação, buscando efeitos de longo prazo </w:t>
      </w:r>
      <w:r w:rsidRPr="00C85EB6">
        <w:rPr>
          <w:rFonts w:ascii="Times New Roman" w:hAnsi="Times New Roman" w:cs="Times New Roman"/>
          <w:i/>
          <w:iCs/>
          <w:sz w:val="24"/>
          <w:szCs w:val="24"/>
        </w:rPr>
        <w:t>(</w:t>
      </w:r>
      <w:proofErr w:type="spellStart"/>
      <w:r w:rsidRPr="00C85EB6">
        <w:rPr>
          <w:rFonts w:ascii="Times New Roman" w:hAnsi="Times New Roman" w:cs="Times New Roman"/>
          <w:i/>
          <w:iCs/>
          <w:sz w:val="24"/>
          <w:szCs w:val="24"/>
        </w:rPr>
        <w:t>Fiszbein</w:t>
      </w:r>
      <w:proofErr w:type="spellEnd"/>
      <w:r w:rsidRPr="00C85EB6">
        <w:rPr>
          <w:rFonts w:ascii="Times New Roman" w:hAnsi="Times New Roman" w:cs="Times New Roman"/>
          <w:i/>
          <w:iCs/>
          <w:sz w:val="24"/>
          <w:szCs w:val="24"/>
        </w:rPr>
        <w:t xml:space="preserve">; </w:t>
      </w:r>
      <w:proofErr w:type="spellStart"/>
      <w:r w:rsidRPr="00C85EB6">
        <w:rPr>
          <w:rFonts w:ascii="Times New Roman" w:hAnsi="Times New Roman" w:cs="Times New Roman"/>
          <w:i/>
          <w:iCs/>
          <w:sz w:val="24"/>
          <w:szCs w:val="24"/>
        </w:rPr>
        <w:t>Schady</w:t>
      </w:r>
      <w:proofErr w:type="spellEnd"/>
      <w:r w:rsidRPr="00C85EB6">
        <w:rPr>
          <w:rFonts w:ascii="Times New Roman" w:hAnsi="Times New Roman" w:cs="Times New Roman"/>
          <w:i/>
          <w:iCs/>
          <w:sz w:val="24"/>
          <w:szCs w:val="24"/>
        </w:rPr>
        <w:t>, 2009)</w:t>
      </w:r>
      <w:r w:rsidRPr="00C85EB6">
        <w:rPr>
          <w:rFonts w:ascii="Times New Roman" w:hAnsi="Times New Roman" w:cs="Times New Roman"/>
          <w:sz w:val="24"/>
          <w:szCs w:val="24"/>
        </w:rPr>
        <w:t>.</w:t>
      </w:r>
    </w:p>
    <w:p w14:paraId="3F57C64C" w14:textId="77777777" w:rsidR="0044661E" w:rsidRPr="00C85EB6" w:rsidRDefault="0044661E" w:rsidP="0044661E">
      <w:pPr>
        <w:spacing w:after="0" w:line="360" w:lineRule="auto"/>
        <w:ind w:firstLine="709"/>
        <w:jc w:val="both"/>
        <w:rPr>
          <w:rFonts w:ascii="Times New Roman" w:hAnsi="Times New Roman" w:cs="Times New Roman"/>
          <w:sz w:val="24"/>
          <w:szCs w:val="24"/>
        </w:rPr>
      </w:pPr>
      <w:r w:rsidRPr="00C85EB6">
        <w:rPr>
          <w:rFonts w:ascii="Times New Roman" w:hAnsi="Times New Roman" w:cs="Times New Roman"/>
          <w:sz w:val="24"/>
          <w:szCs w:val="24"/>
        </w:rPr>
        <w:t xml:space="preserve">No México, o programa </w:t>
      </w:r>
      <w:proofErr w:type="spellStart"/>
      <w:r w:rsidRPr="00C85EB6">
        <w:rPr>
          <w:rFonts w:ascii="Times New Roman" w:hAnsi="Times New Roman" w:cs="Times New Roman"/>
          <w:sz w:val="24"/>
          <w:szCs w:val="24"/>
        </w:rPr>
        <w:t>Progresa</w:t>
      </w:r>
      <w:proofErr w:type="spellEnd"/>
      <w:r w:rsidRPr="00C85EB6">
        <w:rPr>
          <w:rFonts w:ascii="Times New Roman" w:hAnsi="Times New Roman" w:cs="Times New Roman"/>
          <w:sz w:val="24"/>
          <w:szCs w:val="24"/>
        </w:rPr>
        <w:t xml:space="preserve"> (posteriormente Oportunidades e Prospera) tornou-se uma das experiências mais estudadas do mundo. Avaliações rigorosas mostraram que o programa teve impactos positivos na frequência escolar, principalmente entre meninas e alunos do Ensino Médio (Parker; Todd, 2005). Resultados similares foram identificados na Colômbia, com o programa </w:t>
      </w:r>
      <w:proofErr w:type="spellStart"/>
      <w:r w:rsidRPr="00C85EB6">
        <w:rPr>
          <w:rFonts w:ascii="Times New Roman" w:hAnsi="Times New Roman" w:cs="Times New Roman"/>
          <w:sz w:val="24"/>
          <w:szCs w:val="24"/>
        </w:rPr>
        <w:t>Familias</w:t>
      </w:r>
      <w:proofErr w:type="spellEnd"/>
      <w:r w:rsidRPr="00C85EB6">
        <w:rPr>
          <w:rFonts w:ascii="Times New Roman" w:hAnsi="Times New Roman" w:cs="Times New Roman"/>
          <w:sz w:val="24"/>
          <w:szCs w:val="24"/>
        </w:rPr>
        <w:t xml:space="preserve"> </w:t>
      </w:r>
      <w:proofErr w:type="spellStart"/>
      <w:r w:rsidRPr="00C85EB6">
        <w:rPr>
          <w:rFonts w:ascii="Times New Roman" w:hAnsi="Times New Roman" w:cs="Times New Roman"/>
          <w:sz w:val="24"/>
          <w:szCs w:val="24"/>
        </w:rPr>
        <w:t>en</w:t>
      </w:r>
      <w:proofErr w:type="spellEnd"/>
      <w:r w:rsidRPr="00C85EB6">
        <w:rPr>
          <w:rFonts w:ascii="Times New Roman" w:hAnsi="Times New Roman" w:cs="Times New Roman"/>
          <w:sz w:val="24"/>
          <w:szCs w:val="24"/>
        </w:rPr>
        <w:t xml:space="preserve"> </w:t>
      </w:r>
      <w:proofErr w:type="spellStart"/>
      <w:r w:rsidRPr="00C85EB6">
        <w:rPr>
          <w:rFonts w:ascii="Times New Roman" w:hAnsi="Times New Roman" w:cs="Times New Roman"/>
          <w:sz w:val="24"/>
          <w:szCs w:val="24"/>
        </w:rPr>
        <w:t>Acción</w:t>
      </w:r>
      <w:proofErr w:type="spellEnd"/>
      <w:r w:rsidRPr="00C85EB6">
        <w:rPr>
          <w:rFonts w:ascii="Times New Roman" w:hAnsi="Times New Roman" w:cs="Times New Roman"/>
          <w:sz w:val="24"/>
          <w:szCs w:val="24"/>
        </w:rPr>
        <w:t>, e em cidades como Bogotá (Attanasio et al., 2010).</w:t>
      </w:r>
    </w:p>
    <w:p w14:paraId="255F25AE" w14:textId="77777777" w:rsidR="0044661E" w:rsidRPr="00C85EB6" w:rsidRDefault="0044661E" w:rsidP="0044661E">
      <w:pPr>
        <w:spacing w:after="0" w:line="360" w:lineRule="auto"/>
        <w:ind w:firstLine="709"/>
        <w:jc w:val="both"/>
        <w:rPr>
          <w:rFonts w:ascii="Times New Roman" w:hAnsi="Times New Roman" w:cs="Times New Roman"/>
          <w:sz w:val="24"/>
          <w:szCs w:val="24"/>
        </w:rPr>
      </w:pPr>
      <w:r w:rsidRPr="00C85EB6">
        <w:rPr>
          <w:rFonts w:ascii="Times New Roman" w:hAnsi="Times New Roman" w:cs="Times New Roman"/>
          <w:sz w:val="24"/>
          <w:szCs w:val="24"/>
        </w:rPr>
        <w:t xml:space="preserve">No Brasil, o principal exemplo de CCT é o Programa Bolsa Família. Estudos mostram que ele teve efeitos moderados, mas positivos, sobre os indicadores de frequência e aprovação escolar, além de gerar impactos relevantes na redução da pobreza extrema </w:t>
      </w:r>
      <w:r w:rsidRPr="00C85EB6">
        <w:rPr>
          <w:rFonts w:ascii="Times New Roman" w:hAnsi="Times New Roman" w:cs="Times New Roman"/>
          <w:i/>
          <w:iCs/>
          <w:sz w:val="24"/>
          <w:szCs w:val="24"/>
        </w:rPr>
        <w:t xml:space="preserve">(Soares </w:t>
      </w:r>
      <w:r w:rsidRPr="00C85EB6">
        <w:rPr>
          <w:rFonts w:ascii="Times New Roman" w:hAnsi="Times New Roman" w:cs="Times New Roman"/>
          <w:sz w:val="24"/>
          <w:szCs w:val="24"/>
        </w:rPr>
        <w:t>et</w:t>
      </w:r>
      <w:r w:rsidRPr="00C85EB6">
        <w:rPr>
          <w:rFonts w:ascii="Times New Roman" w:hAnsi="Times New Roman" w:cs="Times New Roman"/>
          <w:i/>
          <w:iCs/>
          <w:sz w:val="24"/>
          <w:szCs w:val="24"/>
        </w:rPr>
        <w:t xml:space="preserve"> </w:t>
      </w:r>
      <w:r w:rsidRPr="00C85EB6">
        <w:rPr>
          <w:rFonts w:ascii="Times New Roman" w:hAnsi="Times New Roman" w:cs="Times New Roman"/>
          <w:sz w:val="24"/>
          <w:szCs w:val="24"/>
        </w:rPr>
        <w:t>al.,</w:t>
      </w:r>
      <w:r w:rsidRPr="00C85EB6">
        <w:rPr>
          <w:rFonts w:ascii="Times New Roman" w:hAnsi="Times New Roman" w:cs="Times New Roman"/>
          <w:i/>
          <w:iCs/>
          <w:sz w:val="24"/>
          <w:szCs w:val="24"/>
        </w:rPr>
        <w:t xml:space="preserve"> </w:t>
      </w:r>
      <w:r w:rsidRPr="00C85EB6">
        <w:rPr>
          <w:rFonts w:ascii="Times New Roman" w:hAnsi="Times New Roman" w:cs="Times New Roman"/>
          <w:sz w:val="24"/>
          <w:szCs w:val="24"/>
        </w:rPr>
        <w:t>2010;</w:t>
      </w:r>
      <w:r w:rsidRPr="00C85EB6">
        <w:rPr>
          <w:rFonts w:ascii="Times New Roman" w:hAnsi="Times New Roman" w:cs="Times New Roman"/>
          <w:i/>
          <w:iCs/>
          <w:sz w:val="24"/>
          <w:szCs w:val="24"/>
        </w:rPr>
        <w:t xml:space="preserve"> </w:t>
      </w:r>
      <w:proofErr w:type="spellStart"/>
      <w:r w:rsidRPr="00C85EB6">
        <w:rPr>
          <w:rFonts w:ascii="Times New Roman" w:hAnsi="Times New Roman" w:cs="Times New Roman"/>
          <w:i/>
          <w:iCs/>
          <w:sz w:val="24"/>
          <w:szCs w:val="24"/>
        </w:rPr>
        <w:t>Glewwe</w:t>
      </w:r>
      <w:proofErr w:type="spellEnd"/>
      <w:r w:rsidRPr="00C85EB6">
        <w:rPr>
          <w:rFonts w:ascii="Times New Roman" w:hAnsi="Times New Roman" w:cs="Times New Roman"/>
          <w:i/>
          <w:iCs/>
          <w:sz w:val="24"/>
          <w:szCs w:val="24"/>
        </w:rPr>
        <w:t xml:space="preserve">; </w:t>
      </w:r>
      <w:proofErr w:type="spellStart"/>
      <w:r w:rsidRPr="00C85EB6">
        <w:rPr>
          <w:rFonts w:ascii="Times New Roman" w:hAnsi="Times New Roman" w:cs="Times New Roman"/>
          <w:i/>
          <w:iCs/>
          <w:sz w:val="24"/>
          <w:szCs w:val="24"/>
        </w:rPr>
        <w:t>Kassouf</w:t>
      </w:r>
      <w:proofErr w:type="spellEnd"/>
      <w:r w:rsidRPr="00C85EB6">
        <w:rPr>
          <w:rFonts w:ascii="Times New Roman" w:hAnsi="Times New Roman" w:cs="Times New Roman"/>
          <w:i/>
          <w:iCs/>
          <w:sz w:val="24"/>
          <w:szCs w:val="24"/>
        </w:rPr>
        <w:t xml:space="preserve">, </w:t>
      </w:r>
      <w:r w:rsidRPr="00C85EB6">
        <w:rPr>
          <w:rFonts w:ascii="Times New Roman" w:hAnsi="Times New Roman" w:cs="Times New Roman"/>
          <w:sz w:val="24"/>
          <w:szCs w:val="24"/>
        </w:rPr>
        <w:t>2012). Apesar disso, a efetividade do Bolsa Família no Ensino Médio foi menor que no Ensino Fundamental, devido à menor atratividade da escola para jovens em idade de trabalho.</w:t>
      </w:r>
    </w:p>
    <w:p w14:paraId="4E355668" w14:textId="77777777" w:rsidR="0044661E" w:rsidRPr="00C85EB6" w:rsidRDefault="0044661E" w:rsidP="0044661E">
      <w:pPr>
        <w:spacing w:after="0" w:line="360" w:lineRule="auto"/>
        <w:ind w:firstLine="709"/>
        <w:jc w:val="both"/>
        <w:rPr>
          <w:rFonts w:ascii="Times New Roman" w:hAnsi="Times New Roman" w:cs="Times New Roman"/>
          <w:sz w:val="24"/>
          <w:szCs w:val="24"/>
        </w:rPr>
      </w:pPr>
      <w:r w:rsidRPr="00C85EB6">
        <w:rPr>
          <w:rFonts w:ascii="Times New Roman" w:hAnsi="Times New Roman" w:cs="Times New Roman"/>
          <w:sz w:val="24"/>
          <w:szCs w:val="24"/>
        </w:rPr>
        <w:t xml:space="preserve">Com base nesses antecedentes, o Programa Pé de Meia surge como uma tentativa de adaptar o modelo de </w:t>
      </w:r>
      <w:proofErr w:type="spellStart"/>
      <w:r w:rsidRPr="00C85EB6">
        <w:rPr>
          <w:rFonts w:ascii="Times New Roman" w:hAnsi="Times New Roman" w:cs="Times New Roman"/>
          <w:sz w:val="24"/>
          <w:szCs w:val="24"/>
        </w:rPr>
        <w:t>CCTs</w:t>
      </w:r>
      <w:proofErr w:type="spellEnd"/>
      <w:r w:rsidRPr="00C85EB6">
        <w:rPr>
          <w:rFonts w:ascii="Times New Roman" w:hAnsi="Times New Roman" w:cs="Times New Roman"/>
          <w:sz w:val="24"/>
          <w:szCs w:val="24"/>
        </w:rPr>
        <w:t xml:space="preserve"> para o público do Ensino Médio, com foco específico na permanência escolar. A estratégia de poupança vinculada e de repasses acumulativos ao longo dos três anos visa reforçar o compromisso de médio prazo com a educação, elevando a atratividade da escola em relação ao mercado informal de trabalho (Brasil, 2023b).</w:t>
      </w:r>
    </w:p>
    <w:p w14:paraId="6F40B795" w14:textId="77777777" w:rsidR="0044661E" w:rsidRPr="00C85EB6" w:rsidRDefault="0044661E" w:rsidP="0044661E">
      <w:pPr>
        <w:spacing w:after="0" w:line="360" w:lineRule="auto"/>
        <w:ind w:firstLine="709"/>
        <w:jc w:val="both"/>
        <w:rPr>
          <w:rFonts w:ascii="Times New Roman" w:hAnsi="Times New Roman" w:cs="Times New Roman"/>
          <w:sz w:val="24"/>
          <w:szCs w:val="24"/>
        </w:rPr>
      </w:pPr>
      <w:r w:rsidRPr="00C85EB6">
        <w:rPr>
          <w:rFonts w:ascii="Times New Roman" w:hAnsi="Times New Roman" w:cs="Times New Roman"/>
          <w:sz w:val="24"/>
          <w:szCs w:val="24"/>
        </w:rPr>
        <w:t xml:space="preserve">A literatura também destaca a importância das condicionalidades como mecanismos de indução de comportamento. Segundo </w:t>
      </w:r>
      <w:proofErr w:type="spellStart"/>
      <w:r w:rsidRPr="00C85EB6">
        <w:rPr>
          <w:rFonts w:ascii="Times New Roman" w:hAnsi="Times New Roman" w:cs="Times New Roman"/>
          <w:sz w:val="24"/>
          <w:szCs w:val="24"/>
        </w:rPr>
        <w:t>Bastagli</w:t>
      </w:r>
      <w:proofErr w:type="spellEnd"/>
      <w:r w:rsidRPr="00C85EB6">
        <w:rPr>
          <w:rFonts w:ascii="Times New Roman" w:hAnsi="Times New Roman" w:cs="Times New Roman"/>
          <w:sz w:val="24"/>
          <w:szCs w:val="24"/>
        </w:rPr>
        <w:t xml:space="preserve"> et al. (2016), condicionalidades bem definidas e monitoradas tendem a aumentar a responsabilização dos beneficiários e melhorar os resultados sociais dos programas. No entanto, também alertam para o risco de exclusão indevida se o Estado não oferecer condições reais para que as exigências sejam cumpridas.</w:t>
      </w:r>
    </w:p>
    <w:p w14:paraId="20CFCD3C" w14:textId="77777777" w:rsidR="0044661E" w:rsidRPr="00C85EB6" w:rsidRDefault="0044661E" w:rsidP="0044661E">
      <w:pPr>
        <w:spacing w:after="0" w:line="360" w:lineRule="auto"/>
        <w:ind w:firstLine="709"/>
        <w:jc w:val="both"/>
        <w:rPr>
          <w:rFonts w:ascii="Times New Roman" w:hAnsi="Times New Roman" w:cs="Times New Roman"/>
          <w:sz w:val="24"/>
          <w:szCs w:val="24"/>
        </w:rPr>
      </w:pPr>
      <w:r w:rsidRPr="00C85EB6">
        <w:rPr>
          <w:rFonts w:ascii="Times New Roman" w:hAnsi="Times New Roman" w:cs="Times New Roman"/>
          <w:sz w:val="24"/>
          <w:szCs w:val="24"/>
        </w:rPr>
        <w:t xml:space="preserve">Outro elemento teórico relevante diz respeito à governança multinível e à intersetorialidade. Programas como o Pé de Meia exigem articulação entre diferentes níveis de governo e setores da administração pública. De acordo com </w:t>
      </w:r>
      <w:proofErr w:type="spellStart"/>
      <w:r w:rsidRPr="00C85EB6">
        <w:rPr>
          <w:rFonts w:ascii="Times New Roman" w:hAnsi="Times New Roman" w:cs="Times New Roman"/>
          <w:sz w:val="24"/>
          <w:szCs w:val="24"/>
        </w:rPr>
        <w:t>Lotta</w:t>
      </w:r>
      <w:proofErr w:type="spellEnd"/>
      <w:r w:rsidRPr="00C85EB6">
        <w:rPr>
          <w:rFonts w:ascii="Times New Roman" w:hAnsi="Times New Roman" w:cs="Times New Roman"/>
          <w:sz w:val="24"/>
          <w:szCs w:val="24"/>
        </w:rPr>
        <w:t xml:space="preserve"> (2015), a capacidade de coordenação federativa é um fator crítico para o sucesso das políticas sociais no Brasil, especialmente em áreas que envolvem educação, assistência e gestão financeira.</w:t>
      </w:r>
    </w:p>
    <w:p w14:paraId="5F01453F" w14:textId="77777777" w:rsidR="0044661E" w:rsidRPr="00C85EB6" w:rsidRDefault="0044661E" w:rsidP="0044661E">
      <w:pPr>
        <w:spacing w:after="0" w:line="360" w:lineRule="auto"/>
        <w:ind w:firstLine="709"/>
        <w:jc w:val="both"/>
        <w:rPr>
          <w:rFonts w:ascii="Times New Roman" w:hAnsi="Times New Roman" w:cs="Times New Roman"/>
          <w:sz w:val="24"/>
          <w:szCs w:val="24"/>
        </w:rPr>
      </w:pPr>
      <w:r w:rsidRPr="0044661E">
        <w:rPr>
          <w:rFonts w:ascii="Times New Roman" w:hAnsi="Times New Roman" w:cs="Times New Roman"/>
          <w:sz w:val="24"/>
          <w:szCs w:val="24"/>
        </w:rPr>
        <w:t>A</w:t>
      </w:r>
      <w:r w:rsidRPr="00C85EB6">
        <w:rPr>
          <w:rFonts w:ascii="Times New Roman" w:hAnsi="Times New Roman" w:cs="Times New Roman"/>
          <w:sz w:val="24"/>
          <w:szCs w:val="24"/>
        </w:rPr>
        <w:t xml:space="preserve"> fundamentação do programa também se conecta aos Objetivos de Desenvolvimento Sustentável (ODS), especialmente o ODS 4, que preconiza educação inclusiva, equitativa e de qualidade. A Agenda 2030 da ONU recomenda que os governos promovam políticas de combate à evasão escolar com foco em grupos vulneráveis, o que reforça a legitimidade internacional do Pé de Meia como estratégia de enfrentamento da desigualdade educacional.</w:t>
      </w:r>
    </w:p>
    <w:p w14:paraId="4ECA628B" w14:textId="77777777" w:rsidR="0044661E" w:rsidRPr="00C85EB6" w:rsidRDefault="0044661E" w:rsidP="0044661E">
      <w:pPr>
        <w:spacing w:after="0" w:line="360" w:lineRule="auto"/>
        <w:ind w:firstLine="709"/>
        <w:jc w:val="both"/>
        <w:rPr>
          <w:rFonts w:ascii="Times New Roman" w:hAnsi="Times New Roman" w:cs="Times New Roman"/>
          <w:sz w:val="24"/>
          <w:szCs w:val="24"/>
        </w:rPr>
      </w:pPr>
      <w:r w:rsidRPr="00C85EB6">
        <w:rPr>
          <w:rFonts w:ascii="Times New Roman" w:hAnsi="Times New Roman" w:cs="Times New Roman"/>
          <w:sz w:val="24"/>
          <w:szCs w:val="24"/>
        </w:rPr>
        <w:lastRenderedPageBreak/>
        <w:t>Dessa forma, o Programa Pé de Meia se insere em um arcabouço teórico robusto, que combina as contribuições da teoria econômica com evidências empíricas de políticas públicas testadas em diversos contextos. Sua implementação representa uma síntese entre proteção social, incentivo educacional e inovação na gestão pública, o que o torna objeto relevante de análise.</w:t>
      </w:r>
    </w:p>
    <w:p w14:paraId="5101FC6A" w14:textId="1A86327B" w:rsidR="00FF6D14" w:rsidRPr="00404305" w:rsidRDefault="00404305" w:rsidP="00404305">
      <w:pPr>
        <w:pStyle w:val="PargrafodaLista"/>
        <w:numPr>
          <w:ilvl w:val="0"/>
          <w:numId w:val="3"/>
        </w:numPr>
        <w:spacing w:before="240" w:line="360" w:lineRule="auto"/>
        <w:jc w:val="both"/>
        <w:rPr>
          <w:rFonts w:ascii="Times New Roman" w:hAnsi="Times New Roman" w:cs="Times New Roman"/>
          <w:b/>
          <w:bCs/>
          <w:sz w:val="24"/>
          <w:szCs w:val="24"/>
        </w:rPr>
      </w:pPr>
      <w:r w:rsidRPr="00404305">
        <w:rPr>
          <w:rFonts w:ascii="Times New Roman" w:hAnsi="Times New Roman" w:cs="Times New Roman"/>
          <w:b/>
          <w:bCs/>
          <w:sz w:val="24"/>
          <w:szCs w:val="24"/>
        </w:rPr>
        <w:t>METODOLOGIA</w:t>
      </w:r>
    </w:p>
    <w:p w14:paraId="70B2F60C" w14:textId="250A19DE" w:rsidR="0044661E" w:rsidRPr="00C85EB6" w:rsidRDefault="00FF6D14" w:rsidP="0044661E">
      <w:pPr>
        <w:spacing w:after="0" w:line="360" w:lineRule="auto"/>
        <w:ind w:firstLine="709"/>
        <w:jc w:val="both"/>
        <w:rPr>
          <w:rFonts w:ascii="Times New Roman" w:hAnsi="Times New Roman" w:cs="Times New Roman"/>
          <w:sz w:val="24"/>
          <w:szCs w:val="24"/>
        </w:rPr>
      </w:pPr>
      <w:r w:rsidRPr="00FF6D14">
        <w:rPr>
          <w:rFonts w:ascii="Times New Roman" w:hAnsi="Times New Roman" w:cs="Times New Roman"/>
          <w:sz w:val="24"/>
          <w:szCs w:val="24"/>
        </w:rPr>
        <w:t xml:space="preserve">Este </w:t>
      </w:r>
      <w:r w:rsidR="0044661E" w:rsidRPr="00C85EB6">
        <w:rPr>
          <w:rFonts w:ascii="Times New Roman" w:hAnsi="Times New Roman" w:cs="Times New Roman"/>
          <w:sz w:val="24"/>
          <w:szCs w:val="24"/>
        </w:rPr>
        <w:t>estudo utiliza o método de estudo de caso descritivo, com base em análise documental e revisão bibliográfica, conforme preconizado por Yin (2015). A escolha por esse tipo de abordagem se justifica pela necessidade de compreender em profundidade as características, os objetivos e os processos envolvidos na implementação do Programa Pé de Meia, a partir de dados oficiais, literatura especializada e experiências similares em outros contextos.</w:t>
      </w:r>
    </w:p>
    <w:p w14:paraId="1C961BCE" w14:textId="77777777" w:rsidR="0044661E" w:rsidRPr="00C85EB6" w:rsidRDefault="0044661E" w:rsidP="0044661E">
      <w:pPr>
        <w:spacing w:after="0" w:line="360" w:lineRule="auto"/>
        <w:ind w:firstLine="709"/>
        <w:jc w:val="both"/>
        <w:rPr>
          <w:rFonts w:ascii="Times New Roman" w:hAnsi="Times New Roman" w:cs="Times New Roman"/>
          <w:sz w:val="24"/>
          <w:szCs w:val="24"/>
        </w:rPr>
      </w:pPr>
      <w:r w:rsidRPr="00C85EB6">
        <w:rPr>
          <w:rFonts w:ascii="Times New Roman" w:hAnsi="Times New Roman" w:cs="Times New Roman"/>
          <w:sz w:val="24"/>
          <w:szCs w:val="24"/>
        </w:rPr>
        <w:t xml:space="preserve">O estudo de caso é uma estratégia metodológica amplamente empregada em pesquisas aplicadas em políticas públicas, especialmente quando se deseja investigar fenômenos contemporâneos inseridos em contextos complexos </w:t>
      </w:r>
      <w:r w:rsidRPr="00C85EB6">
        <w:rPr>
          <w:rFonts w:ascii="Times New Roman" w:hAnsi="Times New Roman" w:cs="Times New Roman"/>
          <w:i/>
          <w:iCs/>
          <w:sz w:val="24"/>
          <w:szCs w:val="24"/>
        </w:rPr>
        <w:t>(</w:t>
      </w:r>
      <w:proofErr w:type="spellStart"/>
      <w:r w:rsidRPr="00C85EB6">
        <w:rPr>
          <w:rFonts w:ascii="Times New Roman" w:hAnsi="Times New Roman" w:cs="Times New Roman"/>
          <w:i/>
          <w:iCs/>
          <w:sz w:val="24"/>
          <w:szCs w:val="24"/>
        </w:rPr>
        <w:t>Gerring</w:t>
      </w:r>
      <w:proofErr w:type="spellEnd"/>
      <w:r w:rsidRPr="00C85EB6">
        <w:rPr>
          <w:rFonts w:ascii="Times New Roman" w:hAnsi="Times New Roman" w:cs="Times New Roman"/>
          <w:i/>
          <w:iCs/>
          <w:sz w:val="24"/>
          <w:szCs w:val="24"/>
        </w:rPr>
        <w:t>, 2007)</w:t>
      </w:r>
      <w:r w:rsidRPr="00C85EB6">
        <w:rPr>
          <w:rFonts w:ascii="Times New Roman" w:hAnsi="Times New Roman" w:cs="Times New Roman"/>
          <w:sz w:val="24"/>
          <w:szCs w:val="24"/>
        </w:rPr>
        <w:t>. Neste caso, o Pé de Meia representa uma inovação recente que envolve múltiplos atores institucionais, níveis federativos e processos intersetoriais.</w:t>
      </w:r>
    </w:p>
    <w:p w14:paraId="45B5619D" w14:textId="77777777" w:rsidR="0044661E" w:rsidRPr="00C85EB6" w:rsidRDefault="0044661E" w:rsidP="0044661E">
      <w:pPr>
        <w:spacing w:after="0" w:line="360" w:lineRule="auto"/>
        <w:ind w:firstLine="709"/>
        <w:jc w:val="both"/>
        <w:rPr>
          <w:rFonts w:ascii="Times New Roman" w:hAnsi="Times New Roman" w:cs="Times New Roman"/>
          <w:sz w:val="24"/>
          <w:szCs w:val="24"/>
        </w:rPr>
      </w:pPr>
      <w:r w:rsidRPr="00C85EB6">
        <w:rPr>
          <w:rFonts w:ascii="Times New Roman" w:hAnsi="Times New Roman" w:cs="Times New Roman"/>
          <w:sz w:val="24"/>
          <w:szCs w:val="24"/>
        </w:rPr>
        <w:t>Foram utilizados documentos oficiais do Ministério da Educação (MEC), portarias normativas, relatórios do INEP, apresentações institucionais, dados do Censo Escolar e materiais disponíveis nos sites governamentais. Também foram consultados estudos acadêmicos sobre programas de transferência condicionada de renda (</w:t>
      </w:r>
      <w:proofErr w:type="spellStart"/>
      <w:r w:rsidRPr="00C85EB6">
        <w:rPr>
          <w:rFonts w:ascii="Times New Roman" w:hAnsi="Times New Roman" w:cs="Times New Roman"/>
          <w:sz w:val="24"/>
          <w:szCs w:val="24"/>
        </w:rPr>
        <w:t>CCTs</w:t>
      </w:r>
      <w:proofErr w:type="spellEnd"/>
      <w:r w:rsidRPr="00C85EB6">
        <w:rPr>
          <w:rFonts w:ascii="Times New Roman" w:hAnsi="Times New Roman" w:cs="Times New Roman"/>
          <w:sz w:val="24"/>
          <w:szCs w:val="24"/>
        </w:rPr>
        <w:t xml:space="preserve">) e políticas educacionais, acessados por meio de bases como </w:t>
      </w:r>
      <w:proofErr w:type="spellStart"/>
      <w:r w:rsidRPr="00C85EB6">
        <w:rPr>
          <w:rFonts w:ascii="Times New Roman" w:hAnsi="Times New Roman" w:cs="Times New Roman"/>
          <w:sz w:val="24"/>
          <w:szCs w:val="24"/>
        </w:rPr>
        <w:t>Scielo</w:t>
      </w:r>
      <w:proofErr w:type="spellEnd"/>
      <w:r w:rsidRPr="00C85EB6">
        <w:rPr>
          <w:rFonts w:ascii="Times New Roman" w:hAnsi="Times New Roman" w:cs="Times New Roman"/>
          <w:sz w:val="24"/>
          <w:szCs w:val="24"/>
        </w:rPr>
        <w:t>, Google Scholar e repositórios da World Bank e CEPAL.</w:t>
      </w:r>
    </w:p>
    <w:p w14:paraId="5A6E8B37" w14:textId="77777777" w:rsidR="0044661E" w:rsidRPr="00C85EB6" w:rsidRDefault="0044661E" w:rsidP="0044661E">
      <w:pPr>
        <w:spacing w:after="0" w:line="360" w:lineRule="auto"/>
        <w:ind w:firstLine="709"/>
        <w:jc w:val="both"/>
        <w:rPr>
          <w:rFonts w:ascii="Times New Roman" w:hAnsi="Times New Roman" w:cs="Times New Roman"/>
          <w:sz w:val="24"/>
          <w:szCs w:val="24"/>
        </w:rPr>
      </w:pPr>
      <w:r w:rsidRPr="00C85EB6">
        <w:rPr>
          <w:rFonts w:ascii="Times New Roman" w:hAnsi="Times New Roman" w:cs="Times New Roman"/>
          <w:sz w:val="24"/>
          <w:szCs w:val="24"/>
        </w:rPr>
        <w:t>A coleta dos dados primários documentais ocorreu entre março e abril de 2025, priorizando fontes públicas e verificáveis. Entre os documentos analisados estão a Portaria MEC nº 1.234/2023, o Plano de Monitoramento e Avaliação do Programa Pé de Meia (BRASIL, 2023b) e os Censos Escolares de 2022 e 2024 (INEP,</w:t>
      </w:r>
      <w:r w:rsidRPr="00C85EB6">
        <w:rPr>
          <w:rFonts w:ascii="Times New Roman" w:hAnsi="Times New Roman" w:cs="Times New Roman"/>
          <w:i/>
          <w:iCs/>
          <w:sz w:val="24"/>
          <w:szCs w:val="24"/>
        </w:rPr>
        <w:t xml:space="preserve"> </w:t>
      </w:r>
      <w:r w:rsidRPr="00C85EB6">
        <w:rPr>
          <w:rFonts w:ascii="Times New Roman" w:hAnsi="Times New Roman" w:cs="Times New Roman"/>
          <w:sz w:val="24"/>
          <w:szCs w:val="24"/>
        </w:rPr>
        <w:t>2022;</w:t>
      </w:r>
      <w:r w:rsidRPr="00C85EB6">
        <w:rPr>
          <w:rFonts w:ascii="Times New Roman" w:hAnsi="Times New Roman" w:cs="Times New Roman"/>
          <w:i/>
          <w:iCs/>
          <w:sz w:val="24"/>
          <w:szCs w:val="24"/>
        </w:rPr>
        <w:t xml:space="preserve"> </w:t>
      </w:r>
      <w:r w:rsidRPr="00C85EB6">
        <w:rPr>
          <w:rFonts w:ascii="Times New Roman" w:hAnsi="Times New Roman" w:cs="Times New Roman"/>
          <w:sz w:val="24"/>
          <w:szCs w:val="24"/>
        </w:rPr>
        <w:t>INEP,</w:t>
      </w:r>
      <w:r w:rsidRPr="00C85EB6">
        <w:rPr>
          <w:rFonts w:ascii="Times New Roman" w:hAnsi="Times New Roman" w:cs="Times New Roman"/>
          <w:i/>
          <w:iCs/>
          <w:sz w:val="24"/>
          <w:szCs w:val="24"/>
        </w:rPr>
        <w:t xml:space="preserve"> </w:t>
      </w:r>
      <w:r w:rsidRPr="00C85EB6">
        <w:rPr>
          <w:rFonts w:ascii="Times New Roman" w:hAnsi="Times New Roman" w:cs="Times New Roman"/>
          <w:sz w:val="24"/>
          <w:szCs w:val="24"/>
        </w:rPr>
        <w:t>2024). Essas fontes permitiram traçar o desenho institucional e as condicionalidades do programa.</w:t>
      </w:r>
    </w:p>
    <w:p w14:paraId="5DDFAC3F" w14:textId="77777777" w:rsidR="0044661E" w:rsidRPr="00C85EB6" w:rsidRDefault="0044661E" w:rsidP="0044661E">
      <w:pPr>
        <w:spacing w:after="0" w:line="360" w:lineRule="auto"/>
        <w:ind w:firstLine="709"/>
        <w:jc w:val="both"/>
        <w:rPr>
          <w:rFonts w:ascii="Times New Roman" w:hAnsi="Times New Roman" w:cs="Times New Roman"/>
          <w:sz w:val="24"/>
          <w:szCs w:val="24"/>
        </w:rPr>
      </w:pPr>
      <w:r w:rsidRPr="00C85EB6">
        <w:rPr>
          <w:rFonts w:ascii="Times New Roman" w:hAnsi="Times New Roman" w:cs="Times New Roman"/>
          <w:sz w:val="24"/>
          <w:szCs w:val="24"/>
        </w:rPr>
        <w:t>Para análise dos dados, foi utilizada a técnica de análise de conteúdo, conforme proposta por Bardin (2016), com foco na identificação de categorias analíticas como: objetivos, estrutura de governança, condicionalidades, critérios de elegibilidade, mecanismos de pagamento e desafios operacionais. Essa técnica possibilitou agrupar as informações de forma sistemática e facilitar a interpretação dos resultados.</w:t>
      </w:r>
    </w:p>
    <w:p w14:paraId="68DFE2F9" w14:textId="77777777" w:rsidR="0044661E" w:rsidRPr="00C85EB6" w:rsidRDefault="0044661E" w:rsidP="0044661E">
      <w:pPr>
        <w:spacing w:after="0" w:line="360" w:lineRule="auto"/>
        <w:ind w:firstLine="709"/>
        <w:jc w:val="both"/>
        <w:rPr>
          <w:rFonts w:ascii="Times New Roman" w:hAnsi="Times New Roman" w:cs="Times New Roman"/>
          <w:sz w:val="24"/>
          <w:szCs w:val="24"/>
        </w:rPr>
      </w:pPr>
      <w:r w:rsidRPr="00C85EB6">
        <w:rPr>
          <w:rFonts w:ascii="Times New Roman" w:hAnsi="Times New Roman" w:cs="Times New Roman"/>
          <w:sz w:val="24"/>
          <w:szCs w:val="24"/>
        </w:rPr>
        <w:lastRenderedPageBreak/>
        <w:t xml:space="preserve">Além disso, foi realizada uma análise comparativa com experiências nacionais e internacionais de programas similares, como o Bolsa Família (Brasil), o </w:t>
      </w:r>
      <w:proofErr w:type="spellStart"/>
      <w:r w:rsidRPr="00C85EB6">
        <w:rPr>
          <w:rFonts w:ascii="Times New Roman" w:hAnsi="Times New Roman" w:cs="Times New Roman"/>
          <w:sz w:val="24"/>
          <w:szCs w:val="24"/>
        </w:rPr>
        <w:t>Progresa</w:t>
      </w:r>
      <w:proofErr w:type="spellEnd"/>
      <w:r w:rsidRPr="00C85EB6">
        <w:rPr>
          <w:rFonts w:ascii="Times New Roman" w:hAnsi="Times New Roman" w:cs="Times New Roman"/>
          <w:sz w:val="24"/>
          <w:szCs w:val="24"/>
        </w:rPr>
        <w:t xml:space="preserve">/Oportunidades (México) e o programa </w:t>
      </w:r>
      <w:proofErr w:type="spellStart"/>
      <w:r w:rsidRPr="00C85EB6">
        <w:rPr>
          <w:rFonts w:ascii="Times New Roman" w:hAnsi="Times New Roman" w:cs="Times New Roman"/>
          <w:sz w:val="24"/>
          <w:szCs w:val="24"/>
        </w:rPr>
        <w:t>Familias</w:t>
      </w:r>
      <w:proofErr w:type="spellEnd"/>
      <w:r w:rsidRPr="00C85EB6">
        <w:rPr>
          <w:rFonts w:ascii="Times New Roman" w:hAnsi="Times New Roman" w:cs="Times New Roman"/>
          <w:sz w:val="24"/>
          <w:szCs w:val="24"/>
        </w:rPr>
        <w:t xml:space="preserve"> </w:t>
      </w:r>
      <w:proofErr w:type="spellStart"/>
      <w:r w:rsidRPr="00C85EB6">
        <w:rPr>
          <w:rFonts w:ascii="Times New Roman" w:hAnsi="Times New Roman" w:cs="Times New Roman"/>
          <w:sz w:val="24"/>
          <w:szCs w:val="24"/>
        </w:rPr>
        <w:t>en</w:t>
      </w:r>
      <w:proofErr w:type="spellEnd"/>
      <w:r w:rsidRPr="00C85EB6">
        <w:rPr>
          <w:rFonts w:ascii="Times New Roman" w:hAnsi="Times New Roman" w:cs="Times New Roman"/>
          <w:sz w:val="24"/>
          <w:szCs w:val="24"/>
        </w:rPr>
        <w:t xml:space="preserve"> </w:t>
      </w:r>
      <w:proofErr w:type="spellStart"/>
      <w:r w:rsidRPr="00C85EB6">
        <w:rPr>
          <w:rFonts w:ascii="Times New Roman" w:hAnsi="Times New Roman" w:cs="Times New Roman"/>
          <w:sz w:val="24"/>
          <w:szCs w:val="24"/>
        </w:rPr>
        <w:t>Acción</w:t>
      </w:r>
      <w:proofErr w:type="spellEnd"/>
      <w:r w:rsidRPr="00C85EB6">
        <w:rPr>
          <w:rFonts w:ascii="Times New Roman" w:hAnsi="Times New Roman" w:cs="Times New Roman"/>
          <w:sz w:val="24"/>
          <w:szCs w:val="24"/>
        </w:rPr>
        <w:t xml:space="preserve"> (Colômbia). Essa comparação buscou identificar elementos comuns e diferenciais em termos de desenho institucional, resultados esperados e formas de monitoramento </w:t>
      </w:r>
      <w:r w:rsidRPr="00C85EB6">
        <w:rPr>
          <w:rFonts w:ascii="Times New Roman" w:hAnsi="Times New Roman" w:cs="Times New Roman"/>
          <w:i/>
          <w:iCs/>
          <w:sz w:val="24"/>
          <w:szCs w:val="24"/>
        </w:rPr>
        <w:t>(</w:t>
      </w:r>
      <w:proofErr w:type="spellStart"/>
      <w:r w:rsidRPr="00C85EB6">
        <w:rPr>
          <w:rFonts w:ascii="Times New Roman" w:hAnsi="Times New Roman" w:cs="Times New Roman"/>
          <w:i/>
          <w:iCs/>
          <w:sz w:val="24"/>
          <w:szCs w:val="24"/>
        </w:rPr>
        <w:t>Fiszbein</w:t>
      </w:r>
      <w:proofErr w:type="spellEnd"/>
      <w:r w:rsidRPr="00C85EB6">
        <w:rPr>
          <w:rFonts w:ascii="Times New Roman" w:hAnsi="Times New Roman" w:cs="Times New Roman"/>
          <w:i/>
          <w:iCs/>
          <w:sz w:val="24"/>
          <w:szCs w:val="24"/>
        </w:rPr>
        <w:t xml:space="preserve">; </w:t>
      </w:r>
      <w:proofErr w:type="spellStart"/>
      <w:r w:rsidRPr="00C85EB6">
        <w:rPr>
          <w:rFonts w:ascii="Times New Roman" w:hAnsi="Times New Roman" w:cs="Times New Roman"/>
          <w:i/>
          <w:iCs/>
          <w:sz w:val="24"/>
          <w:szCs w:val="24"/>
        </w:rPr>
        <w:t>Schady</w:t>
      </w:r>
      <w:proofErr w:type="spellEnd"/>
      <w:r w:rsidRPr="00C85EB6">
        <w:rPr>
          <w:rFonts w:ascii="Times New Roman" w:hAnsi="Times New Roman" w:cs="Times New Roman"/>
          <w:i/>
          <w:iCs/>
          <w:sz w:val="24"/>
          <w:szCs w:val="24"/>
        </w:rPr>
        <w:t>, 2009)</w:t>
      </w:r>
      <w:r w:rsidRPr="00C85EB6">
        <w:rPr>
          <w:rFonts w:ascii="Times New Roman" w:hAnsi="Times New Roman" w:cs="Times New Roman"/>
          <w:sz w:val="24"/>
          <w:szCs w:val="24"/>
        </w:rPr>
        <w:t>.</w:t>
      </w:r>
    </w:p>
    <w:p w14:paraId="70134E7C" w14:textId="77777777" w:rsidR="0044661E" w:rsidRPr="00C85EB6" w:rsidRDefault="0044661E" w:rsidP="0044661E">
      <w:pPr>
        <w:spacing w:after="0" w:line="360" w:lineRule="auto"/>
        <w:ind w:firstLine="709"/>
        <w:jc w:val="both"/>
        <w:rPr>
          <w:rFonts w:ascii="Times New Roman" w:hAnsi="Times New Roman" w:cs="Times New Roman"/>
          <w:sz w:val="24"/>
          <w:szCs w:val="24"/>
        </w:rPr>
      </w:pPr>
      <w:r w:rsidRPr="00C85EB6">
        <w:rPr>
          <w:rFonts w:ascii="Times New Roman" w:hAnsi="Times New Roman" w:cs="Times New Roman"/>
          <w:sz w:val="24"/>
          <w:szCs w:val="24"/>
        </w:rPr>
        <w:t xml:space="preserve">O estudo também incorpora elementos de avaliação de políticas públicas, especialmente no que se refere ao conceito de teoria da mudança. Esse modelo busca mapear a lógica de intervenção de um programa — ou seja, como os insumos, atividades e produtos devem levar aos impactos desejados </w:t>
      </w:r>
      <w:r w:rsidRPr="00C85EB6">
        <w:rPr>
          <w:rFonts w:ascii="Times New Roman" w:hAnsi="Times New Roman" w:cs="Times New Roman"/>
          <w:i/>
          <w:iCs/>
          <w:sz w:val="24"/>
          <w:szCs w:val="24"/>
        </w:rPr>
        <w:t>(Weiss, 1998)</w:t>
      </w:r>
      <w:r w:rsidRPr="00C85EB6">
        <w:rPr>
          <w:rFonts w:ascii="Times New Roman" w:hAnsi="Times New Roman" w:cs="Times New Roman"/>
          <w:sz w:val="24"/>
          <w:szCs w:val="24"/>
        </w:rPr>
        <w:t>. No caso do Pé de Meia, parte-se da premissa de que o incentivo financeiro contribui para a permanência escolar.</w:t>
      </w:r>
    </w:p>
    <w:p w14:paraId="2FB6D7B2" w14:textId="77777777" w:rsidR="0044661E" w:rsidRPr="00C85EB6" w:rsidRDefault="0044661E" w:rsidP="0044661E">
      <w:pPr>
        <w:spacing w:after="0" w:line="360" w:lineRule="auto"/>
        <w:ind w:firstLine="709"/>
        <w:jc w:val="both"/>
        <w:rPr>
          <w:rFonts w:ascii="Times New Roman" w:hAnsi="Times New Roman" w:cs="Times New Roman"/>
          <w:sz w:val="24"/>
          <w:szCs w:val="24"/>
        </w:rPr>
      </w:pPr>
      <w:r w:rsidRPr="00C85EB6">
        <w:rPr>
          <w:rFonts w:ascii="Times New Roman" w:hAnsi="Times New Roman" w:cs="Times New Roman"/>
          <w:sz w:val="24"/>
          <w:szCs w:val="24"/>
        </w:rPr>
        <w:t xml:space="preserve">Por se tratar de um programa recente, ainda não estão disponíveis avaliações quantitativas consolidadas com microdados sobre impacto. Assim, optou-se por uma abordagem qualitativa e descritiva, concentrando-se na estrutura, nos objetivos e nos desafios identificados nos primeiros meses de implementação, conforme orientações de </w:t>
      </w:r>
      <w:proofErr w:type="spellStart"/>
      <w:r w:rsidRPr="00C85EB6">
        <w:rPr>
          <w:rFonts w:ascii="Times New Roman" w:hAnsi="Times New Roman" w:cs="Times New Roman"/>
          <w:sz w:val="24"/>
          <w:szCs w:val="24"/>
        </w:rPr>
        <w:t>Stake</w:t>
      </w:r>
      <w:proofErr w:type="spellEnd"/>
      <w:r w:rsidRPr="00C85EB6">
        <w:rPr>
          <w:rFonts w:ascii="Times New Roman" w:hAnsi="Times New Roman" w:cs="Times New Roman"/>
          <w:sz w:val="24"/>
          <w:szCs w:val="24"/>
        </w:rPr>
        <w:t xml:space="preserve"> (2000) sobre estudos de caso exploratórios.</w:t>
      </w:r>
    </w:p>
    <w:p w14:paraId="147D89D4" w14:textId="77777777" w:rsidR="0044661E" w:rsidRPr="00C85EB6" w:rsidRDefault="0044661E" w:rsidP="0044661E">
      <w:pPr>
        <w:spacing w:after="0" w:line="360" w:lineRule="auto"/>
        <w:ind w:firstLine="709"/>
        <w:jc w:val="both"/>
        <w:rPr>
          <w:rFonts w:ascii="Times New Roman" w:hAnsi="Times New Roman" w:cs="Times New Roman"/>
          <w:sz w:val="24"/>
          <w:szCs w:val="24"/>
        </w:rPr>
      </w:pPr>
      <w:r w:rsidRPr="00C85EB6">
        <w:rPr>
          <w:rFonts w:ascii="Times New Roman" w:hAnsi="Times New Roman" w:cs="Times New Roman"/>
          <w:sz w:val="24"/>
          <w:szCs w:val="24"/>
        </w:rPr>
        <w:t>O recorte temporal da análise abrange o período de criação do programa (2023) até o primeiro trimestre de 2025, com foco nas diretrizes iniciais, nos dados institucionais já publicados e na estrutura organizacional vigente. A ausência de dados avaliativos não compromete a proposta descritiva, mas delimita o escopo analítico às informações disponíveis até o momento.</w:t>
      </w:r>
    </w:p>
    <w:p w14:paraId="2F1D4C67" w14:textId="77777777" w:rsidR="0044661E" w:rsidRPr="00C85EB6" w:rsidRDefault="0044661E" w:rsidP="0044661E">
      <w:pPr>
        <w:spacing w:after="0" w:line="360" w:lineRule="auto"/>
        <w:ind w:firstLine="709"/>
        <w:jc w:val="both"/>
        <w:rPr>
          <w:rFonts w:ascii="Times New Roman" w:hAnsi="Times New Roman" w:cs="Times New Roman"/>
          <w:sz w:val="24"/>
          <w:szCs w:val="24"/>
        </w:rPr>
      </w:pPr>
      <w:r w:rsidRPr="00C85EB6">
        <w:rPr>
          <w:rFonts w:ascii="Times New Roman" w:hAnsi="Times New Roman" w:cs="Times New Roman"/>
          <w:sz w:val="24"/>
          <w:szCs w:val="24"/>
        </w:rPr>
        <w:t>Por fim, a análise foi guiada por princípios de rigor metodológico, triangulação de fontes e validação cruzada dos dados. A combinação entre revisão teórica, análise documental e comparação com programas correlatos permitiu construir uma visão abrangente e fundamentada sobre o Programa Pé de Meia, respeitando os limites do seu estágio inicial de implementação.</w:t>
      </w:r>
    </w:p>
    <w:p w14:paraId="7CFA705E" w14:textId="3CCF7AFA" w:rsidR="00FF6D14" w:rsidRPr="00404305" w:rsidRDefault="00404305" w:rsidP="00404305">
      <w:pPr>
        <w:pStyle w:val="PargrafodaLista"/>
        <w:numPr>
          <w:ilvl w:val="0"/>
          <w:numId w:val="3"/>
        </w:numPr>
        <w:spacing w:before="240" w:line="360" w:lineRule="auto"/>
        <w:jc w:val="both"/>
        <w:rPr>
          <w:rFonts w:ascii="Times New Roman" w:hAnsi="Times New Roman" w:cs="Times New Roman"/>
          <w:b/>
          <w:bCs/>
          <w:sz w:val="24"/>
          <w:szCs w:val="24"/>
        </w:rPr>
      </w:pPr>
      <w:r w:rsidRPr="00404305">
        <w:rPr>
          <w:rFonts w:ascii="Times New Roman" w:hAnsi="Times New Roman" w:cs="Times New Roman"/>
          <w:b/>
          <w:bCs/>
          <w:sz w:val="24"/>
          <w:szCs w:val="24"/>
        </w:rPr>
        <w:t>DESCRIÇÃO DO CASO</w:t>
      </w:r>
    </w:p>
    <w:p w14:paraId="4F8781CE" w14:textId="4337CB47" w:rsidR="00404305" w:rsidRPr="00404305" w:rsidRDefault="00404305" w:rsidP="00404305">
      <w:pPr>
        <w:pStyle w:val="PargrafodaLista"/>
        <w:numPr>
          <w:ilvl w:val="1"/>
          <w:numId w:val="3"/>
        </w:numPr>
        <w:spacing w:after="0" w:line="360" w:lineRule="auto"/>
        <w:jc w:val="both"/>
        <w:rPr>
          <w:rFonts w:ascii="Times New Roman" w:hAnsi="Times New Roman" w:cs="Times New Roman"/>
          <w:sz w:val="24"/>
          <w:szCs w:val="24"/>
        </w:rPr>
      </w:pPr>
      <w:r w:rsidRPr="00404305">
        <w:rPr>
          <w:rFonts w:ascii="Times New Roman" w:hAnsi="Times New Roman" w:cs="Times New Roman"/>
          <w:sz w:val="24"/>
          <w:szCs w:val="24"/>
        </w:rPr>
        <w:t>Instituição do Programa</w:t>
      </w:r>
    </w:p>
    <w:p w14:paraId="1C8B99B9" w14:textId="753AAF69" w:rsidR="00404305" w:rsidRPr="00404305" w:rsidRDefault="00404305" w:rsidP="00404305">
      <w:pPr>
        <w:spacing w:after="0" w:line="360" w:lineRule="auto"/>
        <w:ind w:firstLine="709"/>
        <w:jc w:val="both"/>
        <w:rPr>
          <w:rFonts w:ascii="Times New Roman" w:hAnsi="Times New Roman" w:cs="Times New Roman"/>
          <w:sz w:val="24"/>
          <w:szCs w:val="24"/>
        </w:rPr>
      </w:pPr>
      <w:r w:rsidRPr="00404305">
        <w:rPr>
          <w:rFonts w:ascii="Times New Roman" w:hAnsi="Times New Roman" w:cs="Times New Roman"/>
          <w:sz w:val="24"/>
          <w:szCs w:val="24"/>
        </w:rPr>
        <w:t xml:space="preserve">O </w:t>
      </w:r>
      <w:r w:rsidR="005B6FCA" w:rsidRPr="005B6FCA">
        <w:rPr>
          <w:rFonts w:ascii="Times New Roman" w:hAnsi="Times New Roman" w:cs="Times New Roman"/>
          <w:sz w:val="24"/>
          <w:szCs w:val="24"/>
        </w:rPr>
        <w:t>Programa Pé de Meia foi instituído pela Portaria MEC nº 1.234/2023, como parte de um conjunto de políticas públicas destinadas à promoção da equidade e ao enfrentamento da evasão escolar no Brasil. Com foco no Ensino Médio, o programa reconhece que as barreiras econômicas são determinantes para o abandono escolar e propõe uma resposta baseada em transferência condicionada de renda com foco educacional (BRASIL, 2023b).</w:t>
      </w:r>
    </w:p>
    <w:p w14:paraId="32951889" w14:textId="77777777" w:rsidR="00404305" w:rsidRPr="00404305" w:rsidRDefault="00404305" w:rsidP="00404305">
      <w:pPr>
        <w:spacing w:after="0" w:line="360" w:lineRule="auto"/>
        <w:jc w:val="both"/>
        <w:rPr>
          <w:rFonts w:ascii="Times New Roman" w:hAnsi="Times New Roman" w:cs="Times New Roman"/>
          <w:sz w:val="24"/>
          <w:szCs w:val="24"/>
        </w:rPr>
      </w:pPr>
    </w:p>
    <w:p w14:paraId="1CDB20CE" w14:textId="7AF1AB1C" w:rsidR="00404305" w:rsidRPr="00404305" w:rsidRDefault="00404305" w:rsidP="00404305">
      <w:pPr>
        <w:pStyle w:val="PargrafodaLista"/>
        <w:numPr>
          <w:ilvl w:val="1"/>
          <w:numId w:val="3"/>
        </w:numPr>
        <w:spacing w:after="0" w:line="360" w:lineRule="auto"/>
        <w:jc w:val="both"/>
        <w:rPr>
          <w:rFonts w:ascii="Times New Roman" w:hAnsi="Times New Roman" w:cs="Times New Roman"/>
          <w:sz w:val="24"/>
          <w:szCs w:val="24"/>
        </w:rPr>
      </w:pPr>
      <w:r w:rsidRPr="00404305">
        <w:rPr>
          <w:rFonts w:ascii="Times New Roman" w:hAnsi="Times New Roman" w:cs="Times New Roman"/>
          <w:sz w:val="24"/>
          <w:szCs w:val="24"/>
        </w:rPr>
        <w:lastRenderedPageBreak/>
        <w:t>Público-Alvo e Cobertura</w:t>
      </w:r>
    </w:p>
    <w:p w14:paraId="6CC8A74A" w14:textId="4183FA4A" w:rsidR="005B6FCA" w:rsidRPr="005B6FCA" w:rsidRDefault="00404305"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O</w:t>
      </w:r>
      <w:r w:rsidR="005B6FCA" w:rsidRPr="005B6FCA">
        <w:rPr>
          <w:rFonts w:ascii="Times New Roman" w:hAnsi="Times New Roman" w:cs="Times New Roman"/>
          <w:sz w:val="24"/>
          <w:szCs w:val="24"/>
        </w:rPr>
        <w:t xml:space="preserve"> público-alvo são estudantes de 14 a 24 anos matriculados no Ensino Médio público, com prioridade para os que pertencem a famílias registradas no Cadastro Único (</w:t>
      </w:r>
      <w:proofErr w:type="spellStart"/>
      <w:r w:rsidR="005B6FCA" w:rsidRPr="005B6FCA">
        <w:rPr>
          <w:rFonts w:ascii="Times New Roman" w:hAnsi="Times New Roman" w:cs="Times New Roman"/>
          <w:sz w:val="24"/>
          <w:szCs w:val="24"/>
        </w:rPr>
        <w:t>CadÚnico</w:t>
      </w:r>
      <w:proofErr w:type="spellEnd"/>
      <w:r w:rsidR="005B6FCA" w:rsidRPr="005B6FCA">
        <w:rPr>
          <w:rFonts w:ascii="Times New Roman" w:hAnsi="Times New Roman" w:cs="Times New Roman"/>
          <w:sz w:val="24"/>
          <w:szCs w:val="24"/>
        </w:rPr>
        <w:t xml:space="preserve">). O programa visa alcançar até 4 milhões de estudantes até 2025, com orçamento anual estimado em R$ 12 bilhões, oriundos do Ministério da Educação (MEC), com possíveis contrapartidas estaduais </w:t>
      </w:r>
      <w:r w:rsidR="005B6FCA" w:rsidRPr="005B6FCA">
        <w:rPr>
          <w:rFonts w:ascii="Times New Roman" w:hAnsi="Times New Roman" w:cs="Times New Roman"/>
          <w:i/>
          <w:iCs/>
          <w:sz w:val="24"/>
          <w:szCs w:val="24"/>
        </w:rPr>
        <w:t>(BRASIL, 2024)</w:t>
      </w:r>
      <w:r w:rsidR="005B6FCA" w:rsidRPr="005B6FCA">
        <w:rPr>
          <w:rFonts w:ascii="Times New Roman" w:hAnsi="Times New Roman" w:cs="Times New Roman"/>
          <w:sz w:val="24"/>
          <w:szCs w:val="24"/>
        </w:rPr>
        <w:t>.</w:t>
      </w:r>
    </w:p>
    <w:p w14:paraId="3AA8AF1D" w14:textId="2D79873E" w:rsidR="00404305" w:rsidRPr="00404305" w:rsidRDefault="00404305" w:rsidP="00404305">
      <w:pPr>
        <w:pStyle w:val="PargrafodaLista"/>
        <w:numPr>
          <w:ilvl w:val="1"/>
          <w:numId w:val="3"/>
        </w:numPr>
        <w:spacing w:before="240" w:after="0" w:line="360" w:lineRule="auto"/>
        <w:jc w:val="both"/>
        <w:rPr>
          <w:rFonts w:ascii="Times New Roman" w:hAnsi="Times New Roman" w:cs="Times New Roman"/>
          <w:sz w:val="24"/>
          <w:szCs w:val="24"/>
        </w:rPr>
      </w:pPr>
      <w:r w:rsidRPr="00404305">
        <w:rPr>
          <w:rFonts w:ascii="Times New Roman" w:hAnsi="Times New Roman" w:cs="Times New Roman"/>
          <w:sz w:val="24"/>
          <w:szCs w:val="24"/>
        </w:rPr>
        <w:t>Estrutura do Benefício</w:t>
      </w:r>
    </w:p>
    <w:p w14:paraId="56EB35D3" w14:textId="41AB3B9D" w:rsidR="005B6FCA" w:rsidRPr="005B6FCA"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Os incentivos são depositados automaticamente em contas-poupança sociais abertas pela Caixa Econômica Federal, em nome do próprio estudante. O pagamento ocorre ao longo do ano, conforme o cumprimento das condicionalidades. Estão previstos depósitos de R$ 200 por semestre e um bônus de R$ 1.000 pela conclusão do Ensino Médio, totalizando até R$ 9.200 por aluno (BRASIL, 2023c).</w:t>
      </w:r>
    </w:p>
    <w:p w14:paraId="0AF750D0" w14:textId="06DAF335" w:rsidR="00404305" w:rsidRPr="00404305" w:rsidRDefault="00404305" w:rsidP="00404305">
      <w:pPr>
        <w:pStyle w:val="PargrafodaLista"/>
        <w:numPr>
          <w:ilvl w:val="1"/>
          <w:numId w:val="3"/>
        </w:numPr>
        <w:spacing w:before="240" w:after="0" w:line="360" w:lineRule="auto"/>
        <w:jc w:val="both"/>
        <w:rPr>
          <w:rFonts w:ascii="Times New Roman" w:hAnsi="Times New Roman" w:cs="Times New Roman"/>
          <w:sz w:val="24"/>
          <w:szCs w:val="24"/>
        </w:rPr>
      </w:pPr>
      <w:r w:rsidRPr="00404305">
        <w:rPr>
          <w:rFonts w:ascii="Times New Roman" w:hAnsi="Times New Roman" w:cs="Times New Roman"/>
          <w:sz w:val="24"/>
          <w:szCs w:val="24"/>
        </w:rPr>
        <w:t>Condicionalidades para Recebimento</w:t>
      </w:r>
    </w:p>
    <w:p w14:paraId="23A357EC" w14:textId="4BA4B104" w:rsidR="005B6FCA" w:rsidRPr="005B6FCA" w:rsidRDefault="00404305" w:rsidP="005B6FCA">
      <w:pPr>
        <w:spacing w:after="0" w:line="360" w:lineRule="auto"/>
        <w:ind w:firstLine="709"/>
        <w:jc w:val="both"/>
        <w:rPr>
          <w:rFonts w:ascii="Times New Roman" w:hAnsi="Times New Roman" w:cs="Times New Roman"/>
          <w:sz w:val="24"/>
          <w:szCs w:val="24"/>
        </w:rPr>
      </w:pPr>
      <w:r w:rsidRPr="00404305">
        <w:rPr>
          <w:rFonts w:ascii="Times New Roman" w:hAnsi="Times New Roman" w:cs="Times New Roman"/>
          <w:sz w:val="24"/>
          <w:szCs w:val="24"/>
        </w:rPr>
        <w:t xml:space="preserve">Para </w:t>
      </w:r>
      <w:r w:rsidR="005B6FCA" w:rsidRPr="005B6FCA">
        <w:rPr>
          <w:rFonts w:ascii="Times New Roman" w:hAnsi="Times New Roman" w:cs="Times New Roman"/>
          <w:sz w:val="24"/>
          <w:szCs w:val="24"/>
        </w:rPr>
        <w:t>garantir o acesso ao benefício financeiro, os estudantes devem cumprir algumas condicionalidades estabelecidas pelo programa. São elas: manter frequência mínima de 80% nas aulas, ser aprovado ao final de cada ano letivo e participar das avaliações externas organizadas pelo Ministério da Educação, como o ENEM e o SAEB. Tais exigências visam reforçar o compromisso do aluno com sua trajetória educacional, criando um ciclo de corresponsabilidade entre o Estado e o beneficiário.</w:t>
      </w:r>
    </w:p>
    <w:p w14:paraId="46FAE0F5" w14:textId="56A67A0A" w:rsidR="00404305"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Esse modelo segue o princípio das Transferências Condicionadas de Renda (</w:t>
      </w:r>
      <w:proofErr w:type="spellStart"/>
      <w:r w:rsidRPr="005B6FCA">
        <w:rPr>
          <w:rFonts w:ascii="Times New Roman" w:hAnsi="Times New Roman" w:cs="Times New Roman"/>
          <w:sz w:val="24"/>
          <w:szCs w:val="24"/>
        </w:rPr>
        <w:t>CCTs</w:t>
      </w:r>
      <w:proofErr w:type="spellEnd"/>
      <w:r w:rsidRPr="005B6FCA">
        <w:rPr>
          <w:rFonts w:ascii="Times New Roman" w:hAnsi="Times New Roman" w:cs="Times New Roman"/>
          <w:sz w:val="24"/>
          <w:szCs w:val="24"/>
        </w:rPr>
        <w:t>), onde o recurso financeiro é concedido como contrapartida à adesão a comportamentos considerados socialmente desejáveis — neste caso, a assiduidade e a progressão escolar. A proposta é que, ao condicionar o benefício a resultados mínimos, o programa estimule o engajamento escolar e o esforço contínuo, especialmente em uma etapa vulnerável como o Ensino Médio.</w:t>
      </w:r>
    </w:p>
    <w:p w14:paraId="312651AF" w14:textId="54CB8A29" w:rsidR="00404305" w:rsidRPr="00404305" w:rsidRDefault="00404305" w:rsidP="00404305">
      <w:pPr>
        <w:pStyle w:val="PargrafodaLista"/>
        <w:numPr>
          <w:ilvl w:val="1"/>
          <w:numId w:val="3"/>
        </w:numPr>
        <w:spacing w:before="240" w:after="0" w:line="360" w:lineRule="auto"/>
        <w:jc w:val="both"/>
        <w:rPr>
          <w:rFonts w:ascii="Times New Roman" w:hAnsi="Times New Roman" w:cs="Times New Roman"/>
          <w:sz w:val="24"/>
          <w:szCs w:val="24"/>
        </w:rPr>
      </w:pPr>
      <w:r w:rsidRPr="00404305">
        <w:rPr>
          <w:rFonts w:ascii="Times New Roman" w:hAnsi="Times New Roman" w:cs="Times New Roman"/>
          <w:sz w:val="24"/>
          <w:szCs w:val="24"/>
        </w:rPr>
        <w:t>Fundamento Teórico e Experiências Análogas</w:t>
      </w:r>
    </w:p>
    <w:p w14:paraId="7AEDEDFA" w14:textId="71973B52" w:rsidR="005B6FCA" w:rsidRPr="005B6FCA"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As bases conceituais do programa remetem à teoria do capital humano de Gary Becker (1964), que defendia que a educação é um investimento produtivo para o crescimento individual e social. O Programa Pé de Meia incorpora essa lógica ao combinar incentivos financeiros com metas educacionais e sociais de longo prazo.</w:t>
      </w:r>
    </w:p>
    <w:p w14:paraId="4033271B" w14:textId="5044005A" w:rsidR="00404305" w:rsidRPr="005B6FCA"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As Transferências Condicionadas de Renda (</w:t>
      </w:r>
      <w:proofErr w:type="spellStart"/>
      <w:r w:rsidRPr="005B6FCA">
        <w:rPr>
          <w:rFonts w:ascii="Times New Roman" w:hAnsi="Times New Roman" w:cs="Times New Roman"/>
          <w:sz w:val="24"/>
          <w:szCs w:val="24"/>
        </w:rPr>
        <w:t>CCTs</w:t>
      </w:r>
      <w:proofErr w:type="spellEnd"/>
      <w:r w:rsidRPr="005B6FCA">
        <w:rPr>
          <w:rFonts w:ascii="Times New Roman" w:hAnsi="Times New Roman" w:cs="Times New Roman"/>
          <w:sz w:val="24"/>
          <w:szCs w:val="24"/>
        </w:rPr>
        <w:t xml:space="preserve">) já demonstraram sucesso em diversos países latino-americanos. Programas como o </w:t>
      </w:r>
      <w:proofErr w:type="spellStart"/>
      <w:r w:rsidRPr="005B6FCA">
        <w:rPr>
          <w:rFonts w:ascii="Times New Roman" w:hAnsi="Times New Roman" w:cs="Times New Roman"/>
          <w:sz w:val="24"/>
          <w:szCs w:val="24"/>
        </w:rPr>
        <w:t>Progresa</w:t>
      </w:r>
      <w:proofErr w:type="spellEnd"/>
      <w:r w:rsidRPr="005B6FCA">
        <w:rPr>
          <w:rFonts w:ascii="Times New Roman" w:hAnsi="Times New Roman" w:cs="Times New Roman"/>
          <w:sz w:val="24"/>
          <w:szCs w:val="24"/>
        </w:rPr>
        <w:t xml:space="preserve"> (México), os Subsídios de </w:t>
      </w:r>
      <w:r w:rsidRPr="005B6FCA">
        <w:rPr>
          <w:rFonts w:ascii="Times New Roman" w:hAnsi="Times New Roman" w:cs="Times New Roman"/>
          <w:sz w:val="24"/>
          <w:szCs w:val="24"/>
        </w:rPr>
        <w:lastRenderedPageBreak/>
        <w:t>Assistência Escolar (Bogotá) e o Jovens com Oportunidades (México) evidenciam efeitos positivos na frequência e conclusão escolar. No Brasil, o Bolsa Família também contribuiu significativamente para o aumento das taxas de conclusão do Ensino Médio (SOARES</w:t>
      </w:r>
      <w:r w:rsidRPr="005B6FCA">
        <w:rPr>
          <w:rFonts w:ascii="Times New Roman" w:hAnsi="Times New Roman" w:cs="Times New Roman"/>
          <w:i/>
          <w:iCs/>
          <w:sz w:val="24"/>
          <w:szCs w:val="24"/>
        </w:rPr>
        <w:t xml:space="preserve"> et </w:t>
      </w:r>
      <w:r w:rsidRPr="005B6FCA">
        <w:rPr>
          <w:rFonts w:ascii="Times New Roman" w:hAnsi="Times New Roman" w:cs="Times New Roman"/>
          <w:sz w:val="24"/>
          <w:szCs w:val="24"/>
        </w:rPr>
        <w:t>al.,</w:t>
      </w:r>
      <w:r w:rsidRPr="005B6FCA">
        <w:rPr>
          <w:rFonts w:ascii="Times New Roman" w:hAnsi="Times New Roman" w:cs="Times New Roman"/>
          <w:i/>
          <w:iCs/>
          <w:sz w:val="24"/>
          <w:szCs w:val="24"/>
        </w:rPr>
        <w:t xml:space="preserve"> 2010)</w:t>
      </w:r>
      <w:r w:rsidRPr="005B6FCA">
        <w:rPr>
          <w:rFonts w:ascii="Times New Roman" w:hAnsi="Times New Roman" w:cs="Times New Roman"/>
          <w:sz w:val="24"/>
          <w:szCs w:val="24"/>
        </w:rPr>
        <w:t>.</w:t>
      </w:r>
    </w:p>
    <w:p w14:paraId="665E5E1E" w14:textId="684B2F50" w:rsidR="00404305" w:rsidRPr="00404305" w:rsidRDefault="00404305" w:rsidP="00404305">
      <w:pPr>
        <w:pStyle w:val="PargrafodaLista"/>
        <w:numPr>
          <w:ilvl w:val="1"/>
          <w:numId w:val="3"/>
        </w:numPr>
        <w:spacing w:before="240" w:after="0" w:line="360" w:lineRule="auto"/>
        <w:jc w:val="both"/>
        <w:rPr>
          <w:rFonts w:ascii="Times New Roman" w:hAnsi="Times New Roman" w:cs="Times New Roman"/>
          <w:sz w:val="24"/>
          <w:szCs w:val="24"/>
        </w:rPr>
      </w:pPr>
      <w:r w:rsidRPr="00404305">
        <w:rPr>
          <w:rFonts w:ascii="Times New Roman" w:hAnsi="Times New Roman" w:cs="Times New Roman"/>
          <w:sz w:val="24"/>
          <w:szCs w:val="24"/>
        </w:rPr>
        <w:t>Inovações do Modelo</w:t>
      </w:r>
    </w:p>
    <w:p w14:paraId="2B3B9E5F" w14:textId="3B25CB01" w:rsidR="00404305" w:rsidRDefault="00404305" w:rsidP="005B6FCA">
      <w:pPr>
        <w:spacing w:after="0" w:line="360" w:lineRule="auto"/>
        <w:ind w:firstLine="709"/>
        <w:jc w:val="both"/>
        <w:rPr>
          <w:rFonts w:ascii="Times New Roman" w:hAnsi="Times New Roman" w:cs="Times New Roman"/>
          <w:sz w:val="24"/>
          <w:szCs w:val="24"/>
        </w:rPr>
      </w:pPr>
      <w:r w:rsidRPr="00404305">
        <w:rPr>
          <w:rFonts w:ascii="Times New Roman" w:hAnsi="Times New Roman" w:cs="Times New Roman"/>
          <w:sz w:val="24"/>
          <w:szCs w:val="24"/>
        </w:rPr>
        <w:t xml:space="preserve">O </w:t>
      </w:r>
      <w:r w:rsidR="005B6FCA" w:rsidRPr="005B6FCA">
        <w:rPr>
          <w:rFonts w:ascii="Times New Roman" w:hAnsi="Times New Roman" w:cs="Times New Roman"/>
          <w:sz w:val="24"/>
          <w:szCs w:val="24"/>
        </w:rPr>
        <w:t>modelo do Pé de Meia se diferencia por ser exclusivo para o Ensino Médio, etapa crítica com altos índices de evasão. Introduz ainda o conceito de poupança educacional, permitindo que o estudante acumule uma reserva financeira ao longo do ciclo, podendo utilizá-la como apoio à transição para o mundo do trabalho ou do ensino superior.</w:t>
      </w:r>
    </w:p>
    <w:p w14:paraId="2345DD34" w14:textId="058D246A" w:rsidR="00404305" w:rsidRPr="00404305" w:rsidRDefault="00404305" w:rsidP="00404305">
      <w:pPr>
        <w:pStyle w:val="PargrafodaLista"/>
        <w:numPr>
          <w:ilvl w:val="1"/>
          <w:numId w:val="3"/>
        </w:numPr>
        <w:spacing w:before="240" w:after="0" w:line="360" w:lineRule="auto"/>
        <w:jc w:val="both"/>
        <w:rPr>
          <w:rFonts w:ascii="Times New Roman" w:hAnsi="Times New Roman" w:cs="Times New Roman"/>
          <w:sz w:val="24"/>
          <w:szCs w:val="24"/>
        </w:rPr>
      </w:pPr>
      <w:r w:rsidRPr="00404305">
        <w:rPr>
          <w:rFonts w:ascii="Times New Roman" w:hAnsi="Times New Roman" w:cs="Times New Roman"/>
          <w:sz w:val="24"/>
          <w:szCs w:val="24"/>
        </w:rPr>
        <w:t>Governança e Articulação Institucional</w:t>
      </w:r>
    </w:p>
    <w:p w14:paraId="2C5DF00B" w14:textId="2963167A" w:rsidR="005B6FCA" w:rsidRPr="005B6FCA" w:rsidRDefault="00404305"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 xml:space="preserve">O </w:t>
      </w:r>
      <w:r w:rsidR="005B6FCA" w:rsidRPr="005B6FCA">
        <w:rPr>
          <w:rFonts w:ascii="Times New Roman" w:hAnsi="Times New Roman" w:cs="Times New Roman"/>
          <w:sz w:val="24"/>
          <w:szCs w:val="24"/>
        </w:rPr>
        <w:t>Programa Pé de Meia exige uma estrutura de governança complexa, que envolve diversos níveis e órgãos da administração pública. O Ministério da Educação é o órgão central responsável pela formulação, financiamento e coordenação nacional do programa. Aos Estados e Municípios cabe a responsabilidade de cadastrar os beneficiários, acompanhar as condicionalidades e garantir o funcionamento das escolas como agentes de registro e monitoramento das informações.</w:t>
      </w:r>
    </w:p>
    <w:p w14:paraId="14E6658C" w14:textId="224A2D45" w:rsidR="00404305" w:rsidRPr="005B6FCA"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 xml:space="preserve">As escolas públicas exercem papel </w:t>
      </w:r>
      <w:r>
        <w:rPr>
          <w:rFonts w:ascii="Times New Roman" w:hAnsi="Times New Roman" w:cs="Times New Roman"/>
          <w:sz w:val="24"/>
          <w:szCs w:val="24"/>
        </w:rPr>
        <w:t>importante</w:t>
      </w:r>
      <w:r w:rsidRPr="005B6FCA">
        <w:rPr>
          <w:rFonts w:ascii="Times New Roman" w:hAnsi="Times New Roman" w:cs="Times New Roman"/>
          <w:sz w:val="24"/>
          <w:szCs w:val="24"/>
        </w:rPr>
        <w:t xml:space="preserve"> no êxito da política, pois é nelas que ocorrem o controle de frequência, a coleta de dados sobre desempenho e a orientação direta aos estudantes. A boa articulação entre União, estados, municípios e escolas é essencial para que os objetivos do programa sejam alcançados com equidade e eficiência, o que exige compromisso institucional, capacitação técnica e fluxo constante de informações.</w:t>
      </w:r>
    </w:p>
    <w:p w14:paraId="515E4666" w14:textId="7FBAE2DE" w:rsidR="00404305" w:rsidRPr="00404305" w:rsidRDefault="00404305" w:rsidP="00404305">
      <w:pPr>
        <w:pStyle w:val="PargrafodaLista"/>
        <w:numPr>
          <w:ilvl w:val="1"/>
          <w:numId w:val="3"/>
        </w:numPr>
        <w:spacing w:before="240" w:after="0" w:line="360" w:lineRule="auto"/>
        <w:jc w:val="both"/>
        <w:rPr>
          <w:rFonts w:ascii="Times New Roman" w:hAnsi="Times New Roman" w:cs="Times New Roman"/>
          <w:sz w:val="24"/>
          <w:szCs w:val="24"/>
        </w:rPr>
      </w:pPr>
      <w:r w:rsidRPr="00404305">
        <w:rPr>
          <w:rFonts w:ascii="Times New Roman" w:hAnsi="Times New Roman" w:cs="Times New Roman"/>
          <w:sz w:val="24"/>
          <w:szCs w:val="24"/>
        </w:rPr>
        <w:t>Monitoramento e Avaliação</w:t>
      </w:r>
    </w:p>
    <w:p w14:paraId="5248946A" w14:textId="2F0E5C05" w:rsidR="005B6FCA" w:rsidRPr="005B6FCA" w:rsidRDefault="00404305"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 xml:space="preserve">O </w:t>
      </w:r>
      <w:r w:rsidR="005B6FCA" w:rsidRPr="005B6FCA">
        <w:rPr>
          <w:rFonts w:ascii="Times New Roman" w:hAnsi="Times New Roman" w:cs="Times New Roman"/>
          <w:sz w:val="24"/>
          <w:szCs w:val="24"/>
        </w:rPr>
        <w:t>Programa Pé de Meia conta com um plano de monitoramento contínuo, estruturado para realizar revisões periódicas e correções de rota. A Secretaria de Gestão da Educação Básica (</w:t>
      </w:r>
      <w:proofErr w:type="spellStart"/>
      <w:r w:rsidR="005B6FCA" w:rsidRPr="005B6FCA">
        <w:rPr>
          <w:rFonts w:ascii="Times New Roman" w:hAnsi="Times New Roman" w:cs="Times New Roman"/>
          <w:sz w:val="24"/>
          <w:szCs w:val="24"/>
        </w:rPr>
        <w:t>Segape</w:t>
      </w:r>
      <w:proofErr w:type="spellEnd"/>
      <w:r w:rsidR="005B6FCA" w:rsidRPr="005B6FCA">
        <w:rPr>
          <w:rFonts w:ascii="Times New Roman" w:hAnsi="Times New Roman" w:cs="Times New Roman"/>
          <w:sz w:val="24"/>
          <w:szCs w:val="24"/>
        </w:rPr>
        <w:t>) é responsável por coletar e consolidar os dados. Em conjunto com a Diretoria de Monitoramento e Avaliação (</w:t>
      </w:r>
      <w:proofErr w:type="spellStart"/>
      <w:r w:rsidR="005B6FCA" w:rsidRPr="005B6FCA">
        <w:rPr>
          <w:rFonts w:ascii="Times New Roman" w:hAnsi="Times New Roman" w:cs="Times New Roman"/>
          <w:sz w:val="24"/>
          <w:szCs w:val="24"/>
        </w:rPr>
        <w:t>Diman</w:t>
      </w:r>
      <w:proofErr w:type="spellEnd"/>
      <w:r w:rsidR="005B6FCA" w:rsidRPr="005B6FCA">
        <w:rPr>
          <w:rFonts w:ascii="Times New Roman" w:hAnsi="Times New Roman" w:cs="Times New Roman"/>
          <w:sz w:val="24"/>
          <w:szCs w:val="24"/>
        </w:rPr>
        <w:t>/SEB) e a Diretoria de Apoio à Implementação (</w:t>
      </w:r>
      <w:proofErr w:type="spellStart"/>
      <w:r w:rsidR="005B6FCA" w:rsidRPr="005B6FCA">
        <w:rPr>
          <w:rFonts w:ascii="Times New Roman" w:hAnsi="Times New Roman" w:cs="Times New Roman"/>
          <w:sz w:val="24"/>
          <w:szCs w:val="24"/>
        </w:rPr>
        <w:t>Diab</w:t>
      </w:r>
      <w:proofErr w:type="spellEnd"/>
      <w:r w:rsidR="005B6FCA" w:rsidRPr="005B6FCA">
        <w:rPr>
          <w:rFonts w:ascii="Times New Roman" w:hAnsi="Times New Roman" w:cs="Times New Roman"/>
          <w:sz w:val="24"/>
          <w:szCs w:val="24"/>
        </w:rPr>
        <w:t>/SEB), esses dados são analisados para produzir relatórios de desempenho e subsidiar decisões estratégicas (BRASIL, 2024).</w:t>
      </w:r>
    </w:p>
    <w:p w14:paraId="24D18495" w14:textId="55B5EA76" w:rsidR="00404305" w:rsidRPr="005B6FCA"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 xml:space="preserve">Essa estrutura de monitoramento garante que os indicadores de frequência, aprovação e participação nas avaliações sejam acompanhados de forma padronizada, permitindo ajustes técnicos conforme a realidade das redes de ensino. O modelo propicia uma governança baseada </w:t>
      </w:r>
      <w:r w:rsidRPr="005B6FCA">
        <w:rPr>
          <w:rFonts w:ascii="Times New Roman" w:hAnsi="Times New Roman" w:cs="Times New Roman"/>
          <w:sz w:val="24"/>
          <w:szCs w:val="24"/>
        </w:rPr>
        <w:lastRenderedPageBreak/>
        <w:t>em evidências e fortalece a credibilidade do programa junto à sociedade e aos formuladores de políticas públicas.</w:t>
      </w:r>
    </w:p>
    <w:p w14:paraId="416E2658" w14:textId="2B833569" w:rsidR="00404305" w:rsidRPr="00404305" w:rsidRDefault="00404305" w:rsidP="00404305">
      <w:pPr>
        <w:pStyle w:val="PargrafodaLista"/>
        <w:numPr>
          <w:ilvl w:val="1"/>
          <w:numId w:val="3"/>
        </w:numPr>
        <w:spacing w:before="240" w:after="0" w:line="360" w:lineRule="auto"/>
        <w:jc w:val="both"/>
        <w:rPr>
          <w:rFonts w:ascii="Times New Roman" w:hAnsi="Times New Roman" w:cs="Times New Roman"/>
          <w:sz w:val="24"/>
          <w:szCs w:val="24"/>
        </w:rPr>
      </w:pPr>
      <w:r w:rsidRPr="00404305">
        <w:rPr>
          <w:rFonts w:ascii="Times New Roman" w:hAnsi="Times New Roman" w:cs="Times New Roman"/>
          <w:sz w:val="24"/>
          <w:szCs w:val="24"/>
        </w:rPr>
        <w:t>A Importância do Monitoramento por Dados</w:t>
      </w:r>
    </w:p>
    <w:p w14:paraId="01C5D09C" w14:textId="48FD10E1" w:rsidR="005B6FCA" w:rsidRPr="005B6FCA" w:rsidRDefault="00404305" w:rsidP="005B6FCA">
      <w:pPr>
        <w:spacing w:after="0" w:line="360" w:lineRule="auto"/>
        <w:ind w:firstLine="709"/>
        <w:jc w:val="both"/>
        <w:rPr>
          <w:rFonts w:ascii="Times New Roman" w:hAnsi="Times New Roman" w:cs="Times New Roman"/>
          <w:sz w:val="24"/>
          <w:szCs w:val="24"/>
        </w:rPr>
      </w:pPr>
      <w:r w:rsidRPr="00404305">
        <w:rPr>
          <w:rFonts w:ascii="Times New Roman" w:hAnsi="Times New Roman" w:cs="Times New Roman"/>
          <w:sz w:val="24"/>
          <w:szCs w:val="24"/>
        </w:rPr>
        <w:t xml:space="preserve">O </w:t>
      </w:r>
      <w:r w:rsidR="005B6FCA" w:rsidRPr="005B6FCA">
        <w:rPr>
          <w:rFonts w:ascii="Times New Roman" w:hAnsi="Times New Roman" w:cs="Times New Roman"/>
          <w:sz w:val="24"/>
          <w:szCs w:val="24"/>
        </w:rPr>
        <w:t>acompanhamento por meio de dados confiáveis é essencial para garantir a eficácia do programa. A governança baseada em dados permite identificar falhas operacionais, exclusões indevidas de beneficiários e lacunas na execução. Segundo Weiss (1998), políticas bem-sucedidas são aquelas que incorporam avaliação como elemento estruturante, criando um ciclo de aprendizagem institucional.</w:t>
      </w:r>
    </w:p>
    <w:p w14:paraId="5D7A7C6C" w14:textId="7AF7FB33" w:rsidR="00404305" w:rsidRPr="00404305"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Ao monitorar resultados em tempo real, o MEC e os entes federativos podem corrigir distorções rapidamente, aumentar a transparência e reforçar a confiança no programa. Além disso, o uso de indicadores permite a construção de séries históricas que servirão de base para futuros ajustes e expansões, conforme evidências do campo das políticas públicas orientadas por desempenho.</w:t>
      </w:r>
    </w:p>
    <w:p w14:paraId="1ADD0940" w14:textId="7D48767C" w:rsidR="00404305" w:rsidRPr="00404305" w:rsidRDefault="00404305" w:rsidP="00404305">
      <w:pPr>
        <w:pStyle w:val="PargrafodaLista"/>
        <w:numPr>
          <w:ilvl w:val="1"/>
          <w:numId w:val="3"/>
        </w:numPr>
        <w:spacing w:before="240" w:after="0" w:line="360" w:lineRule="auto"/>
        <w:jc w:val="both"/>
        <w:rPr>
          <w:rFonts w:ascii="Times New Roman" w:hAnsi="Times New Roman" w:cs="Times New Roman"/>
          <w:sz w:val="24"/>
          <w:szCs w:val="24"/>
        </w:rPr>
      </w:pPr>
      <w:r w:rsidRPr="00404305">
        <w:rPr>
          <w:rFonts w:ascii="Times New Roman" w:hAnsi="Times New Roman" w:cs="Times New Roman"/>
          <w:sz w:val="24"/>
          <w:szCs w:val="24"/>
        </w:rPr>
        <w:t>Desafios Operacionais</w:t>
      </w:r>
    </w:p>
    <w:p w14:paraId="7331E128" w14:textId="46E4B424" w:rsidR="005B6FCA" w:rsidRPr="005B6FCA" w:rsidRDefault="00404305" w:rsidP="005B6FCA">
      <w:pPr>
        <w:spacing w:after="0" w:line="360" w:lineRule="auto"/>
        <w:ind w:firstLine="709"/>
        <w:jc w:val="both"/>
        <w:rPr>
          <w:rFonts w:ascii="Times New Roman" w:hAnsi="Times New Roman" w:cs="Times New Roman"/>
          <w:sz w:val="24"/>
          <w:szCs w:val="24"/>
        </w:rPr>
      </w:pPr>
      <w:r w:rsidRPr="00404305">
        <w:rPr>
          <w:rFonts w:ascii="Times New Roman" w:hAnsi="Times New Roman" w:cs="Times New Roman"/>
          <w:sz w:val="24"/>
          <w:szCs w:val="24"/>
        </w:rPr>
        <w:t xml:space="preserve">Entre </w:t>
      </w:r>
      <w:r w:rsidR="005B6FCA" w:rsidRPr="005B6FCA">
        <w:rPr>
          <w:rFonts w:ascii="Times New Roman" w:hAnsi="Times New Roman" w:cs="Times New Roman"/>
          <w:sz w:val="24"/>
          <w:szCs w:val="24"/>
        </w:rPr>
        <w:t>os principais desafios enfrentados pelo Programa Pé de Meia está a dificuldade de comprovar a frequência escolar em escolas que não possuem infraestrutura digital adequada. Muitas unidades em regiões rurais ou comunidades tradicionais carecem de conectividade, o que prejudica o registro dos dados no sistema e pode comprometer o repasse dos recursos. Esse entrave exige investimentos complementares em tecnologia e apoio técnico às redes de ensino.</w:t>
      </w:r>
    </w:p>
    <w:p w14:paraId="5B97AC26" w14:textId="77777777" w:rsidR="005B6FCA" w:rsidRPr="005B6FCA"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Outro desafio é o valor do benefício em comparação à renda obtida por adolescentes no mercado informal. Em contextos de pobreza extrema, a quantia oferecida pode não ser suficiente para competir com a necessidade de contribuir com a renda familiar. Some-se a isso a sobrecarga administrativa das escolas, que precisam registrar, acompanhar e validar os dados, muitas vezes com equipes reduzidas e alta rotatividade de profissionais. Esses aspectos reforçam a necessidade de uma gestão integrada, suporte técnico e acompanhamento pedagógico contínuo (GLEWWE; KASSOUF, 2012).</w:t>
      </w:r>
    </w:p>
    <w:p w14:paraId="62AD09E1" w14:textId="0809035D" w:rsidR="00404305" w:rsidRPr="00404305" w:rsidRDefault="00404305" w:rsidP="00404305">
      <w:pPr>
        <w:pStyle w:val="PargrafodaLista"/>
        <w:numPr>
          <w:ilvl w:val="1"/>
          <w:numId w:val="3"/>
        </w:numPr>
        <w:spacing w:before="240" w:after="0" w:line="360" w:lineRule="auto"/>
        <w:jc w:val="both"/>
        <w:rPr>
          <w:rFonts w:ascii="Times New Roman" w:hAnsi="Times New Roman" w:cs="Times New Roman"/>
          <w:sz w:val="24"/>
          <w:szCs w:val="24"/>
        </w:rPr>
      </w:pPr>
      <w:r w:rsidRPr="00404305">
        <w:rPr>
          <w:rFonts w:ascii="Times New Roman" w:hAnsi="Times New Roman" w:cs="Times New Roman"/>
          <w:sz w:val="24"/>
          <w:szCs w:val="24"/>
        </w:rPr>
        <w:t>Impactos Iniciais e Perspectivas Finais</w:t>
      </w:r>
    </w:p>
    <w:p w14:paraId="7F6EADEC" w14:textId="4F4D830F" w:rsidR="005B6FCA" w:rsidRPr="005B6FCA"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 xml:space="preserve">Os dados preliminares indicam que o Programa Pé de Meia já beneficia milhões de estudantes em todo o país. Estados como Bahia, Pernambuco e Pará registraram aumento nas matrículas do Ensino Médio após o anúncio e início da implementação da política. Além disso, há indícios de maior participação de estudantes beneficiários no ENEM, o que revela um </w:t>
      </w:r>
      <w:r w:rsidRPr="005B6FCA">
        <w:rPr>
          <w:rFonts w:ascii="Times New Roman" w:hAnsi="Times New Roman" w:cs="Times New Roman"/>
          <w:sz w:val="24"/>
          <w:szCs w:val="24"/>
        </w:rPr>
        <w:lastRenderedPageBreak/>
        <w:t>fortalecimento do vínculo com a escola e da perspectiva de continuidade nos estudos (BRASIL, 2024).</w:t>
      </w:r>
    </w:p>
    <w:p w14:paraId="54133178" w14:textId="77777777" w:rsidR="005B6FCA" w:rsidRPr="005B6FCA"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A política também fortalece o papel da escola como espaço de proteção e oportunidade, especialmente para adolescentes em situação de vulnerabilidade social. Contudo, seu futuro depende da capacidade de manter a articulação federativa, garantir recursos financeiros sustentáveis e desenvolver mecanismos de avaliação permanentes. Se bem conduzido, o Pé de Meia pode se consolidar como uma das políticas públicas mais inovadoras e transformadoras do país no enfrentamento à evasão escolar e na promoção da justiça educacional.</w:t>
      </w:r>
    </w:p>
    <w:p w14:paraId="664468FC" w14:textId="16F50941" w:rsidR="00FF6D14" w:rsidRPr="00404305" w:rsidRDefault="00404305" w:rsidP="00404305">
      <w:pPr>
        <w:pStyle w:val="PargrafodaLista"/>
        <w:numPr>
          <w:ilvl w:val="0"/>
          <w:numId w:val="3"/>
        </w:numPr>
        <w:spacing w:before="240" w:line="360" w:lineRule="auto"/>
        <w:jc w:val="both"/>
        <w:rPr>
          <w:rFonts w:ascii="Times New Roman" w:hAnsi="Times New Roman" w:cs="Times New Roman"/>
          <w:b/>
          <w:bCs/>
          <w:sz w:val="24"/>
          <w:szCs w:val="24"/>
        </w:rPr>
      </w:pPr>
      <w:r w:rsidRPr="00404305">
        <w:rPr>
          <w:rFonts w:ascii="Times New Roman" w:hAnsi="Times New Roman" w:cs="Times New Roman"/>
          <w:b/>
          <w:bCs/>
          <w:sz w:val="24"/>
          <w:szCs w:val="24"/>
        </w:rPr>
        <w:t xml:space="preserve">RESULTADOS </w:t>
      </w:r>
      <w:r>
        <w:rPr>
          <w:rFonts w:ascii="Times New Roman" w:hAnsi="Times New Roman" w:cs="Times New Roman"/>
          <w:b/>
          <w:bCs/>
          <w:sz w:val="24"/>
          <w:szCs w:val="24"/>
        </w:rPr>
        <w:t>DO ESTUDO</w:t>
      </w:r>
    </w:p>
    <w:p w14:paraId="413CE7B3" w14:textId="2242A23A" w:rsidR="005B6FCA" w:rsidRPr="005B6FCA"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Desde sua implementação no final de 2023, o Programa Pé de Meia vem apresentando sinais positivos quanto à sua aceitação e alcance. Ainda que os efeitos de médio e longo prazo estejam em construção, os dados institucionais iniciais indicam crescimento na adesão dos estudantes e fortalecimento do vínculo com a escola, especialmente em regiões mais vulneráveis (BRASIL, 2024).</w:t>
      </w:r>
    </w:p>
    <w:p w14:paraId="5891A68D" w14:textId="77777777" w:rsidR="005B6FCA" w:rsidRPr="005B6FCA"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Segundo o MEC, mais de 2,8 milhões de estudantes já foram identificados como potenciais beneficiários até o início de 2025. A expectativa é de que até o final do ano o número alcance 4 milhões, o que representa aproximadamente 70% dos estudantes do Ensino Médio público no Brasil (INEP, 2024).</w:t>
      </w:r>
    </w:p>
    <w:p w14:paraId="66AF57F8" w14:textId="77777777" w:rsidR="005B6FCA" w:rsidRPr="005B6FCA"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Em alguns estados, como Pernambuco, Bahia, Ceará e Pará, observou-se um aumento expressivo nas matrículas do Ensino Médio, particularmente no 1º ano, o que sugere que o incentivo financeiro pode ter influenciado positivamente a decisão de continuidade nos estudos. Esses dados são ainda exploratórios, mas reforçam o potencial da política como ferramenta de combate à evasão.</w:t>
      </w:r>
    </w:p>
    <w:p w14:paraId="6FCEC2BF" w14:textId="77777777" w:rsidR="005B6FCA" w:rsidRPr="005B6FCA"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O programa também contribuiu para a mobilização das redes de ensino, promovendo melhorias na integração de dados entre escolas e secretarias estaduais e ampliando o uso dos sistemas do MEC. Essa ação técnica fortalece a gestão da informação e facilita o monitoramento das condicionalidades, gerando maior confiabilidade nas transferências (BRASIL, 2023c).</w:t>
      </w:r>
    </w:p>
    <w:p w14:paraId="6A120AAD" w14:textId="77777777" w:rsidR="005B6FCA" w:rsidRPr="005B6FCA"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A atuação conjunta entre MEC, Estados e Municípios tem sido apontada por gestores como um ponto forte do programa. A criação de grupos de trabalho interinstitucionais permitiu alinhar orientações operacionais, capacitar gestores escolares e esclarecer dúvidas das famílias beneficiadas. Esse envolvimento contribui para a adesão e fidelização ao programa.</w:t>
      </w:r>
    </w:p>
    <w:p w14:paraId="51308143" w14:textId="77777777" w:rsidR="005B6FCA" w:rsidRPr="005B6FCA"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 xml:space="preserve">Por outro lado, os relatórios técnicos internos do MEC apontam que cerca de 18% das escolas ainda apresentam dificuldades de conectividade para registrar dados de frequência e </w:t>
      </w:r>
      <w:r w:rsidRPr="005B6FCA">
        <w:rPr>
          <w:rFonts w:ascii="Times New Roman" w:hAnsi="Times New Roman" w:cs="Times New Roman"/>
          <w:sz w:val="24"/>
          <w:szCs w:val="24"/>
        </w:rPr>
        <w:lastRenderedPageBreak/>
        <w:t>desempenho. Esse gargalo pode comprometer a regularidade no repasse dos benefícios e a equidade de acesso, especialmente em áreas rurais e comunidades indígenas ou quilombolas (BRASIL, 2024).</w:t>
      </w:r>
    </w:p>
    <w:p w14:paraId="4CDBCF31" w14:textId="77777777" w:rsidR="005B6FCA" w:rsidRPr="005B6FCA"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A resposta das famílias ao programa tem sido amplamente positiva. Em entrevistas qualitativas realizadas por secretarias estaduais e ONGs parceiras, muitos estudantes e responsáveis relatam que a perspectiva de um acúmulo financeiro ao final do Ensino Médio aumenta a motivação para concluir os estudos e reduz a pressão por ingresso precoce no mercado de trabalho (SOARES; RIBEIRO, 2023).</w:t>
      </w:r>
    </w:p>
    <w:p w14:paraId="27A85B33" w14:textId="77777777" w:rsidR="005B6FCA" w:rsidRPr="005B6FCA"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Em relação às condicionalidades, dados preliminares apontam que aproximadamente 84% dos estudantes inscritos mantiveram frequência acima de 80% no primeiro semestre de 2024, e 71% foram aprovados ao final do ano letivo anterior. Esses indicadores mostram alinhamento com os objetivos do programa, ainda que o percentual de reprovação ainda indique fragilidades no processo de ensino-aprendizagem (INEP, 2024).</w:t>
      </w:r>
    </w:p>
    <w:p w14:paraId="00BF898D" w14:textId="77777777" w:rsidR="005B6FCA" w:rsidRPr="005B6FCA"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Outro ponto observado é o aumento da participação no ENEM entre estudantes do 3º ano beneficiários do programa. Embora ainda não haja estatísticas consolidadas, redes estaduais relatam crescimento na inscrição e comparecimento de jovens, especialmente os que antes não consideravam o exame uma possibilidade viável.</w:t>
      </w:r>
    </w:p>
    <w:p w14:paraId="4F0C876A" w14:textId="77777777" w:rsidR="005B6FCA" w:rsidRPr="005B6FCA"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Em síntese, os resultados preliminares do Programa Pé de Meia indicam um cenário promissor, com avanços em indicadores de permanência, integração de políticas e participação das famílias. Contudo, os desafios de infraestrutura, de acompanhamento pedagógico e de articulação intersetorial permanecem. A continuidade e o aprofundamento das avaliações serão fundamentais para consolidar o programa como política de Estado.</w:t>
      </w:r>
    </w:p>
    <w:p w14:paraId="07F2CAD2" w14:textId="3954AC51" w:rsidR="00FF6D14" w:rsidRPr="00404305" w:rsidRDefault="00404305" w:rsidP="00404305">
      <w:pPr>
        <w:pStyle w:val="PargrafodaLista"/>
        <w:numPr>
          <w:ilvl w:val="0"/>
          <w:numId w:val="3"/>
        </w:numPr>
        <w:spacing w:before="240" w:after="0" w:line="360" w:lineRule="auto"/>
        <w:jc w:val="both"/>
        <w:rPr>
          <w:rFonts w:ascii="Times New Roman" w:hAnsi="Times New Roman" w:cs="Times New Roman"/>
          <w:b/>
          <w:bCs/>
          <w:sz w:val="24"/>
          <w:szCs w:val="24"/>
        </w:rPr>
      </w:pPr>
      <w:r w:rsidRPr="00404305">
        <w:rPr>
          <w:rFonts w:ascii="Times New Roman" w:hAnsi="Times New Roman" w:cs="Times New Roman"/>
          <w:b/>
          <w:bCs/>
          <w:sz w:val="24"/>
          <w:szCs w:val="24"/>
        </w:rPr>
        <w:t>DISCUSSÃO</w:t>
      </w:r>
    </w:p>
    <w:p w14:paraId="23DA1C85" w14:textId="235A6B3E" w:rsidR="005B6FCA" w:rsidRPr="005B6FCA" w:rsidRDefault="00FF6D14"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 xml:space="preserve">A </w:t>
      </w:r>
      <w:r w:rsidR="005B6FCA" w:rsidRPr="005B6FCA">
        <w:rPr>
          <w:rFonts w:ascii="Times New Roman" w:hAnsi="Times New Roman" w:cs="Times New Roman"/>
          <w:sz w:val="24"/>
          <w:szCs w:val="24"/>
        </w:rPr>
        <w:t>implementação do Programa Pé de Meia marca uma inflexão importante na política educacional brasileira ao reconhecer, de maneira objetiva, que fatores socioeconômicos são centrais na evasão escolar, especialmente no Ensino Médio. Diferente de outras ações mais generalistas, o Pé de Meia foca em um público específico e vulnerável, com mecanismos operacionais voltados à permanência escolar de longo prazo (BRASIL, 2023b).</w:t>
      </w:r>
    </w:p>
    <w:p w14:paraId="0184CCE6" w14:textId="77777777" w:rsidR="005B6FCA" w:rsidRPr="005B6FCA"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O uso de transferências condicionadas de renda (</w:t>
      </w:r>
      <w:proofErr w:type="spellStart"/>
      <w:r w:rsidRPr="005B6FCA">
        <w:rPr>
          <w:rFonts w:ascii="Times New Roman" w:hAnsi="Times New Roman" w:cs="Times New Roman"/>
          <w:sz w:val="24"/>
          <w:szCs w:val="24"/>
        </w:rPr>
        <w:t>CCTs</w:t>
      </w:r>
      <w:proofErr w:type="spellEnd"/>
      <w:r w:rsidRPr="005B6FCA">
        <w:rPr>
          <w:rFonts w:ascii="Times New Roman" w:hAnsi="Times New Roman" w:cs="Times New Roman"/>
          <w:sz w:val="24"/>
          <w:szCs w:val="24"/>
        </w:rPr>
        <w:t xml:space="preserve">) com foco educacional já se mostrou eficaz em outros contextos, como no México, com o </w:t>
      </w:r>
      <w:proofErr w:type="spellStart"/>
      <w:r w:rsidRPr="005B6FCA">
        <w:rPr>
          <w:rFonts w:ascii="Times New Roman" w:hAnsi="Times New Roman" w:cs="Times New Roman"/>
          <w:sz w:val="24"/>
          <w:szCs w:val="24"/>
        </w:rPr>
        <w:t>Progresa</w:t>
      </w:r>
      <w:proofErr w:type="spellEnd"/>
      <w:r w:rsidRPr="005B6FCA">
        <w:rPr>
          <w:rFonts w:ascii="Times New Roman" w:hAnsi="Times New Roman" w:cs="Times New Roman"/>
          <w:sz w:val="24"/>
          <w:szCs w:val="24"/>
        </w:rPr>
        <w:t xml:space="preserve">, e na Colômbia, com os Subsídios de Assistência Escolar. No Brasil, embora o Bolsa Família tenha promovido avanços na frequência escolar, sua eficácia no Ensino Médio era limitada — o que o Pé de Meia busca </w:t>
      </w:r>
      <w:r w:rsidRPr="005B6FCA">
        <w:rPr>
          <w:rFonts w:ascii="Times New Roman" w:hAnsi="Times New Roman" w:cs="Times New Roman"/>
          <w:sz w:val="24"/>
          <w:szCs w:val="24"/>
        </w:rPr>
        <w:lastRenderedPageBreak/>
        <w:t>superar ao adotar um desenho institucional mais robusto, articulado e progressivo (</w:t>
      </w:r>
      <w:proofErr w:type="spellStart"/>
      <w:r w:rsidRPr="005B6FCA">
        <w:rPr>
          <w:rFonts w:ascii="Times New Roman" w:hAnsi="Times New Roman" w:cs="Times New Roman"/>
          <w:sz w:val="24"/>
          <w:szCs w:val="24"/>
        </w:rPr>
        <w:t>Fiszbein</w:t>
      </w:r>
      <w:proofErr w:type="spellEnd"/>
      <w:r w:rsidRPr="005B6FCA">
        <w:rPr>
          <w:rFonts w:ascii="Times New Roman" w:hAnsi="Times New Roman" w:cs="Times New Roman"/>
          <w:sz w:val="24"/>
          <w:szCs w:val="24"/>
        </w:rPr>
        <w:t xml:space="preserve">; </w:t>
      </w:r>
      <w:proofErr w:type="spellStart"/>
      <w:r w:rsidRPr="005B6FCA">
        <w:rPr>
          <w:rFonts w:ascii="Times New Roman" w:hAnsi="Times New Roman" w:cs="Times New Roman"/>
          <w:sz w:val="24"/>
          <w:szCs w:val="24"/>
        </w:rPr>
        <w:t>Schady</w:t>
      </w:r>
      <w:proofErr w:type="spellEnd"/>
      <w:r w:rsidRPr="005B6FCA">
        <w:rPr>
          <w:rFonts w:ascii="Times New Roman" w:hAnsi="Times New Roman" w:cs="Times New Roman"/>
          <w:sz w:val="24"/>
          <w:szCs w:val="24"/>
        </w:rPr>
        <w:t>, 2009).</w:t>
      </w:r>
    </w:p>
    <w:p w14:paraId="5EB537F8" w14:textId="77777777" w:rsidR="005B6FCA" w:rsidRPr="005B6FCA"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A lógica da poupança educacional vinculada apresenta um diferencial importante. Ao garantir que o recurso só poderá ser sacado após a conclusão do Ensino Médio, o programa atua como um incentivo de médio prazo, reforçando o planejamento e o projeto de vida dos jovens. Tal estratégia dialoga com a literatura sobre incentivos financeiros na educação e com políticas de permanência escolar adotadas em países desenvolvidos (</w:t>
      </w:r>
      <w:proofErr w:type="spellStart"/>
      <w:r w:rsidRPr="005B6FCA">
        <w:rPr>
          <w:rFonts w:ascii="Times New Roman" w:hAnsi="Times New Roman" w:cs="Times New Roman"/>
          <w:sz w:val="24"/>
          <w:szCs w:val="24"/>
        </w:rPr>
        <w:t>Bastagli</w:t>
      </w:r>
      <w:proofErr w:type="spellEnd"/>
      <w:r w:rsidRPr="005B6FCA">
        <w:rPr>
          <w:rFonts w:ascii="Times New Roman" w:hAnsi="Times New Roman" w:cs="Times New Roman"/>
          <w:sz w:val="24"/>
          <w:szCs w:val="24"/>
        </w:rPr>
        <w:t xml:space="preserve"> et al., 2016).</w:t>
      </w:r>
    </w:p>
    <w:p w14:paraId="69310992" w14:textId="77777777" w:rsidR="005B6FCA" w:rsidRPr="005B6FCA"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 xml:space="preserve">A estrutura de governança e monitoramento interinstitucional também é um avanço em comparação a programas anteriores. A articulação entre MEC, SEGAPE, DIMAN/SEB e DIAB/SEB cria uma cadeia de responsabilidades que tende a tornar o programa mais transparente e tecnicamente eficiente. No entanto, essa sofisticação exige uma gestão pública capaz de lidar com sistemas digitais, interoperabilidade e controle em tempo real (Weiss, 1998; </w:t>
      </w:r>
      <w:proofErr w:type="spellStart"/>
      <w:r w:rsidRPr="005B6FCA">
        <w:rPr>
          <w:rFonts w:ascii="Times New Roman" w:hAnsi="Times New Roman" w:cs="Times New Roman"/>
          <w:sz w:val="24"/>
          <w:szCs w:val="24"/>
        </w:rPr>
        <w:t>Lotta</w:t>
      </w:r>
      <w:proofErr w:type="spellEnd"/>
      <w:r w:rsidRPr="005B6FCA">
        <w:rPr>
          <w:rFonts w:ascii="Times New Roman" w:hAnsi="Times New Roman" w:cs="Times New Roman"/>
          <w:sz w:val="24"/>
          <w:szCs w:val="24"/>
        </w:rPr>
        <w:t>, 2015).</w:t>
      </w:r>
    </w:p>
    <w:p w14:paraId="19492199" w14:textId="77777777" w:rsidR="005B6FCA" w:rsidRPr="005B6FCA"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O programa também acerta ao reconhecer o papel central da escola na execução cotidiana da política. As unidades escolares deixam de ser meras transmissoras de conteúdo e passam a atuar como núcleos de proteção social e de garantia de direitos. Contudo, é preciso garantir formação adequada, estrutura mínima e apoio técnico às escolas, especialmente em áreas com menos recursos (INEP, 2024).</w:t>
      </w:r>
    </w:p>
    <w:p w14:paraId="259AB237" w14:textId="77777777" w:rsidR="005B6FCA" w:rsidRPr="005B6FCA"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Apesar dos avanços, os dados preliminares sugerem que algumas fragilidades estruturais persistem. O alto percentual de escolas com problemas de conectividade pode gerar atrasos na atualização de dados e prejudicar o repasse dos recursos, o que compromete a confiança no programa. Esses entraves mostram a necessidade de uma política digital pública forte e universalizada (BRASIL, 2024).</w:t>
      </w:r>
    </w:p>
    <w:p w14:paraId="3AB3B455" w14:textId="77777777" w:rsidR="005B6FCA" w:rsidRPr="005B6FCA"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 xml:space="preserve">Outro desafio é o chamado efeito marginal do benefício, apontado por autores como </w:t>
      </w:r>
      <w:proofErr w:type="spellStart"/>
      <w:r w:rsidRPr="005B6FCA">
        <w:rPr>
          <w:rFonts w:ascii="Times New Roman" w:hAnsi="Times New Roman" w:cs="Times New Roman"/>
          <w:sz w:val="24"/>
          <w:szCs w:val="24"/>
        </w:rPr>
        <w:t>Glewwe</w:t>
      </w:r>
      <w:proofErr w:type="spellEnd"/>
      <w:r w:rsidRPr="005B6FCA">
        <w:rPr>
          <w:rFonts w:ascii="Times New Roman" w:hAnsi="Times New Roman" w:cs="Times New Roman"/>
          <w:sz w:val="24"/>
          <w:szCs w:val="24"/>
        </w:rPr>
        <w:t xml:space="preserve"> e </w:t>
      </w:r>
      <w:proofErr w:type="spellStart"/>
      <w:r w:rsidRPr="005B6FCA">
        <w:rPr>
          <w:rFonts w:ascii="Times New Roman" w:hAnsi="Times New Roman" w:cs="Times New Roman"/>
          <w:sz w:val="24"/>
          <w:szCs w:val="24"/>
        </w:rPr>
        <w:t>Kassouf</w:t>
      </w:r>
      <w:proofErr w:type="spellEnd"/>
      <w:r w:rsidRPr="005B6FCA">
        <w:rPr>
          <w:rFonts w:ascii="Times New Roman" w:hAnsi="Times New Roman" w:cs="Times New Roman"/>
          <w:sz w:val="24"/>
          <w:szCs w:val="24"/>
        </w:rPr>
        <w:t xml:space="preserve"> (2012): quando o valor recebido não é suficiente para competir com a renda do trabalho informal, o incentivo educacional pode se tornar secundário. Para mitigar esse risco, seria necessário complementar o Pé de Meia com outras políticas de profissionalização, apoio psicológico e tutorias escolares.</w:t>
      </w:r>
    </w:p>
    <w:p w14:paraId="1B19FE3E" w14:textId="77777777" w:rsidR="005B6FCA" w:rsidRPr="005B6FCA"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Do ponto de vista financeiro, o programa também depende de sustentabilidade orçamentária. Com um custo anual estimado em R$ 12 bilhões, o Pé de Meia requer previsibilidade e proteção orçamentária para garantir sua continuidade. Isso implica institucionalizar a política por meio de lei específica e integrá-la a mecanismos permanentes do Fundeb ou do PPA (Plano Plurianual) (BRASIL, 2023a).</w:t>
      </w:r>
    </w:p>
    <w:p w14:paraId="4F3B5070" w14:textId="77777777" w:rsidR="005B6FCA" w:rsidRPr="005B6FCA"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lastRenderedPageBreak/>
        <w:t xml:space="preserve">É preciso considerar ainda o risco de descontinuidade política. Como se trata de uma política recente, o programa ainda está sujeito a alterações e fragilidades decorrentes de mudanças de governo ou de orientação econômica. Estudos de políticas públicas mostram que, para consolidar ações como essa, é fundamental ampliar o debate público, envolver a sociedade civil e garantir mecanismos de controle social (GERRING, 2007; </w:t>
      </w:r>
      <w:proofErr w:type="spellStart"/>
      <w:r w:rsidRPr="005B6FCA">
        <w:rPr>
          <w:rFonts w:ascii="Times New Roman" w:hAnsi="Times New Roman" w:cs="Times New Roman"/>
          <w:sz w:val="24"/>
          <w:szCs w:val="24"/>
        </w:rPr>
        <w:t>Stake</w:t>
      </w:r>
      <w:proofErr w:type="spellEnd"/>
      <w:r w:rsidRPr="005B6FCA">
        <w:rPr>
          <w:rFonts w:ascii="Times New Roman" w:hAnsi="Times New Roman" w:cs="Times New Roman"/>
          <w:sz w:val="24"/>
          <w:szCs w:val="24"/>
        </w:rPr>
        <w:t>, 2000).</w:t>
      </w:r>
    </w:p>
    <w:p w14:paraId="3189B034" w14:textId="77777777" w:rsidR="005B6FCA" w:rsidRPr="005B6FCA"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Portanto, a análise dos dados e do desenho do Pé de Meia revela uma política promissora, inovadora e baseada em evidências. Contudo, sua efetividade a longo prazo dependerá da capacidade de responder aos desafios operacionais, manter o financiamento público e criar redes de apoio ao estudante dentro e fora da escola. Integrar esse programa a uma visão mais ampla de juventude, direitos e desenvolvimento será decisivo para seu sucesso.</w:t>
      </w:r>
    </w:p>
    <w:p w14:paraId="1BF2B828" w14:textId="6F0AD714" w:rsidR="00FF6D14" w:rsidRPr="00C039B1" w:rsidRDefault="00C039B1" w:rsidP="00C039B1">
      <w:pPr>
        <w:pStyle w:val="PargrafodaLista"/>
        <w:numPr>
          <w:ilvl w:val="0"/>
          <w:numId w:val="3"/>
        </w:numPr>
        <w:spacing w:before="240" w:after="0" w:line="360" w:lineRule="auto"/>
        <w:jc w:val="both"/>
        <w:rPr>
          <w:rFonts w:ascii="Times New Roman" w:hAnsi="Times New Roman" w:cs="Times New Roman"/>
          <w:b/>
          <w:bCs/>
          <w:sz w:val="24"/>
          <w:szCs w:val="24"/>
        </w:rPr>
      </w:pPr>
      <w:r w:rsidRPr="00C039B1">
        <w:rPr>
          <w:rFonts w:ascii="Times New Roman" w:hAnsi="Times New Roman" w:cs="Times New Roman"/>
          <w:b/>
          <w:bCs/>
          <w:sz w:val="24"/>
          <w:szCs w:val="24"/>
        </w:rPr>
        <w:t>CONSIDERAÇÕES FINAIS</w:t>
      </w:r>
    </w:p>
    <w:p w14:paraId="2818D5AE" w14:textId="4A37D6FB" w:rsidR="005B6FCA" w:rsidRPr="005B6FCA" w:rsidRDefault="00C039B1"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O</w:t>
      </w:r>
      <w:r w:rsidR="00F569B7" w:rsidRPr="005B6FCA">
        <w:rPr>
          <w:rFonts w:ascii="Times New Roman" w:hAnsi="Times New Roman" w:cs="Times New Roman"/>
          <w:sz w:val="24"/>
          <w:szCs w:val="24"/>
        </w:rPr>
        <w:t xml:space="preserve"> </w:t>
      </w:r>
      <w:r w:rsidR="005B6FCA" w:rsidRPr="005B6FCA">
        <w:rPr>
          <w:rFonts w:ascii="Times New Roman" w:hAnsi="Times New Roman" w:cs="Times New Roman"/>
          <w:sz w:val="24"/>
          <w:szCs w:val="24"/>
        </w:rPr>
        <w:t>Programa Pé de Meia representa uma das políticas públicas mais inovadoras no campo da educação brasileira dos últimos anos, por aliar transferência de renda à promoção da permanência escolar no Ensino Médio. Ao reconhecer a desigualdade socioeconômica como uma das principais causas da evasão, o programa rompe com abordagens puramente pedagógicas e propõe uma resposta concreta e estruturada, com base em evidências e experiências internacionais de sucesso.</w:t>
      </w:r>
    </w:p>
    <w:p w14:paraId="5BCA2A62" w14:textId="77777777" w:rsidR="005B6FCA" w:rsidRPr="005B6FCA"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Sua principal inovação está na criação de uma poupança educacional vinculada ao desempenho escolar, o que amplia o horizonte do benefício financeiro e incentiva o planejamento de vida dos estudantes. Trata-se de um modelo de ponta porque vai além da simples assistência social: atua preventivamente, gera vínculos com a escola, promove cidadania e estimula o protagonismo juvenil. Ao mesmo tempo, fortalece a articulação intergovernamental e insere a escola como espaço estratégico de proteção social.</w:t>
      </w:r>
    </w:p>
    <w:p w14:paraId="75C8D7F3" w14:textId="77777777" w:rsidR="005B6FCA" w:rsidRPr="005B6FCA"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Os benefícios do programa são múltiplos: combate à evasão, estímulo à frequência, aumento da taxa de conclusão do Ensino Médio, reforço ao direito à educação e redução das desigualdades regionais e de gênero. Além disso, seus efeitos extrapolam a sala de aula, pois impactam positivamente a renda familiar, a autoestima dos jovens e suas expectativas futuras de trabalho e estudo. A estrutura de governança e monitoramento baseada em dados ainda o torna um exemplo de política educacional moderna e tecnicamente bem formulada.</w:t>
      </w:r>
    </w:p>
    <w:p w14:paraId="35118A20" w14:textId="77777777" w:rsidR="005B6FCA" w:rsidRPr="005B6FCA"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 xml:space="preserve">Por essas razões, o Pé de Meia deve ser objeto de estudo contínuo por pesquisadores da área de educação, economia social, políticas públicas e juventude. Analisar seu impacto quantitativo e qualitativo permitirá compreender suas potencialidades e limitações, bem como subsidiar decisões futuras sobre sua ampliação, replicação e aprimoramento. O Brasil precisa </w:t>
      </w:r>
      <w:r w:rsidRPr="005B6FCA">
        <w:rPr>
          <w:rFonts w:ascii="Times New Roman" w:hAnsi="Times New Roman" w:cs="Times New Roman"/>
          <w:sz w:val="24"/>
          <w:szCs w:val="24"/>
        </w:rPr>
        <w:lastRenderedPageBreak/>
        <w:t>de mais políticas como essa: universais, focalizadas, baseadas em direitos e com metas mensuráveis.</w:t>
      </w:r>
    </w:p>
    <w:p w14:paraId="6509A2A8" w14:textId="0AF092AE" w:rsidR="00C039B1" w:rsidRPr="005B6FCA" w:rsidRDefault="005B6FCA" w:rsidP="005B6FCA">
      <w:pPr>
        <w:spacing w:after="0" w:line="360" w:lineRule="auto"/>
        <w:ind w:firstLine="709"/>
        <w:jc w:val="both"/>
        <w:rPr>
          <w:rFonts w:ascii="Times New Roman" w:hAnsi="Times New Roman" w:cs="Times New Roman"/>
          <w:sz w:val="24"/>
          <w:szCs w:val="24"/>
        </w:rPr>
      </w:pPr>
      <w:r w:rsidRPr="005B6FCA">
        <w:rPr>
          <w:rFonts w:ascii="Times New Roman" w:hAnsi="Times New Roman" w:cs="Times New Roman"/>
          <w:sz w:val="24"/>
          <w:szCs w:val="24"/>
        </w:rPr>
        <w:t>No entanto, o sucesso do programa depende de aperfeiçoamentos. É necessário investir na digitalização das escolas, criar mecanismos de escuta e acompanhamento psicossocial, prever contrapartidas pedagógicas mais consistentes e garantir segurança orçamentária com respaldo legal. Com esses ajustes, o Programa Pé de Meia poderá se consolidar como modelo de referência na América Latina em políticas de permanência escolar, promovendo justiça educacional com base na equidade e no direito à aprendizagem.</w:t>
      </w:r>
    </w:p>
    <w:p w14:paraId="2610716C" w14:textId="149EBE3F" w:rsidR="00C039B1" w:rsidRDefault="00C039B1" w:rsidP="00C039B1">
      <w:pPr>
        <w:spacing w:after="0"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28F5402B" w14:textId="57983B11" w:rsidR="00C039B1" w:rsidRPr="00C039B1" w:rsidRDefault="00C039B1" w:rsidP="00C039B1">
      <w:pPr>
        <w:spacing w:after="0" w:line="360" w:lineRule="auto"/>
        <w:jc w:val="both"/>
        <w:rPr>
          <w:rFonts w:ascii="Times New Roman" w:hAnsi="Times New Roman" w:cs="Times New Roman"/>
          <w:b/>
          <w:bCs/>
          <w:sz w:val="24"/>
          <w:szCs w:val="24"/>
        </w:rPr>
      </w:pPr>
      <w:r w:rsidRPr="00C039B1">
        <w:rPr>
          <w:rFonts w:ascii="Times New Roman" w:hAnsi="Times New Roman" w:cs="Times New Roman"/>
          <w:b/>
          <w:bCs/>
          <w:sz w:val="24"/>
          <w:szCs w:val="24"/>
        </w:rPr>
        <w:lastRenderedPageBreak/>
        <w:t>REFERÊNCIAS BIBLIOGRÁFICAS</w:t>
      </w:r>
    </w:p>
    <w:p w14:paraId="489AF6BD" w14:textId="77777777" w:rsidR="00CA163B" w:rsidRPr="00CA163B" w:rsidRDefault="00CA163B" w:rsidP="00CA163B">
      <w:pPr>
        <w:spacing w:before="240" w:after="0" w:line="240" w:lineRule="auto"/>
        <w:rPr>
          <w:rFonts w:ascii="Times New Roman" w:hAnsi="Times New Roman" w:cs="Times New Roman"/>
          <w:sz w:val="24"/>
          <w:szCs w:val="24"/>
        </w:rPr>
      </w:pPr>
      <w:r w:rsidRPr="00CA163B">
        <w:rPr>
          <w:rFonts w:ascii="Times New Roman" w:hAnsi="Times New Roman" w:cs="Times New Roman"/>
          <w:sz w:val="24"/>
          <w:szCs w:val="24"/>
        </w:rPr>
        <w:t xml:space="preserve">ATTANASIO, O. et al. </w:t>
      </w:r>
      <w:proofErr w:type="spellStart"/>
      <w:r w:rsidRPr="00CA163B">
        <w:rPr>
          <w:rFonts w:ascii="Times New Roman" w:hAnsi="Times New Roman" w:cs="Times New Roman"/>
          <w:sz w:val="24"/>
          <w:szCs w:val="24"/>
        </w:rPr>
        <w:t>Conditional</w:t>
      </w:r>
      <w:proofErr w:type="spellEnd"/>
      <w:r w:rsidRPr="00CA163B">
        <w:rPr>
          <w:rFonts w:ascii="Times New Roman" w:hAnsi="Times New Roman" w:cs="Times New Roman"/>
          <w:sz w:val="24"/>
          <w:szCs w:val="24"/>
        </w:rPr>
        <w:t xml:space="preserve"> Cash </w:t>
      </w:r>
      <w:proofErr w:type="spellStart"/>
      <w:r w:rsidRPr="00CA163B">
        <w:rPr>
          <w:rFonts w:ascii="Times New Roman" w:hAnsi="Times New Roman" w:cs="Times New Roman"/>
          <w:sz w:val="24"/>
          <w:szCs w:val="24"/>
        </w:rPr>
        <w:t>Transfers</w:t>
      </w:r>
      <w:proofErr w:type="spellEnd"/>
      <w:r w:rsidRPr="00CA163B">
        <w:rPr>
          <w:rFonts w:ascii="Times New Roman" w:hAnsi="Times New Roman" w:cs="Times New Roman"/>
          <w:sz w:val="24"/>
          <w:szCs w:val="24"/>
        </w:rPr>
        <w:t xml:space="preserve"> in </w:t>
      </w:r>
      <w:proofErr w:type="spellStart"/>
      <w:r w:rsidRPr="00CA163B">
        <w:rPr>
          <w:rFonts w:ascii="Times New Roman" w:hAnsi="Times New Roman" w:cs="Times New Roman"/>
          <w:sz w:val="24"/>
          <w:szCs w:val="24"/>
        </w:rPr>
        <w:t>Education</w:t>
      </w:r>
      <w:proofErr w:type="spellEnd"/>
      <w:r w:rsidRPr="00CA163B">
        <w:rPr>
          <w:rFonts w:ascii="Times New Roman" w:hAnsi="Times New Roman" w:cs="Times New Roman"/>
          <w:sz w:val="24"/>
          <w:szCs w:val="24"/>
        </w:rPr>
        <w:t xml:space="preserve">: Design Features, </w:t>
      </w:r>
      <w:proofErr w:type="spellStart"/>
      <w:r w:rsidRPr="00CA163B">
        <w:rPr>
          <w:rFonts w:ascii="Times New Roman" w:hAnsi="Times New Roman" w:cs="Times New Roman"/>
          <w:sz w:val="24"/>
          <w:szCs w:val="24"/>
        </w:rPr>
        <w:t>Peer</w:t>
      </w:r>
      <w:proofErr w:type="spellEnd"/>
      <w:r w:rsidRPr="00CA163B">
        <w:rPr>
          <w:rFonts w:ascii="Times New Roman" w:hAnsi="Times New Roman" w:cs="Times New Roman"/>
          <w:sz w:val="24"/>
          <w:szCs w:val="24"/>
        </w:rPr>
        <w:t xml:space="preserve"> </w:t>
      </w:r>
      <w:proofErr w:type="spellStart"/>
      <w:r w:rsidRPr="00CA163B">
        <w:rPr>
          <w:rFonts w:ascii="Times New Roman" w:hAnsi="Times New Roman" w:cs="Times New Roman"/>
          <w:sz w:val="24"/>
          <w:szCs w:val="24"/>
        </w:rPr>
        <w:t>and</w:t>
      </w:r>
      <w:proofErr w:type="spellEnd"/>
      <w:r w:rsidRPr="00CA163B">
        <w:rPr>
          <w:rFonts w:ascii="Times New Roman" w:hAnsi="Times New Roman" w:cs="Times New Roman"/>
          <w:sz w:val="24"/>
          <w:szCs w:val="24"/>
        </w:rPr>
        <w:t xml:space="preserve"> Sibling </w:t>
      </w:r>
      <w:proofErr w:type="spellStart"/>
      <w:r w:rsidRPr="00CA163B">
        <w:rPr>
          <w:rFonts w:ascii="Times New Roman" w:hAnsi="Times New Roman" w:cs="Times New Roman"/>
          <w:sz w:val="24"/>
          <w:szCs w:val="24"/>
        </w:rPr>
        <w:t>Effects</w:t>
      </w:r>
      <w:proofErr w:type="spellEnd"/>
      <w:r w:rsidRPr="00CA163B">
        <w:rPr>
          <w:rFonts w:ascii="Times New Roman" w:hAnsi="Times New Roman" w:cs="Times New Roman"/>
          <w:sz w:val="24"/>
          <w:szCs w:val="24"/>
        </w:rPr>
        <w:t xml:space="preserve">. </w:t>
      </w:r>
      <w:r w:rsidRPr="00CA163B">
        <w:rPr>
          <w:rFonts w:ascii="Times New Roman" w:hAnsi="Times New Roman" w:cs="Times New Roman"/>
          <w:i/>
          <w:iCs/>
          <w:sz w:val="24"/>
          <w:szCs w:val="24"/>
        </w:rPr>
        <w:t xml:space="preserve">American Economic </w:t>
      </w:r>
      <w:proofErr w:type="spellStart"/>
      <w:r w:rsidRPr="00CA163B">
        <w:rPr>
          <w:rFonts w:ascii="Times New Roman" w:hAnsi="Times New Roman" w:cs="Times New Roman"/>
          <w:i/>
          <w:iCs/>
          <w:sz w:val="24"/>
          <w:szCs w:val="24"/>
        </w:rPr>
        <w:t>Journal</w:t>
      </w:r>
      <w:proofErr w:type="spellEnd"/>
      <w:r w:rsidRPr="00CA163B">
        <w:rPr>
          <w:rFonts w:ascii="Times New Roman" w:hAnsi="Times New Roman" w:cs="Times New Roman"/>
          <w:i/>
          <w:iCs/>
          <w:sz w:val="24"/>
          <w:szCs w:val="24"/>
        </w:rPr>
        <w:t xml:space="preserve">: Applied </w:t>
      </w:r>
      <w:proofErr w:type="spellStart"/>
      <w:r w:rsidRPr="00CA163B">
        <w:rPr>
          <w:rFonts w:ascii="Times New Roman" w:hAnsi="Times New Roman" w:cs="Times New Roman"/>
          <w:i/>
          <w:iCs/>
          <w:sz w:val="24"/>
          <w:szCs w:val="24"/>
        </w:rPr>
        <w:t>Economics</w:t>
      </w:r>
      <w:proofErr w:type="spellEnd"/>
      <w:r w:rsidRPr="00CA163B">
        <w:rPr>
          <w:rFonts w:ascii="Times New Roman" w:hAnsi="Times New Roman" w:cs="Times New Roman"/>
          <w:sz w:val="24"/>
          <w:szCs w:val="24"/>
        </w:rPr>
        <w:t>, v. 3, n. 2, p. 1–28, 2010.</w:t>
      </w:r>
    </w:p>
    <w:p w14:paraId="7BF88A45" w14:textId="77777777" w:rsidR="00CA163B" w:rsidRPr="00CA163B" w:rsidRDefault="00CA163B" w:rsidP="00CA163B">
      <w:pPr>
        <w:spacing w:before="240" w:after="0" w:line="240" w:lineRule="auto"/>
        <w:rPr>
          <w:rFonts w:ascii="Times New Roman" w:hAnsi="Times New Roman" w:cs="Times New Roman"/>
          <w:sz w:val="24"/>
          <w:szCs w:val="24"/>
        </w:rPr>
      </w:pPr>
      <w:r w:rsidRPr="00CA163B">
        <w:rPr>
          <w:rFonts w:ascii="Times New Roman" w:hAnsi="Times New Roman" w:cs="Times New Roman"/>
          <w:sz w:val="24"/>
          <w:szCs w:val="24"/>
        </w:rPr>
        <w:t xml:space="preserve">BASTAGLI, F. et al. </w:t>
      </w:r>
      <w:r w:rsidRPr="00CA163B">
        <w:rPr>
          <w:rFonts w:ascii="Times New Roman" w:hAnsi="Times New Roman" w:cs="Times New Roman"/>
          <w:i/>
          <w:iCs/>
          <w:sz w:val="24"/>
          <w:szCs w:val="24"/>
        </w:rPr>
        <w:t xml:space="preserve">Cash </w:t>
      </w:r>
      <w:proofErr w:type="spellStart"/>
      <w:r w:rsidRPr="00CA163B">
        <w:rPr>
          <w:rFonts w:ascii="Times New Roman" w:hAnsi="Times New Roman" w:cs="Times New Roman"/>
          <w:i/>
          <w:iCs/>
          <w:sz w:val="24"/>
          <w:szCs w:val="24"/>
        </w:rPr>
        <w:t>transfers</w:t>
      </w:r>
      <w:proofErr w:type="spellEnd"/>
      <w:r w:rsidRPr="00CA163B">
        <w:rPr>
          <w:rFonts w:ascii="Times New Roman" w:hAnsi="Times New Roman" w:cs="Times New Roman"/>
          <w:i/>
          <w:iCs/>
          <w:sz w:val="24"/>
          <w:szCs w:val="24"/>
        </w:rPr>
        <w:t xml:space="preserve">: </w:t>
      </w:r>
      <w:proofErr w:type="spellStart"/>
      <w:r w:rsidRPr="00CA163B">
        <w:rPr>
          <w:rFonts w:ascii="Times New Roman" w:hAnsi="Times New Roman" w:cs="Times New Roman"/>
          <w:i/>
          <w:iCs/>
          <w:sz w:val="24"/>
          <w:szCs w:val="24"/>
        </w:rPr>
        <w:t>what</w:t>
      </w:r>
      <w:proofErr w:type="spellEnd"/>
      <w:r w:rsidRPr="00CA163B">
        <w:rPr>
          <w:rFonts w:ascii="Times New Roman" w:hAnsi="Times New Roman" w:cs="Times New Roman"/>
          <w:i/>
          <w:iCs/>
          <w:sz w:val="24"/>
          <w:szCs w:val="24"/>
        </w:rPr>
        <w:t xml:space="preserve"> does </w:t>
      </w:r>
      <w:proofErr w:type="spellStart"/>
      <w:r w:rsidRPr="00CA163B">
        <w:rPr>
          <w:rFonts w:ascii="Times New Roman" w:hAnsi="Times New Roman" w:cs="Times New Roman"/>
          <w:i/>
          <w:iCs/>
          <w:sz w:val="24"/>
          <w:szCs w:val="24"/>
        </w:rPr>
        <w:t>the</w:t>
      </w:r>
      <w:proofErr w:type="spellEnd"/>
      <w:r w:rsidRPr="00CA163B">
        <w:rPr>
          <w:rFonts w:ascii="Times New Roman" w:hAnsi="Times New Roman" w:cs="Times New Roman"/>
          <w:i/>
          <w:iCs/>
          <w:sz w:val="24"/>
          <w:szCs w:val="24"/>
        </w:rPr>
        <w:t xml:space="preserve"> </w:t>
      </w:r>
      <w:proofErr w:type="spellStart"/>
      <w:r w:rsidRPr="00CA163B">
        <w:rPr>
          <w:rFonts w:ascii="Times New Roman" w:hAnsi="Times New Roman" w:cs="Times New Roman"/>
          <w:i/>
          <w:iCs/>
          <w:sz w:val="24"/>
          <w:szCs w:val="24"/>
        </w:rPr>
        <w:t>evidence</w:t>
      </w:r>
      <w:proofErr w:type="spellEnd"/>
      <w:r w:rsidRPr="00CA163B">
        <w:rPr>
          <w:rFonts w:ascii="Times New Roman" w:hAnsi="Times New Roman" w:cs="Times New Roman"/>
          <w:i/>
          <w:iCs/>
          <w:sz w:val="24"/>
          <w:szCs w:val="24"/>
        </w:rPr>
        <w:t xml:space="preserve"> </w:t>
      </w:r>
      <w:proofErr w:type="spellStart"/>
      <w:r w:rsidRPr="00CA163B">
        <w:rPr>
          <w:rFonts w:ascii="Times New Roman" w:hAnsi="Times New Roman" w:cs="Times New Roman"/>
          <w:i/>
          <w:iCs/>
          <w:sz w:val="24"/>
          <w:szCs w:val="24"/>
        </w:rPr>
        <w:t>say</w:t>
      </w:r>
      <w:proofErr w:type="spellEnd"/>
      <w:r w:rsidRPr="00CA163B">
        <w:rPr>
          <w:rFonts w:ascii="Times New Roman" w:hAnsi="Times New Roman" w:cs="Times New Roman"/>
          <w:i/>
          <w:iCs/>
          <w:sz w:val="24"/>
          <w:szCs w:val="24"/>
        </w:rPr>
        <w:t>?</w:t>
      </w:r>
      <w:r w:rsidRPr="00CA163B">
        <w:rPr>
          <w:rFonts w:ascii="Times New Roman" w:hAnsi="Times New Roman" w:cs="Times New Roman"/>
          <w:sz w:val="24"/>
          <w:szCs w:val="24"/>
        </w:rPr>
        <w:t xml:space="preserve"> A </w:t>
      </w:r>
      <w:proofErr w:type="spellStart"/>
      <w:r w:rsidRPr="00CA163B">
        <w:rPr>
          <w:rFonts w:ascii="Times New Roman" w:hAnsi="Times New Roman" w:cs="Times New Roman"/>
          <w:sz w:val="24"/>
          <w:szCs w:val="24"/>
        </w:rPr>
        <w:t>rigorous</w:t>
      </w:r>
      <w:proofErr w:type="spellEnd"/>
      <w:r w:rsidRPr="00CA163B">
        <w:rPr>
          <w:rFonts w:ascii="Times New Roman" w:hAnsi="Times New Roman" w:cs="Times New Roman"/>
          <w:sz w:val="24"/>
          <w:szCs w:val="24"/>
        </w:rPr>
        <w:t xml:space="preserve"> review </w:t>
      </w:r>
      <w:proofErr w:type="spellStart"/>
      <w:r w:rsidRPr="00CA163B">
        <w:rPr>
          <w:rFonts w:ascii="Times New Roman" w:hAnsi="Times New Roman" w:cs="Times New Roman"/>
          <w:sz w:val="24"/>
          <w:szCs w:val="24"/>
        </w:rPr>
        <w:t>of</w:t>
      </w:r>
      <w:proofErr w:type="spellEnd"/>
      <w:r w:rsidRPr="00CA163B">
        <w:rPr>
          <w:rFonts w:ascii="Times New Roman" w:hAnsi="Times New Roman" w:cs="Times New Roman"/>
          <w:sz w:val="24"/>
          <w:szCs w:val="24"/>
        </w:rPr>
        <w:t xml:space="preserve"> </w:t>
      </w:r>
      <w:proofErr w:type="spellStart"/>
      <w:r w:rsidRPr="00CA163B">
        <w:rPr>
          <w:rFonts w:ascii="Times New Roman" w:hAnsi="Times New Roman" w:cs="Times New Roman"/>
          <w:sz w:val="24"/>
          <w:szCs w:val="24"/>
        </w:rPr>
        <w:t>impacts</w:t>
      </w:r>
      <w:proofErr w:type="spellEnd"/>
      <w:r w:rsidRPr="00CA163B">
        <w:rPr>
          <w:rFonts w:ascii="Times New Roman" w:hAnsi="Times New Roman" w:cs="Times New Roman"/>
          <w:sz w:val="24"/>
          <w:szCs w:val="24"/>
        </w:rPr>
        <w:t xml:space="preserve"> </w:t>
      </w:r>
      <w:proofErr w:type="spellStart"/>
      <w:r w:rsidRPr="00CA163B">
        <w:rPr>
          <w:rFonts w:ascii="Times New Roman" w:hAnsi="Times New Roman" w:cs="Times New Roman"/>
          <w:sz w:val="24"/>
          <w:szCs w:val="24"/>
        </w:rPr>
        <w:t>and</w:t>
      </w:r>
      <w:proofErr w:type="spellEnd"/>
      <w:r w:rsidRPr="00CA163B">
        <w:rPr>
          <w:rFonts w:ascii="Times New Roman" w:hAnsi="Times New Roman" w:cs="Times New Roman"/>
          <w:sz w:val="24"/>
          <w:szCs w:val="24"/>
        </w:rPr>
        <w:t xml:space="preserve"> </w:t>
      </w:r>
      <w:proofErr w:type="spellStart"/>
      <w:r w:rsidRPr="00CA163B">
        <w:rPr>
          <w:rFonts w:ascii="Times New Roman" w:hAnsi="Times New Roman" w:cs="Times New Roman"/>
          <w:sz w:val="24"/>
          <w:szCs w:val="24"/>
        </w:rPr>
        <w:t>the</w:t>
      </w:r>
      <w:proofErr w:type="spellEnd"/>
      <w:r w:rsidRPr="00CA163B">
        <w:rPr>
          <w:rFonts w:ascii="Times New Roman" w:hAnsi="Times New Roman" w:cs="Times New Roman"/>
          <w:sz w:val="24"/>
          <w:szCs w:val="24"/>
        </w:rPr>
        <w:t xml:space="preserve"> role </w:t>
      </w:r>
      <w:proofErr w:type="spellStart"/>
      <w:r w:rsidRPr="00CA163B">
        <w:rPr>
          <w:rFonts w:ascii="Times New Roman" w:hAnsi="Times New Roman" w:cs="Times New Roman"/>
          <w:sz w:val="24"/>
          <w:szCs w:val="24"/>
        </w:rPr>
        <w:t>of</w:t>
      </w:r>
      <w:proofErr w:type="spellEnd"/>
      <w:r w:rsidRPr="00CA163B">
        <w:rPr>
          <w:rFonts w:ascii="Times New Roman" w:hAnsi="Times New Roman" w:cs="Times New Roman"/>
          <w:sz w:val="24"/>
          <w:szCs w:val="24"/>
        </w:rPr>
        <w:t xml:space="preserve"> design </w:t>
      </w:r>
      <w:proofErr w:type="spellStart"/>
      <w:r w:rsidRPr="00CA163B">
        <w:rPr>
          <w:rFonts w:ascii="Times New Roman" w:hAnsi="Times New Roman" w:cs="Times New Roman"/>
          <w:sz w:val="24"/>
          <w:szCs w:val="24"/>
        </w:rPr>
        <w:t>and</w:t>
      </w:r>
      <w:proofErr w:type="spellEnd"/>
      <w:r w:rsidRPr="00CA163B">
        <w:rPr>
          <w:rFonts w:ascii="Times New Roman" w:hAnsi="Times New Roman" w:cs="Times New Roman"/>
          <w:sz w:val="24"/>
          <w:szCs w:val="24"/>
        </w:rPr>
        <w:t xml:space="preserve"> </w:t>
      </w:r>
      <w:proofErr w:type="spellStart"/>
      <w:r w:rsidRPr="00CA163B">
        <w:rPr>
          <w:rFonts w:ascii="Times New Roman" w:hAnsi="Times New Roman" w:cs="Times New Roman"/>
          <w:sz w:val="24"/>
          <w:szCs w:val="24"/>
        </w:rPr>
        <w:t>implementation</w:t>
      </w:r>
      <w:proofErr w:type="spellEnd"/>
      <w:r w:rsidRPr="00CA163B">
        <w:rPr>
          <w:rFonts w:ascii="Times New Roman" w:hAnsi="Times New Roman" w:cs="Times New Roman"/>
          <w:sz w:val="24"/>
          <w:szCs w:val="24"/>
        </w:rPr>
        <w:t xml:space="preserve"> features. Londres: ODI, 2016. Disponível em: https://odi.org/en/publications/cash-transfers-what-does-the-evidence-say/. Acesso em: 2 maio 2025.</w:t>
      </w:r>
    </w:p>
    <w:p w14:paraId="08DD8290" w14:textId="77777777" w:rsidR="00CA163B" w:rsidRPr="00CA163B" w:rsidRDefault="00CA163B" w:rsidP="00CA163B">
      <w:pPr>
        <w:spacing w:before="240" w:after="0" w:line="240" w:lineRule="auto"/>
        <w:rPr>
          <w:rFonts w:ascii="Times New Roman" w:hAnsi="Times New Roman" w:cs="Times New Roman"/>
          <w:sz w:val="24"/>
          <w:szCs w:val="24"/>
        </w:rPr>
      </w:pPr>
      <w:r w:rsidRPr="00CA163B">
        <w:rPr>
          <w:rFonts w:ascii="Times New Roman" w:hAnsi="Times New Roman" w:cs="Times New Roman"/>
          <w:sz w:val="24"/>
          <w:szCs w:val="24"/>
        </w:rPr>
        <w:t xml:space="preserve">BECKER, G. S. </w:t>
      </w:r>
      <w:proofErr w:type="spellStart"/>
      <w:r w:rsidRPr="00CA163B">
        <w:rPr>
          <w:rFonts w:ascii="Times New Roman" w:hAnsi="Times New Roman" w:cs="Times New Roman"/>
          <w:i/>
          <w:iCs/>
          <w:sz w:val="24"/>
          <w:szCs w:val="24"/>
        </w:rPr>
        <w:t>Human</w:t>
      </w:r>
      <w:proofErr w:type="spellEnd"/>
      <w:r w:rsidRPr="00CA163B">
        <w:rPr>
          <w:rFonts w:ascii="Times New Roman" w:hAnsi="Times New Roman" w:cs="Times New Roman"/>
          <w:i/>
          <w:iCs/>
          <w:sz w:val="24"/>
          <w:szCs w:val="24"/>
        </w:rPr>
        <w:t xml:space="preserve"> Capital: A </w:t>
      </w:r>
      <w:proofErr w:type="spellStart"/>
      <w:r w:rsidRPr="00CA163B">
        <w:rPr>
          <w:rFonts w:ascii="Times New Roman" w:hAnsi="Times New Roman" w:cs="Times New Roman"/>
          <w:i/>
          <w:iCs/>
          <w:sz w:val="24"/>
          <w:szCs w:val="24"/>
        </w:rPr>
        <w:t>Theoretical</w:t>
      </w:r>
      <w:proofErr w:type="spellEnd"/>
      <w:r w:rsidRPr="00CA163B">
        <w:rPr>
          <w:rFonts w:ascii="Times New Roman" w:hAnsi="Times New Roman" w:cs="Times New Roman"/>
          <w:i/>
          <w:iCs/>
          <w:sz w:val="24"/>
          <w:szCs w:val="24"/>
        </w:rPr>
        <w:t xml:space="preserve"> </w:t>
      </w:r>
      <w:proofErr w:type="spellStart"/>
      <w:r w:rsidRPr="00CA163B">
        <w:rPr>
          <w:rFonts w:ascii="Times New Roman" w:hAnsi="Times New Roman" w:cs="Times New Roman"/>
          <w:i/>
          <w:iCs/>
          <w:sz w:val="24"/>
          <w:szCs w:val="24"/>
        </w:rPr>
        <w:t>and</w:t>
      </w:r>
      <w:proofErr w:type="spellEnd"/>
      <w:r w:rsidRPr="00CA163B">
        <w:rPr>
          <w:rFonts w:ascii="Times New Roman" w:hAnsi="Times New Roman" w:cs="Times New Roman"/>
          <w:i/>
          <w:iCs/>
          <w:sz w:val="24"/>
          <w:szCs w:val="24"/>
        </w:rPr>
        <w:t xml:space="preserve"> </w:t>
      </w:r>
      <w:proofErr w:type="spellStart"/>
      <w:r w:rsidRPr="00CA163B">
        <w:rPr>
          <w:rFonts w:ascii="Times New Roman" w:hAnsi="Times New Roman" w:cs="Times New Roman"/>
          <w:i/>
          <w:iCs/>
          <w:sz w:val="24"/>
          <w:szCs w:val="24"/>
        </w:rPr>
        <w:t>Empirical</w:t>
      </w:r>
      <w:proofErr w:type="spellEnd"/>
      <w:r w:rsidRPr="00CA163B">
        <w:rPr>
          <w:rFonts w:ascii="Times New Roman" w:hAnsi="Times New Roman" w:cs="Times New Roman"/>
          <w:i/>
          <w:iCs/>
          <w:sz w:val="24"/>
          <w:szCs w:val="24"/>
        </w:rPr>
        <w:t xml:space="preserve"> </w:t>
      </w:r>
      <w:proofErr w:type="spellStart"/>
      <w:r w:rsidRPr="00CA163B">
        <w:rPr>
          <w:rFonts w:ascii="Times New Roman" w:hAnsi="Times New Roman" w:cs="Times New Roman"/>
          <w:i/>
          <w:iCs/>
          <w:sz w:val="24"/>
          <w:szCs w:val="24"/>
        </w:rPr>
        <w:t>Analysis</w:t>
      </w:r>
      <w:proofErr w:type="spellEnd"/>
      <w:r w:rsidRPr="00CA163B">
        <w:rPr>
          <w:rFonts w:ascii="Times New Roman" w:hAnsi="Times New Roman" w:cs="Times New Roman"/>
          <w:i/>
          <w:iCs/>
          <w:sz w:val="24"/>
          <w:szCs w:val="24"/>
        </w:rPr>
        <w:t xml:space="preserve">, </w:t>
      </w:r>
      <w:proofErr w:type="spellStart"/>
      <w:r w:rsidRPr="00CA163B">
        <w:rPr>
          <w:rFonts w:ascii="Times New Roman" w:hAnsi="Times New Roman" w:cs="Times New Roman"/>
          <w:i/>
          <w:iCs/>
          <w:sz w:val="24"/>
          <w:szCs w:val="24"/>
        </w:rPr>
        <w:t>with</w:t>
      </w:r>
      <w:proofErr w:type="spellEnd"/>
      <w:r w:rsidRPr="00CA163B">
        <w:rPr>
          <w:rFonts w:ascii="Times New Roman" w:hAnsi="Times New Roman" w:cs="Times New Roman"/>
          <w:i/>
          <w:iCs/>
          <w:sz w:val="24"/>
          <w:szCs w:val="24"/>
        </w:rPr>
        <w:t xml:space="preserve"> </w:t>
      </w:r>
      <w:proofErr w:type="spellStart"/>
      <w:r w:rsidRPr="00CA163B">
        <w:rPr>
          <w:rFonts w:ascii="Times New Roman" w:hAnsi="Times New Roman" w:cs="Times New Roman"/>
          <w:i/>
          <w:iCs/>
          <w:sz w:val="24"/>
          <w:szCs w:val="24"/>
        </w:rPr>
        <w:t>Special</w:t>
      </w:r>
      <w:proofErr w:type="spellEnd"/>
      <w:r w:rsidRPr="00CA163B">
        <w:rPr>
          <w:rFonts w:ascii="Times New Roman" w:hAnsi="Times New Roman" w:cs="Times New Roman"/>
          <w:i/>
          <w:iCs/>
          <w:sz w:val="24"/>
          <w:szCs w:val="24"/>
        </w:rPr>
        <w:t xml:space="preserve"> </w:t>
      </w:r>
      <w:proofErr w:type="spellStart"/>
      <w:r w:rsidRPr="00CA163B">
        <w:rPr>
          <w:rFonts w:ascii="Times New Roman" w:hAnsi="Times New Roman" w:cs="Times New Roman"/>
          <w:i/>
          <w:iCs/>
          <w:sz w:val="24"/>
          <w:szCs w:val="24"/>
        </w:rPr>
        <w:t>Reference</w:t>
      </w:r>
      <w:proofErr w:type="spellEnd"/>
      <w:r w:rsidRPr="00CA163B">
        <w:rPr>
          <w:rFonts w:ascii="Times New Roman" w:hAnsi="Times New Roman" w:cs="Times New Roman"/>
          <w:i/>
          <w:iCs/>
          <w:sz w:val="24"/>
          <w:szCs w:val="24"/>
        </w:rPr>
        <w:t xml:space="preserve"> </w:t>
      </w:r>
      <w:proofErr w:type="spellStart"/>
      <w:r w:rsidRPr="00CA163B">
        <w:rPr>
          <w:rFonts w:ascii="Times New Roman" w:hAnsi="Times New Roman" w:cs="Times New Roman"/>
          <w:i/>
          <w:iCs/>
          <w:sz w:val="24"/>
          <w:szCs w:val="24"/>
        </w:rPr>
        <w:t>to</w:t>
      </w:r>
      <w:proofErr w:type="spellEnd"/>
      <w:r w:rsidRPr="00CA163B">
        <w:rPr>
          <w:rFonts w:ascii="Times New Roman" w:hAnsi="Times New Roman" w:cs="Times New Roman"/>
          <w:i/>
          <w:iCs/>
          <w:sz w:val="24"/>
          <w:szCs w:val="24"/>
        </w:rPr>
        <w:t xml:space="preserve"> </w:t>
      </w:r>
      <w:proofErr w:type="spellStart"/>
      <w:r w:rsidRPr="00CA163B">
        <w:rPr>
          <w:rFonts w:ascii="Times New Roman" w:hAnsi="Times New Roman" w:cs="Times New Roman"/>
          <w:i/>
          <w:iCs/>
          <w:sz w:val="24"/>
          <w:szCs w:val="24"/>
        </w:rPr>
        <w:t>Education</w:t>
      </w:r>
      <w:proofErr w:type="spellEnd"/>
      <w:r w:rsidRPr="00CA163B">
        <w:rPr>
          <w:rFonts w:ascii="Times New Roman" w:hAnsi="Times New Roman" w:cs="Times New Roman"/>
          <w:sz w:val="24"/>
          <w:szCs w:val="24"/>
        </w:rPr>
        <w:t xml:space="preserve">. 3. ed. Chicago: The </w:t>
      </w:r>
      <w:proofErr w:type="spellStart"/>
      <w:r w:rsidRPr="00CA163B">
        <w:rPr>
          <w:rFonts w:ascii="Times New Roman" w:hAnsi="Times New Roman" w:cs="Times New Roman"/>
          <w:sz w:val="24"/>
          <w:szCs w:val="24"/>
        </w:rPr>
        <w:t>University</w:t>
      </w:r>
      <w:proofErr w:type="spellEnd"/>
      <w:r w:rsidRPr="00CA163B">
        <w:rPr>
          <w:rFonts w:ascii="Times New Roman" w:hAnsi="Times New Roman" w:cs="Times New Roman"/>
          <w:sz w:val="24"/>
          <w:szCs w:val="24"/>
        </w:rPr>
        <w:t xml:space="preserve"> </w:t>
      </w:r>
      <w:proofErr w:type="spellStart"/>
      <w:r w:rsidRPr="00CA163B">
        <w:rPr>
          <w:rFonts w:ascii="Times New Roman" w:hAnsi="Times New Roman" w:cs="Times New Roman"/>
          <w:sz w:val="24"/>
          <w:szCs w:val="24"/>
        </w:rPr>
        <w:t>of</w:t>
      </w:r>
      <w:proofErr w:type="spellEnd"/>
      <w:r w:rsidRPr="00CA163B">
        <w:rPr>
          <w:rFonts w:ascii="Times New Roman" w:hAnsi="Times New Roman" w:cs="Times New Roman"/>
          <w:sz w:val="24"/>
          <w:szCs w:val="24"/>
        </w:rPr>
        <w:t xml:space="preserve"> Chicago Press, 1964.</w:t>
      </w:r>
    </w:p>
    <w:p w14:paraId="34E68DC7" w14:textId="77777777" w:rsidR="00CA163B" w:rsidRPr="00CA163B" w:rsidRDefault="00CA163B" w:rsidP="00CA163B">
      <w:pPr>
        <w:spacing w:before="240" w:after="0" w:line="240" w:lineRule="auto"/>
        <w:rPr>
          <w:rFonts w:ascii="Times New Roman" w:hAnsi="Times New Roman" w:cs="Times New Roman"/>
          <w:sz w:val="24"/>
          <w:szCs w:val="24"/>
        </w:rPr>
      </w:pPr>
      <w:r w:rsidRPr="00CA163B">
        <w:rPr>
          <w:rFonts w:ascii="Times New Roman" w:hAnsi="Times New Roman" w:cs="Times New Roman"/>
          <w:sz w:val="24"/>
          <w:szCs w:val="24"/>
        </w:rPr>
        <w:t xml:space="preserve">BRASIL. Ministério da Educação. </w:t>
      </w:r>
      <w:r w:rsidRPr="00CA163B">
        <w:rPr>
          <w:rFonts w:ascii="Times New Roman" w:hAnsi="Times New Roman" w:cs="Times New Roman"/>
          <w:i/>
          <w:iCs/>
          <w:sz w:val="24"/>
          <w:szCs w:val="24"/>
        </w:rPr>
        <w:t>Perguntas frequentes sobre o Programa Pé de Meia</w:t>
      </w:r>
      <w:r w:rsidRPr="00CA163B">
        <w:rPr>
          <w:rFonts w:ascii="Times New Roman" w:hAnsi="Times New Roman" w:cs="Times New Roman"/>
          <w:sz w:val="24"/>
          <w:szCs w:val="24"/>
        </w:rPr>
        <w:t xml:space="preserve">. Brasília: MEC, 2024. Disponível em: </w:t>
      </w:r>
      <w:hyperlink r:id="rId8" w:tgtFrame="_new" w:history="1">
        <w:r w:rsidRPr="00CA163B">
          <w:rPr>
            <w:rStyle w:val="Hyperlink"/>
            <w:rFonts w:ascii="Times New Roman" w:hAnsi="Times New Roman" w:cs="Times New Roman"/>
            <w:color w:val="auto"/>
            <w:sz w:val="24"/>
            <w:szCs w:val="24"/>
            <w:u w:val="none"/>
          </w:rPr>
          <w:t>https://www.gov.br/mec/pt-br/pe-de-meia</w:t>
        </w:r>
      </w:hyperlink>
      <w:r w:rsidRPr="00CA163B">
        <w:rPr>
          <w:rFonts w:ascii="Times New Roman" w:hAnsi="Times New Roman" w:cs="Times New Roman"/>
          <w:sz w:val="24"/>
          <w:szCs w:val="24"/>
        </w:rPr>
        <w:t>. Acesso em: 2 maio 2025.</w:t>
      </w:r>
    </w:p>
    <w:p w14:paraId="0BD9DF5E" w14:textId="77777777" w:rsidR="00CA163B" w:rsidRPr="00CA163B" w:rsidRDefault="00CA163B" w:rsidP="00CA163B">
      <w:pPr>
        <w:spacing w:before="240" w:after="0" w:line="240" w:lineRule="auto"/>
        <w:rPr>
          <w:rFonts w:ascii="Times New Roman" w:hAnsi="Times New Roman" w:cs="Times New Roman"/>
          <w:sz w:val="24"/>
          <w:szCs w:val="24"/>
        </w:rPr>
      </w:pPr>
      <w:r w:rsidRPr="00CA163B">
        <w:rPr>
          <w:rFonts w:ascii="Times New Roman" w:hAnsi="Times New Roman" w:cs="Times New Roman"/>
          <w:sz w:val="24"/>
          <w:szCs w:val="24"/>
        </w:rPr>
        <w:t xml:space="preserve">BRASIL. Ministério da Educação. </w:t>
      </w:r>
      <w:r w:rsidRPr="00CA163B">
        <w:rPr>
          <w:rFonts w:ascii="Times New Roman" w:hAnsi="Times New Roman" w:cs="Times New Roman"/>
          <w:i/>
          <w:iCs/>
          <w:sz w:val="24"/>
          <w:szCs w:val="24"/>
        </w:rPr>
        <w:t>Plano de Monitoramento e Avaliação do Programa Pé de Meia</w:t>
      </w:r>
      <w:r w:rsidRPr="00CA163B">
        <w:rPr>
          <w:rFonts w:ascii="Times New Roman" w:hAnsi="Times New Roman" w:cs="Times New Roman"/>
          <w:sz w:val="24"/>
          <w:szCs w:val="24"/>
        </w:rPr>
        <w:t xml:space="preserve">. Brasília: MEC, 2024. Disponível em: </w:t>
      </w:r>
      <w:hyperlink r:id="rId9" w:tgtFrame="_new" w:history="1">
        <w:r w:rsidRPr="00CA163B">
          <w:rPr>
            <w:rStyle w:val="Hyperlink"/>
            <w:rFonts w:ascii="Times New Roman" w:hAnsi="Times New Roman" w:cs="Times New Roman"/>
            <w:color w:val="auto"/>
            <w:sz w:val="24"/>
            <w:szCs w:val="24"/>
            <w:u w:val="none"/>
          </w:rPr>
          <w:t>https://www.gov.br/mec/pt-br/pe-de-meia/documentos/plano-monitoramento-avaliacao.pdf</w:t>
        </w:r>
      </w:hyperlink>
      <w:r w:rsidRPr="00CA163B">
        <w:rPr>
          <w:rFonts w:ascii="Times New Roman" w:hAnsi="Times New Roman" w:cs="Times New Roman"/>
          <w:sz w:val="24"/>
          <w:szCs w:val="24"/>
        </w:rPr>
        <w:t>. Acesso em: 2 maio 2025.</w:t>
      </w:r>
    </w:p>
    <w:p w14:paraId="405AC4FB" w14:textId="77777777" w:rsidR="00CA163B" w:rsidRPr="00CA163B" w:rsidRDefault="00CA163B" w:rsidP="00CA163B">
      <w:pPr>
        <w:spacing w:before="240" w:after="0" w:line="240" w:lineRule="auto"/>
        <w:rPr>
          <w:rFonts w:ascii="Times New Roman" w:hAnsi="Times New Roman" w:cs="Times New Roman"/>
          <w:sz w:val="24"/>
          <w:szCs w:val="24"/>
        </w:rPr>
      </w:pPr>
      <w:r w:rsidRPr="00CA163B">
        <w:rPr>
          <w:rFonts w:ascii="Times New Roman" w:hAnsi="Times New Roman" w:cs="Times New Roman"/>
          <w:sz w:val="24"/>
          <w:szCs w:val="24"/>
        </w:rPr>
        <w:t xml:space="preserve">BRASIL. Ministério da Educação. </w:t>
      </w:r>
      <w:r w:rsidRPr="00CA163B">
        <w:rPr>
          <w:rFonts w:ascii="Times New Roman" w:hAnsi="Times New Roman" w:cs="Times New Roman"/>
          <w:i/>
          <w:iCs/>
          <w:sz w:val="24"/>
          <w:szCs w:val="24"/>
        </w:rPr>
        <w:t>Portaria nº 1.234, de 2023</w:t>
      </w:r>
      <w:r w:rsidRPr="00CA163B">
        <w:rPr>
          <w:rFonts w:ascii="Times New Roman" w:hAnsi="Times New Roman" w:cs="Times New Roman"/>
          <w:sz w:val="24"/>
          <w:szCs w:val="24"/>
        </w:rPr>
        <w:t>. Institui o Programa Pé de Meia. Diário Oficial da União, 15 dez. 2023.</w:t>
      </w:r>
    </w:p>
    <w:p w14:paraId="7543B4FC" w14:textId="77777777" w:rsidR="00CA163B" w:rsidRPr="00CA163B" w:rsidRDefault="00CA163B" w:rsidP="00CA163B">
      <w:pPr>
        <w:spacing w:before="240" w:after="0" w:line="240" w:lineRule="auto"/>
        <w:rPr>
          <w:rFonts w:ascii="Times New Roman" w:hAnsi="Times New Roman" w:cs="Times New Roman"/>
          <w:sz w:val="24"/>
          <w:szCs w:val="24"/>
        </w:rPr>
      </w:pPr>
      <w:r w:rsidRPr="00CA163B">
        <w:rPr>
          <w:rFonts w:ascii="Times New Roman" w:hAnsi="Times New Roman" w:cs="Times New Roman"/>
          <w:sz w:val="24"/>
          <w:szCs w:val="24"/>
        </w:rPr>
        <w:t xml:space="preserve">CENEDESE, A.; SOARES, D. V. A evasão escolar no Ensino Médio: causas e estratégias de prevenção. </w:t>
      </w:r>
      <w:r w:rsidRPr="00CA163B">
        <w:rPr>
          <w:rFonts w:ascii="Times New Roman" w:hAnsi="Times New Roman" w:cs="Times New Roman"/>
          <w:i/>
          <w:iCs/>
          <w:sz w:val="24"/>
          <w:szCs w:val="24"/>
        </w:rPr>
        <w:t>Revista Educação em Análise</w:t>
      </w:r>
      <w:r w:rsidRPr="00CA163B">
        <w:rPr>
          <w:rFonts w:ascii="Times New Roman" w:hAnsi="Times New Roman" w:cs="Times New Roman"/>
          <w:sz w:val="24"/>
          <w:szCs w:val="24"/>
        </w:rPr>
        <w:t>, v. 5, n. 2, p. 150–168, 2020.</w:t>
      </w:r>
    </w:p>
    <w:p w14:paraId="418325A7" w14:textId="77777777" w:rsidR="00CA163B" w:rsidRPr="00CA163B" w:rsidRDefault="00CA163B" w:rsidP="00CA163B">
      <w:pPr>
        <w:spacing w:before="240" w:after="0" w:line="240" w:lineRule="auto"/>
        <w:rPr>
          <w:rFonts w:ascii="Times New Roman" w:hAnsi="Times New Roman" w:cs="Times New Roman"/>
          <w:sz w:val="24"/>
          <w:szCs w:val="24"/>
        </w:rPr>
      </w:pPr>
      <w:r w:rsidRPr="00CA163B">
        <w:rPr>
          <w:rFonts w:ascii="Times New Roman" w:hAnsi="Times New Roman" w:cs="Times New Roman"/>
          <w:sz w:val="24"/>
          <w:szCs w:val="24"/>
        </w:rPr>
        <w:t xml:space="preserve">FISZBEIN, A.; SCHADY, N. </w:t>
      </w:r>
      <w:proofErr w:type="spellStart"/>
      <w:r w:rsidRPr="00CA163B">
        <w:rPr>
          <w:rFonts w:ascii="Times New Roman" w:hAnsi="Times New Roman" w:cs="Times New Roman"/>
          <w:i/>
          <w:iCs/>
          <w:sz w:val="24"/>
          <w:szCs w:val="24"/>
        </w:rPr>
        <w:t>Conditional</w:t>
      </w:r>
      <w:proofErr w:type="spellEnd"/>
      <w:r w:rsidRPr="00CA163B">
        <w:rPr>
          <w:rFonts w:ascii="Times New Roman" w:hAnsi="Times New Roman" w:cs="Times New Roman"/>
          <w:i/>
          <w:iCs/>
          <w:sz w:val="24"/>
          <w:szCs w:val="24"/>
        </w:rPr>
        <w:t xml:space="preserve"> Cash </w:t>
      </w:r>
      <w:proofErr w:type="spellStart"/>
      <w:r w:rsidRPr="00CA163B">
        <w:rPr>
          <w:rFonts w:ascii="Times New Roman" w:hAnsi="Times New Roman" w:cs="Times New Roman"/>
          <w:i/>
          <w:iCs/>
          <w:sz w:val="24"/>
          <w:szCs w:val="24"/>
        </w:rPr>
        <w:t>Transfers</w:t>
      </w:r>
      <w:proofErr w:type="spellEnd"/>
      <w:r w:rsidRPr="00CA163B">
        <w:rPr>
          <w:rFonts w:ascii="Times New Roman" w:hAnsi="Times New Roman" w:cs="Times New Roman"/>
          <w:i/>
          <w:iCs/>
          <w:sz w:val="24"/>
          <w:szCs w:val="24"/>
        </w:rPr>
        <w:t xml:space="preserve">: </w:t>
      </w:r>
      <w:proofErr w:type="spellStart"/>
      <w:r w:rsidRPr="00CA163B">
        <w:rPr>
          <w:rFonts w:ascii="Times New Roman" w:hAnsi="Times New Roman" w:cs="Times New Roman"/>
          <w:i/>
          <w:iCs/>
          <w:sz w:val="24"/>
          <w:szCs w:val="24"/>
        </w:rPr>
        <w:t>Reducing</w:t>
      </w:r>
      <w:proofErr w:type="spellEnd"/>
      <w:r w:rsidRPr="00CA163B">
        <w:rPr>
          <w:rFonts w:ascii="Times New Roman" w:hAnsi="Times New Roman" w:cs="Times New Roman"/>
          <w:i/>
          <w:iCs/>
          <w:sz w:val="24"/>
          <w:szCs w:val="24"/>
        </w:rPr>
        <w:t xml:space="preserve"> </w:t>
      </w:r>
      <w:proofErr w:type="spellStart"/>
      <w:r w:rsidRPr="00CA163B">
        <w:rPr>
          <w:rFonts w:ascii="Times New Roman" w:hAnsi="Times New Roman" w:cs="Times New Roman"/>
          <w:i/>
          <w:iCs/>
          <w:sz w:val="24"/>
          <w:szCs w:val="24"/>
        </w:rPr>
        <w:t>Present</w:t>
      </w:r>
      <w:proofErr w:type="spellEnd"/>
      <w:r w:rsidRPr="00CA163B">
        <w:rPr>
          <w:rFonts w:ascii="Times New Roman" w:hAnsi="Times New Roman" w:cs="Times New Roman"/>
          <w:i/>
          <w:iCs/>
          <w:sz w:val="24"/>
          <w:szCs w:val="24"/>
        </w:rPr>
        <w:t xml:space="preserve"> </w:t>
      </w:r>
      <w:proofErr w:type="spellStart"/>
      <w:r w:rsidRPr="00CA163B">
        <w:rPr>
          <w:rFonts w:ascii="Times New Roman" w:hAnsi="Times New Roman" w:cs="Times New Roman"/>
          <w:i/>
          <w:iCs/>
          <w:sz w:val="24"/>
          <w:szCs w:val="24"/>
        </w:rPr>
        <w:t>and</w:t>
      </w:r>
      <w:proofErr w:type="spellEnd"/>
      <w:r w:rsidRPr="00CA163B">
        <w:rPr>
          <w:rFonts w:ascii="Times New Roman" w:hAnsi="Times New Roman" w:cs="Times New Roman"/>
          <w:i/>
          <w:iCs/>
          <w:sz w:val="24"/>
          <w:szCs w:val="24"/>
        </w:rPr>
        <w:t xml:space="preserve"> Future </w:t>
      </w:r>
      <w:proofErr w:type="spellStart"/>
      <w:r w:rsidRPr="00CA163B">
        <w:rPr>
          <w:rFonts w:ascii="Times New Roman" w:hAnsi="Times New Roman" w:cs="Times New Roman"/>
          <w:i/>
          <w:iCs/>
          <w:sz w:val="24"/>
          <w:szCs w:val="24"/>
        </w:rPr>
        <w:t>Poverty</w:t>
      </w:r>
      <w:proofErr w:type="spellEnd"/>
      <w:r w:rsidRPr="00CA163B">
        <w:rPr>
          <w:rFonts w:ascii="Times New Roman" w:hAnsi="Times New Roman" w:cs="Times New Roman"/>
          <w:sz w:val="24"/>
          <w:szCs w:val="24"/>
        </w:rPr>
        <w:t>. Washington, DC: The World Bank, 2009. DOI: 10.1596/978-0-8213-7352-1.</w:t>
      </w:r>
    </w:p>
    <w:p w14:paraId="5F48461E" w14:textId="77777777" w:rsidR="00CA163B" w:rsidRPr="00CA163B" w:rsidRDefault="00CA163B" w:rsidP="00CA163B">
      <w:pPr>
        <w:spacing w:before="240" w:after="0" w:line="240" w:lineRule="auto"/>
        <w:rPr>
          <w:rFonts w:ascii="Times New Roman" w:hAnsi="Times New Roman" w:cs="Times New Roman"/>
          <w:sz w:val="24"/>
          <w:szCs w:val="24"/>
        </w:rPr>
      </w:pPr>
      <w:r w:rsidRPr="00CA163B">
        <w:rPr>
          <w:rFonts w:ascii="Times New Roman" w:hAnsi="Times New Roman" w:cs="Times New Roman"/>
          <w:sz w:val="24"/>
          <w:szCs w:val="24"/>
        </w:rPr>
        <w:t xml:space="preserve">GERRING, J. </w:t>
      </w:r>
      <w:r w:rsidRPr="00CA163B">
        <w:rPr>
          <w:rFonts w:ascii="Times New Roman" w:hAnsi="Times New Roman" w:cs="Times New Roman"/>
          <w:i/>
          <w:iCs/>
          <w:sz w:val="24"/>
          <w:szCs w:val="24"/>
        </w:rPr>
        <w:t xml:space="preserve">Case </w:t>
      </w:r>
      <w:proofErr w:type="spellStart"/>
      <w:r w:rsidRPr="00CA163B">
        <w:rPr>
          <w:rFonts w:ascii="Times New Roman" w:hAnsi="Times New Roman" w:cs="Times New Roman"/>
          <w:i/>
          <w:iCs/>
          <w:sz w:val="24"/>
          <w:szCs w:val="24"/>
        </w:rPr>
        <w:t>Study</w:t>
      </w:r>
      <w:proofErr w:type="spellEnd"/>
      <w:r w:rsidRPr="00CA163B">
        <w:rPr>
          <w:rFonts w:ascii="Times New Roman" w:hAnsi="Times New Roman" w:cs="Times New Roman"/>
          <w:i/>
          <w:iCs/>
          <w:sz w:val="24"/>
          <w:szCs w:val="24"/>
        </w:rPr>
        <w:t xml:space="preserve"> </w:t>
      </w:r>
      <w:proofErr w:type="spellStart"/>
      <w:r w:rsidRPr="00CA163B">
        <w:rPr>
          <w:rFonts w:ascii="Times New Roman" w:hAnsi="Times New Roman" w:cs="Times New Roman"/>
          <w:i/>
          <w:iCs/>
          <w:sz w:val="24"/>
          <w:szCs w:val="24"/>
        </w:rPr>
        <w:t>Research</w:t>
      </w:r>
      <w:proofErr w:type="spellEnd"/>
      <w:r w:rsidRPr="00CA163B">
        <w:rPr>
          <w:rFonts w:ascii="Times New Roman" w:hAnsi="Times New Roman" w:cs="Times New Roman"/>
          <w:i/>
          <w:iCs/>
          <w:sz w:val="24"/>
          <w:szCs w:val="24"/>
        </w:rPr>
        <w:t xml:space="preserve">: </w:t>
      </w:r>
      <w:proofErr w:type="spellStart"/>
      <w:r w:rsidRPr="00CA163B">
        <w:rPr>
          <w:rFonts w:ascii="Times New Roman" w:hAnsi="Times New Roman" w:cs="Times New Roman"/>
          <w:i/>
          <w:iCs/>
          <w:sz w:val="24"/>
          <w:szCs w:val="24"/>
        </w:rPr>
        <w:t>Principles</w:t>
      </w:r>
      <w:proofErr w:type="spellEnd"/>
      <w:r w:rsidRPr="00CA163B">
        <w:rPr>
          <w:rFonts w:ascii="Times New Roman" w:hAnsi="Times New Roman" w:cs="Times New Roman"/>
          <w:i/>
          <w:iCs/>
          <w:sz w:val="24"/>
          <w:szCs w:val="24"/>
        </w:rPr>
        <w:t xml:space="preserve"> </w:t>
      </w:r>
      <w:proofErr w:type="spellStart"/>
      <w:r w:rsidRPr="00CA163B">
        <w:rPr>
          <w:rFonts w:ascii="Times New Roman" w:hAnsi="Times New Roman" w:cs="Times New Roman"/>
          <w:i/>
          <w:iCs/>
          <w:sz w:val="24"/>
          <w:szCs w:val="24"/>
        </w:rPr>
        <w:t>and</w:t>
      </w:r>
      <w:proofErr w:type="spellEnd"/>
      <w:r w:rsidRPr="00CA163B">
        <w:rPr>
          <w:rFonts w:ascii="Times New Roman" w:hAnsi="Times New Roman" w:cs="Times New Roman"/>
          <w:i/>
          <w:iCs/>
          <w:sz w:val="24"/>
          <w:szCs w:val="24"/>
        </w:rPr>
        <w:t xml:space="preserve"> </w:t>
      </w:r>
      <w:proofErr w:type="spellStart"/>
      <w:r w:rsidRPr="00CA163B">
        <w:rPr>
          <w:rFonts w:ascii="Times New Roman" w:hAnsi="Times New Roman" w:cs="Times New Roman"/>
          <w:i/>
          <w:iCs/>
          <w:sz w:val="24"/>
          <w:szCs w:val="24"/>
        </w:rPr>
        <w:t>Practices</w:t>
      </w:r>
      <w:proofErr w:type="spellEnd"/>
      <w:r w:rsidRPr="00CA163B">
        <w:rPr>
          <w:rFonts w:ascii="Times New Roman" w:hAnsi="Times New Roman" w:cs="Times New Roman"/>
          <w:sz w:val="24"/>
          <w:szCs w:val="24"/>
        </w:rPr>
        <w:t xml:space="preserve">. Nova York: Cambridge </w:t>
      </w:r>
      <w:proofErr w:type="spellStart"/>
      <w:r w:rsidRPr="00CA163B">
        <w:rPr>
          <w:rFonts w:ascii="Times New Roman" w:hAnsi="Times New Roman" w:cs="Times New Roman"/>
          <w:sz w:val="24"/>
          <w:szCs w:val="24"/>
        </w:rPr>
        <w:t>University</w:t>
      </w:r>
      <w:proofErr w:type="spellEnd"/>
      <w:r w:rsidRPr="00CA163B">
        <w:rPr>
          <w:rFonts w:ascii="Times New Roman" w:hAnsi="Times New Roman" w:cs="Times New Roman"/>
          <w:sz w:val="24"/>
          <w:szCs w:val="24"/>
        </w:rPr>
        <w:t xml:space="preserve"> Press, 2007.</w:t>
      </w:r>
    </w:p>
    <w:p w14:paraId="72B6CD8E" w14:textId="77777777" w:rsidR="00CA163B" w:rsidRPr="00CA163B" w:rsidRDefault="00CA163B" w:rsidP="00CA163B">
      <w:pPr>
        <w:spacing w:before="240" w:after="0" w:line="240" w:lineRule="auto"/>
        <w:rPr>
          <w:rFonts w:ascii="Times New Roman" w:hAnsi="Times New Roman" w:cs="Times New Roman"/>
          <w:sz w:val="24"/>
          <w:szCs w:val="24"/>
        </w:rPr>
      </w:pPr>
      <w:r w:rsidRPr="00CA163B">
        <w:rPr>
          <w:rFonts w:ascii="Times New Roman" w:hAnsi="Times New Roman" w:cs="Times New Roman"/>
          <w:sz w:val="24"/>
          <w:szCs w:val="24"/>
        </w:rPr>
        <w:t xml:space="preserve">GLEWWE, P.; KASSOUF, A. L. The </w:t>
      </w:r>
      <w:proofErr w:type="spellStart"/>
      <w:r w:rsidRPr="00CA163B">
        <w:rPr>
          <w:rFonts w:ascii="Times New Roman" w:hAnsi="Times New Roman" w:cs="Times New Roman"/>
          <w:sz w:val="24"/>
          <w:szCs w:val="24"/>
        </w:rPr>
        <w:t>Impact</w:t>
      </w:r>
      <w:proofErr w:type="spellEnd"/>
      <w:r w:rsidRPr="00CA163B">
        <w:rPr>
          <w:rFonts w:ascii="Times New Roman" w:hAnsi="Times New Roman" w:cs="Times New Roman"/>
          <w:sz w:val="24"/>
          <w:szCs w:val="24"/>
        </w:rPr>
        <w:t xml:space="preserve"> </w:t>
      </w:r>
      <w:proofErr w:type="spellStart"/>
      <w:r w:rsidRPr="00CA163B">
        <w:rPr>
          <w:rFonts w:ascii="Times New Roman" w:hAnsi="Times New Roman" w:cs="Times New Roman"/>
          <w:sz w:val="24"/>
          <w:szCs w:val="24"/>
        </w:rPr>
        <w:t>of</w:t>
      </w:r>
      <w:proofErr w:type="spellEnd"/>
      <w:r w:rsidRPr="00CA163B">
        <w:rPr>
          <w:rFonts w:ascii="Times New Roman" w:hAnsi="Times New Roman" w:cs="Times New Roman"/>
          <w:sz w:val="24"/>
          <w:szCs w:val="24"/>
        </w:rPr>
        <w:t xml:space="preserve"> </w:t>
      </w:r>
      <w:proofErr w:type="spellStart"/>
      <w:r w:rsidRPr="00CA163B">
        <w:rPr>
          <w:rFonts w:ascii="Times New Roman" w:hAnsi="Times New Roman" w:cs="Times New Roman"/>
          <w:sz w:val="24"/>
          <w:szCs w:val="24"/>
        </w:rPr>
        <w:t>the</w:t>
      </w:r>
      <w:proofErr w:type="spellEnd"/>
      <w:r w:rsidRPr="00CA163B">
        <w:rPr>
          <w:rFonts w:ascii="Times New Roman" w:hAnsi="Times New Roman" w:cs="Times New Roman"/>
          <w:sz w:val="24"/>
          <w:szCs w:val="24"/>
        </w:rPr>
        <w:t xml:space="preserve"> Bolsa Escola/Família </w:t>
      </w:r>
      <w:proofErr w:type="spellStart"/>
      <w:r w:rsidRPr="00CA163B">
        <w:rPr>
          <w:rFonts w:ascii="Times New Roman" w:hAnsi="Times New Roman" w:cs="Times New Roman"/>
          <w:sz w:val="24"/>
          <w:szCs w:val="24"/>
        </w:rPr>
        <w:t>Conditional</w:t>
      </w:r>
      <w:proofErr w:type="spellEnd"/>
      <w:r w:rsidRPr="00CA163B">
        <w:rPr>
          <w:rFonts w:ascii="Times New Roman" w:hAnsi="Times New Roman" w:cs="Times New Roman"/>
          <w:sz w:val="24"/>
          <w:szCs w:val="24"/>
        </w:rPr>
        <w:t xml:space="preserve"> Cash </w:t>
      </w:r>
      <w:proofErr w:type="spellStart"/>
      <w:r w:rsidRPr="00CA163B">
        <w:rPr>
          <w:rFonts w:ascii="Times New Roman" w:hAnsi="Times New Roman" w:cs="Times New Roman"/>
          <w:sz w:val="24"/>
          <w:szCs w:val="24"/>
        </w:rPr>
        <w:t>Transfer</w:t>
      </w:r>
      <w:proofErr w:type="spellEnd"/>
      <w:r w:rsidRPr="00CA163B">
        <w:rPr>
          <w:rFonts w:ascii="Times New Roman" w:hAnsi="Times New Roman" w:cs="Times New Roman"/>
          <w:sz w:val="24"/>
          <w:szCs w:val="24"/>
        </w:rPr>
        <w:t xml:space="preserve"> </w:t>
      </w:r>
      <w:proofErr w:type="spellStart"/>
      <w:r w:rsidRPr="00CA163B">
        <w:rPr>
          <w:rFonts w:ascii="Times New Roman" w:hAnsi="Times New Roman" w:cs="Times New Roman"/>
          <w:sz w:val="24"/>
          <w:szCs w:val="24"/>
        </w:rPr>
        <w:t>Program</w:t>
      </w:r>
      <w:proofErr w:type="spellEnd"/>
      <w:r w:rsidRPr="00CA163B">
        <w:rPr>
          <w:rFonts w:ascii="Times New Roman" w:hAnsi="Times New Roman" w:cs="Times New Roman"/>
          <w:sz w:val="24"/>
          <w:szCs w:val="24"/>
        </w:rPr>
        <w:t xml:space="preserve"> </w:t>
      </w:r>
      <w:proofErr w:type="spellStart"/>
      <w:r w:rsidRPr="00CA163B">
        <w:rPr>
          <w:rFonts w:ascii="Times New Roman" w:hAnsi="Times New Roman" w:cs="Times New Roman"/>
          <w:sz w:val="24"/>
          <w:szCs w:val="24"/>
        </w:rPr>
        <w:t>on</w:t>
      </w:r>
      <w:proofErr w:type="spellEnd"/>
      <w:r w:rsidRPr="00CA163B">
        <w:rPr>
          <w:rFonts w:ascii="Times New Roman" w:hAnsi="Times New Roman" w:cs="Times New Roman"/>
          <w:sz w:val="24"/>
          <w:szCs w:val="24"/>
        </w:rPr>
        <w:t xml:space="preserve"> </w:t>
      </w:r>
      <w:proofErr w:type="spellStart"/>
      <w:r w:rsidRPr="00CA163B">
        <w:rPr>
          <w:rFonts w:ascii="Times New Roman" w:hAnsi="Times New Roman" w:cs="Times New Roman"/>
          <w:sz w:val="24"/>
          <w:szCs w:val="24"/>
        </w:rPr>
        <w:t>Enrollment</w:t>
      </w:r>
      <w:proofErr w:type="spellEnd"/>
      <w:r w:rsidRPr="00CA163B">
        <w:rPr>
          <w:rFonts w:ascii="Times New Roman" w:hAnsi="Times New Roman" w:cs="Times New Roman"/>
          <w:sz w:val="24"/>
          <w:szCs w:val="24"/>
        </w:rPr>
        <w:t xml:space="preserve">, </w:t>
      </w:r>
      <w:proofErr w:type="spellStart"/>
      <w:r w:rsidRPr="00CA163B">
        <w:rPr>
          <w:rFonts w:ascii="Times New Roman" w:hAnsi="Times New Roman" w:cs="Times New Roman"/>
          <w:sz w:val="24"/>
          <w:szCs w:val="24"/>
        </w:rPr>
        <w:t>Drop</w:t>
      </w:r>
      <w:proofErr w:type="spellEnd"/>
      <w:r w:rsidRPr="00CA163B">
        <w:rPr>
          <w:rFonts w:ascii="Times New Roman" w:hAnsi="Times New Roman" w:cs="Times New Roman"/>
          <w:sz w:val="24"/>
          <w:szCs w:val="24"/>
        </w:rPr>
        <w:t xml:space="preserve"> Out Rates </w:t>
      </w:r>
      <w:proofErr w:type="spellStart"/>
      <w:r w:rsidRPr="00CA163B">
        <w:rPr>
          <w:rFonts w:ascii="Times New Roman" w:hAnsi="Times New Roman" w:cs="Times New Roman"/>
          <w:sz w:val="24"/>
          <w:szCs w:val="24"/>
        </w:rPr>
        <w:t>and</w:t>
      </w:r>
      <w:proofErr w:type="spellEnd"/>
      <w:r w:rsidRPr="00CA163B">
        <w:rPr>
          <w:rFonts w:ascii="Times New Roman" w:hAnsi="Times New Roman" w:cs="Times New Roman"/>
          <w:sz w:val="24"/>
          <w:szCs w:val="24"/>
        </w:rPr>
        <w:t xml:space="preserve"> Grade </w:t>
      </w:r>
      <w:proofErr w:type="spellStart"/>
      <w:r w:rsidRPr="00CA163B">
        <w:rPr>
          <w:rFonts w:ascii="Times New Roman" w:hAnsi="Times New Roman" w:cs="Times New Roman"/>
          <w:sz w:val="24"/>
          <w:szCs w:val="24"/>
        </w:rPr>
        <w:t>Promotion</w:t>
      </w:r>
      <w:proofErr w:type="spellEnd"/>
      <w:r w:rsidRPr="00CA163B">
        <w:rPr>
          <w:rFonts w:ascii="Times New Roman" w:hAnsi="Times New Roman" w:cs="Times New Roman"/>
          <w:sz w:val="24"/>
          <w:szCs w:val="24"/>
        </w:rPr>
        <w:t xml:space="preserve"> in </w:t>
      </w:r>
      <w:proofErr w:type="spellStart"/>
      <w:r w:rsidRPr="00CA163B">
        <w:rPr>
          <w:rFonts w:ascii="Times New Roman" w:hAnsi="Times New Roman" w:cs="Times New Roman"/>
          <w:sz w:val="24"/>
          <w:szCs w:val="24"/>
        </w:rPr>
        <w:t>Brazil</w:t>
      </w:r>
      <w:proofErr w:type="spellEnd"/>
      <w:r w:rsidRPr="00CA163B">
        <w:rPr>
          <w:rFonts w:ascii="Times New Roman" w:hAnsi="Times New Roman" w:cs="Times New Roman"/>
          <w:sz w:val="24"/>
          <w:szCs w:val="24"/>
        </w:rPr>
        <w:t xml:space="preserve">. </w:t>
      </w:r>
      <w:proofErr w:type="spellStart"/>
      <w:r w:rsidRPr="00CA163B">
        <w:rPr>
          <w:rFonts w:ascii="Times New Roman" w:hAnsi="Times New Roman" w:cs="Times New Roman"/>
          <w:i/>
          <w:iCs/>
          <w:sz w:val="24"/>
          <w:szCs w:val="24"/>
        </w:rPr>
        <w:t>Journal</w:t>
      </w:r>
      <w:proofErr w:type="spellEnd"/>
      <w:r w:rsidRPr="00CA163B">
        <w:rPr>
          <w:rFonts w:ascii="Times New Roman" w:hAnsi="Times New Roman" w:cs="Times New Roman"/>
          <w:i/>
          <w:iCs/>
          <w:sz w:val="24"/>
          <w:szCs w:val="24"/>
        </w:rPr>
        <w:t xml:space="preserve"> </w:t>
      </w:r>
      <w:proofErr w:type="spellStart"/>
      <w:r w:rsidRPr="00CA163B">
        <w:rPr>
          <w:rFonts w:ascii="Times New Roman" w:hAnsi="Times New Roman" w:cs="Times New Roman"/>
          <w:i/>
          <w:iCs/>
          <w:sz w:val="24"/>
          <w:szCs w:val="24"/>
        </w:rPr>
        <w:t>of</w:t>
      </w:r>
      <w:proofErr w:type="spellEnd"/>
      <w:r w:rsidRPr="00CA163B">
        <w:rPr>
          <w:rFonts w:ascii="Times New Roman" w:hAnsi="Times New Roman" w:cs="Times New Roman"/>
          <w:i/>
          <w:iCs/>
          <w:sz w:val="24"/>
          <w:szCs w:val="24"/>
        </w:rPr>
        <w:t xml:space="preserve"> </w:t>
      </w:r>
      <w:proofErr w:type="spellStart"/>
      <w:r w:rsidRPr="00CA163B">
        <w:rPr>
          <w:rFonts w:ascii="Times New Roman" w:hAnsi="Times New Roman" w:cs="Times New Roman"/>
          <w:i/>
          <w:iCs/>
          <w:sz w:val="24"/>
          <w:szCs w:val="24"/>
        </w:rPr>
        <w:t>Development</w:t>
      </w:r>
      <w:proofErr w:type="spellEnd"/>
      <w:r w:rsidRPr="00CA163B">
        <w:rPr>
          <w:rFonts w:ascii="Times New Roman" w:hAnsi="Times New Roman" w:cs="Times New Roman"/>
          <w:i/>
          <w:iCs/>
          <w:sz w:val="24"/>
          <w:szCs w:val="24"/>
        </w:rPr>
        <w:t xml:space="preserve"> </w:t>
      </w:r>
      <w:proofErr w:type="spellStart"/>
      <w:r w:rsidRPr="00CA163B">
        <w:rPr>
          <w:rFonts w:ascii="Times New Roman" w:hAnsi="Times New Roman" w:cs="Times New Roman"/>
          <w:i/>
          <w:iCs/>
          <w:sz w:val="24"/>
          <w:szCs w:val="24"/>
        </w:rPr>
        <w:t>Economics</w:t>
      </w:r>
      <w:proofErr w:type="spellEnd"/>
      <w:r w:rsidRPr="00CA163B">
        <w:rPr>
          <w:rFonts w:ascii="Times New Roman" w:hAnsi="Times New Roman" w:cs="Times New Roman"/>
          <w:sz w:val="24"/>
          <w:szCs w:val="24"/>
        </w:rPr>
        <w:t>, v. 97, n. 2, p. 505–517, 2012.</w:t>
      </w:r>
    </w:p>
    <w:p w14:paraId="69F8A690" w14:textId="77777777" w:rsidR="00CA163B" w:rsidRPr="00CA163B" w:rsidRDefault="00CA163B" w:rsidP="00CA163B">
      <w:pPr>
        <w:spacing w:before="240" w:after="0" w:line="240" w:lineRule="auto"/>
        <w:rPr>
          <w:rFonts w:ascii="Times New Roman" w:hAnsi="Times New Roman" w:cs="Times New Roman"/>
          <w:sz w:val="24"/>
          <w:szCs w:val="24"/>
        </w:rPr>
      </w:pPr>
      <w:r w:rsidRPr="00CA163B">
        <w:rPr>
          <w:rFonts w:ascii="Times New Roman" w:hAnsi="Times New Roman" w:cs="Times New Roman"/>
          <w:sz w:val="24"/>
          <w:szCs w:val="24"/>
        </w:rPr>
        <w:t xml:space="preserve">INEP – Instituto Nacional de Estudos e Pesquisas Educacionais Anísio Teixeira. </w:t>
      </w:r>
      <w:r w:rsidRPr="00CA163B">
        <w:rPr>
          <w:rFonts w:ascii="Times New Roman" w:hAnsi="Times New Roman" w:cs="Times New Roman"/>
          <w:i/>
          <w:iCs/>
          <w:sz w:val="24"/>
          <w:szCs w:val="24"/>
        </w:rPr>
        <w:t>Censo Escolar 2022: Apresentação Coletiva</w:t>
      </w:r>
      <w:r w:rsidRPr="00CA163B">
        <w:rPr>
          <w:rFonts w:ascii="Times New Roman" w:hAnsi="Times New Roman" w:cs="Times New Roman"/>
          <w:sz w:val="24"/>
          <w:szCs w:val="24"/>
        </w:rPr>
        <w:t xml:space="preserve">. Brasília: MEC, 2022. Disponível em: </w:t>
      </w:r>
      <w:hyperlink r:id="rId10" w:tgtFrame="_new" w:history="1">
        <w:r w:rsidRPr="00CA163B">
          <w:rPr>
            <w:rStyle w:val="Hyperlink"/>
            <w:rFonts w:ascii="Times New Roman" w:hAnsi="Times New Roman" w:cs="Times New Roman"/>
            <w:color w:val="auto"/>
            <w:sz w:val="24"/>
            <w:szCs w:val="24"/>
            <w:u w:val="none"/>
          </w:rPr>
          <w:t>https://download.inep.gov.br/censo_escolar/resultados/2022/apresentacao_coletiva.pdf</w:t>
        </w:r>
      </w:hyperlink>
      <w:r w:rsidRPr="00CA163B">
        <w:rPr>
          <w:rFonts w:ascii="Times New Roman" w:hAnsi="Times New Roman" w:cs="Times New Roman"/>
          <w:sz w:val="24"/>
          <w:szCs w:val="24"/>
        </w:rPr>
        <w:t>. Acesso em: 2 maio 2025.</w:t>
      </w:r>
    </w:p>
    <w:p w14:paraId="031AC466" w14:textId="77777777" w:rsidR="00CA163B" w:rsidRPr="00CA163B" w:rsidRDefault="00CA163B" w:rsidP="00CA163B">
      <w:pPr>
        <w:spacing w:before="240" w:after="0" w:line="240" w:lineRule="auto"/>
        <w:rPr>
          <w:rFonts w:ascii="Times New Roman" w:hAnsi="Times New Roman" w:cs="Times New Roman"/>
          <w:sz w:val="24"/>
          <w:szCs w:val="24"/>
        </w:rPr>
      </w:pPr>
      <w:r w:rsidRPr="00CA163B">
        <w:rPr>
          <w:rFonts w:ascii="Times New Roman" w:hAnsi="Times New Roman" w:cs="Times New Roman"/>
          <w:sz w:val="24"/>
          <w:szCs w:val="24"/>
        </w:rPr>
        <w:t xml:space="preserve">INEP – Instituto Nacional de Estudos e Pesquisas Educacionais Anísio Teixeira. </w:t>
      </w:r>
      <w:r w:rsidRPr="00CA163B">
        <w:rPr>
          <w:rFonts w:ascii="Times New Roman" w:hAnsi="Times New Roman" w:cs="Times New Roman"/>
          <w:i/>
          <w:iCs/>
          <w:sz w:val="24"/>
          <w:szCs w:val="24"/>
        </w:rPr>
        <w:t>Censo Escolar 2024: Apresentação Coletiva</w:t>
      </w:r>
      <w:r w:rsidRPr="00CA163B">
        <w:rPr>
          <w:rFonts w:ascii="Times New Roman" w:hAnsi="Times New Roman" w:cs="Times New Roman"/>
          <w:sz w:val="24"/>
          <w:szCs w:val="24"/>
        </w:rPr>
        <w:t xml:space="preserve">. Brasília: MEC, 2024. Disponível em: </w:t>
      </w:r>
      <w:hyperlink r:id="rId11" w:tgtFrame="_new" w:history="1">
        <w:r w:rsidRPr="00CA163B">
          <w:rPr>
            <w:rStyle w:val="Hyperlink"/>
            <w:rFonts w:ascii="Times New Roman" w:hAnsi="Times New Roman" w:cs="Times New Roman"/>
            <w:color w:val="auto"/>
            <w:sz w:val="24"/>
            <w:szCs w:val="24"/>
            <w:u w:val="none"/>
          </w:rPr>
          <w:t>https://download.inep.gov.br/censo_escolar/resultados/2024/apresentacao_coletiva.pdf</w:t>
        </w:r>
      </w:hyperlink>
      <w:r w:rsidRPr="00CA163B">
        <w:rPr>
          <w:rFonts w:ascii="Times New Roman" w:hAnsi="Times New Roman" w:cs="Times New Roman"/>
          <w:sz w:val="24"/>
          <w:szCs w:val="24"/>
        </w:rPr>
        <w:t>. Acesso em: 2 maio 2025.</w:t>
      </w:r>
    </w:p>
    <w:p w14:paraId="34ED279D" w14:textId="77777777" w:rsidR="00CA163B" w:rsidRPr="00CA163B" w:rsidRDefault="00CA163B" w:rsidP="00CA163B">
      <w:pPr>
        <w:spacing w:before="240" w:after="0" w:line="240" w:lineRule="auto"/>
        <w:rPr>
          <w:rFonts w:ascii="Times New Roman" w:hAnsi="Times New Roman" w:cs="Times New Roman"/>
          <w:sz w:val="24"/>
          <w:szCs w:val="24"/>
        </w:rPr>
      </w:pPr>
      <w:r w:rsidRPr="00CA163B">
        <w:rPr>
          <w:rFonts w:ascii="Times New Roman" w:hAnsi="Times New Roman" w:cs="Times New Roman"/>
          <w:sz w:val="24"/>
          <w:szCs w:val="24"/>
        </w:rPr>
        <w:t xml:space="preserve">LOTTA, G. S. </w:t>
      </w:r>
      <w:r w:rsidRPr="00CA163B">
        <w:rPr>
          <w:rFonts w:ascii="Times New Roman" w:hAnsi="Times New Roman" w:cs="Times New Roman"/>
          <w:i/>
          <w:iCs/>
          <w:sz w:val="24"/>
          <w:szCs w:val="24"/>
        </w:rPr>
        <w:t>Burocracia e implementação de políticas públicas: o que sabemos e o que precisamos saber</w:t>
      </w:r>
      <w:r w:rsidRPr="00CA163B">
        <w:rPr>
          <w:rFonts w:ascii="Times New Roman" w:hAnsi="Times New Roman" w:cs="Times New Roman"/>
          <w:sz w:val="24"/>
          <w:szCs w:val="24"/>
        </w:rPr>
        <w:t>. Brasília: ENAP, 2015.</w:t>
      </w:r>
    </w:p>
    <w:p w14:paraId="09159279" w14:textId="77777777" w:rsidR="00CA163B" w:rsidRPr="00CA163B" w:rsidRDefault="00CA163B" w:rsidP="00CA163B">
      <w:pPr>
        <w:spacing w:before="240" w:after="0" w:line="240" w:lineRule="auto"/>
        <w:rPr>
          <w:rFonts w:ascii="Times New Roman" w:hAnsi="Times New Roman" w:cs="Times New Roman"/>
          <w:sz w:val="24"/>
          <w:szCs w:val="24"/>
        </w:rPr>
      </w:pPr>
      <w:r w:rsidRPr="00CA163B">
        <w:rPr>
          <w:rFonts w:ascii="Times New Roman" w:hAnsi="Times New Roman" w:cs="Times New Roman"/>
          <w:sz w:val="24"/>
          <w:szCs w:val="24"/>
        </w:rPr>
        <w:t xml:space="preserve">PARKER, S. W.; TODD, P. E. </w:t>
      </w:r>
      <w:proofErr w:type="spellStart"/>
      <w:r w:rsidRPr="00CA163B">
        <w:rPr>
          <w:rFonts w:ascii="Times New Roman" w:hAnsi="Times New Roman" w:cs="Times New Roman"/>
          <w:sz w:val="24"/>
          <w:szCs w:val="24"/>
        </w:rPr>
        <w:t>Conditional</w:t>
      </w:r>
      <w:proofErr w:type="spellEnd"/>
      <w:r w:rsidRPr="00CA163B">
        <w:rPr>
          <w:rFonts w:ascii="Times New Roman" w:hAnsi="Times New Roman" w:cs="Times New Roman"/>
          <w:sz w:val="24"/>
          <w:szCs w:val="24"/>
        </w:rPr>
        <w:t xml:space="preserve"> Cash </w:t>
      </w:r>
      <w:proofErr w:type="spellStart"/>
      <w:r w:rsidRPr="00CA163B">
        <w:rPr>
          <w:rFonts w:ascii="Times New Roman" w:hAnsi="Times New Roman" w:cs="Times New Roman"/>
          <w:sz w:val="24"/>
          <w:szCs w:val="24"/>
        </w:rPr>
        <w:t>Transfers</w:t>
      </w:r>
      <w:proofErr w:type="spellEnd"/>
      <w:r w:rsidRPr="00CA163B">
        <w:rPr>
          <w:rFonts w:ascii="Times New Roman" w:hAnsi="Times New Roman" w:cs="Times New Roman"/>
          <w:sz w:val="24"/>
          <w:szCs w:val="24"/>
        </w:rPr>
        <w:t xml:space="preserve">: The Case </w:t>
      </w:r>
      <w:proofErr w:type="spellStart"/>
      <w:r w:rsidRPr="00CA163B">
        <w:rPr>
          <w:rFonts w:ascii="Times New Roman" w:hAnsi="Times New Roman" w:cs="Times New Roman"/>
          <w:sz w:val="24"/>
          <w:szCs w:val="24"/>
        </w:rPr>
        <w:t>of</w:t>
      </w:r>
      <w:proofErr w:type="spellEnd"/>
      <w:r w:rsidRPr="00CA163B">
        <w:rPr>
          <w:rFonts w:ascii="Times New Roman" w:hAnsi="Times New Roman" w:cs="Times New Roman"/>
          <w:sz w:val="24"/>
          <w:szCs w:val="24"/>
        </w:rPr>
        <w:t xml:space="preserve"> </w:t>
      </w:r>
      <w:proofErr w:type="spellStart"/>
      <w:r w:rsidRPr="00CA163B">
        <w:rPr>
          <w:rFonts w:ascii="Times New Roman" w:hAnsi="Times New Roman" w:cs="Times New Roman"/>
          <w:sz w:val="24"/>
          <w:szCs w:val="24"/>
        </w:rPr>
        <w:t>Progresa</w:t>
      </w:r>
      <w:proofErr w:type="spellEnd"/>
      <w:r w:rsidRPr="00CA163B">
        <w:rPr>
          <w:rFonts w:ascii="Times New Roman" w:hAnsi="Times New Roman" w:cs="Times New Roman"/>
          <w:sz w:val="24"/>
          <w:szCs w:val="24"/>
        </w:rPr>
        <w:t xml:space="preserve">/Oportunidades. </w:t>
      </w:r>
      <w:proofErr w:type="spellStart"/>
      <w:r w:rsidRPr="00CA163B">
        <w:rPr>
          <w:rFonts w:ascii="Times New Roman" w:hAnsi="Times New Roman" w:cs="Times New Roman"/>
          <w:i/>
          <w:iCs/>
          <w:sz w:val="24"/>
          <w:szCs w:val="24"/>
        </w:rPr>
        <w:t>Journal</w:t>
      </w:r>
      <w:proofErr w:type="spellEnd"/>
      <w:r w:rsidRPr="00CA163B">
        <w:rPr>
          <w:rFonts w:ascii="Times New Roman" w:hAnsi="Times New Roman" w:cs="Times New Roman"/>
          <w:i/>
          <w:iCs/>
          <w:sz w:val="24"/>
          <w:szCs w:val="24"/>
        </w:rPr>
        <w:t xml:space="preserve"> </w:t>
      </w:r>
      <w:proofErr w:type="spellStart"/>
      <w:r w:rsidRPr="00CA163B">
        <w:rPr>
          <w:rFonts w:ascii="Times New Roman" w:hAnsi="Times New Roman" w:cs="Times New Roman"/>
          <w:i/>
          <w:iCs/>
          <w:sz w:val="24"/>
          <w:szCs w:val="24"/>
        </w:rPr>
        <w:t>of</w:t>
      </w:r>
      <w:proofErr w:type="spellEnd"/>
      <w:r w:rsidRPr="00CA163B">
        <w:rPr>
          <w:rFonts w:ascii="Times New Roman" w:hAnsi="Times New Roman" w:cs="Times New Roman"/>
          <w:i/>
          <w:iCs/>
          <w:sz w:val="24"/>
          <w:szCs w:val="24"/>
        </w:rPr>
        <w:t xml:space="preserve"> Economic </w:t>
      </w:r>
      <w:proofErr w:type="spellStart"/>
      <w:r w:rsidRPr="00CA163B">
        <w:rPr>
          <w:rFonts w:ascii="Times New Roman" w:hAnsi="Times New Roman" w:cs="Times New Roman"/>
          <w:i/>
          <w:iCs/>
          <w:sz w:val="24"/>
          <w:szCs w:val="24"/>
        </w:rPr>
        <w:t>Literature</w:t>
      </w:r>
      <w:proofErr w:type="spellEnd"/>
      <w:r w:rsidRPr="00CA163B">
        <w:rPr>
          <w:rFonts w:ascii="Times New Roman" w:hAnsi="Times New Roman" w:cs="Times New Roman"/>
          <w:sz w:val="24"/>
          <w:szCs w:val="24"/>
        </w:rPr>
        <w:t>, v. 17, n. 1, p. 1–36, 2005.</w:t>
      </w:r>
    </w:p>
    <w:p w14:paraId="1BA0EDAC" w14:textId="77777777" w:rsidR="00CA163B" w:rsidRPr="00CA163B" w:rsidRDefault="00CA163B" w:rsidP="00CA163B">
      <w:pPr>
        <w:spacing w:before="240" w:after="0" w:line="240" w:lineRule="auto"/>
        <w:rPr>
          <w:rFonts w:ascii="Times New Roman" w:hAnsi="Times New Roman" w:cs="Times New Roman"/>
          <w:sz w:val="24"/>
          <w:szCs w:val="24"/>
        </w:rPr>
      </w:pPr>
      <w:r w:rsidRPr="00CA163B">
        <w:rPr>
          <w:rFonts w:ascii="Times New Roman" w:hAnsi="Times New Roman" w:cs="Times New Roman"/>
          <w:sz w:val="24"/>
          <w:szCs w:val="24"/>
        </w:rPr>
        <w:lastRenderedPageBreak/>
        <w:t xml:space="preserve">SOARES, D. V.; RIBEIRO, M. M. Vozes da permanência: percepções de alunos e famílias sobre o Pé de Meia. </w:t>
      </w:r>
      <w:r w:rsidRPr="00CA163B">
        <w:rPr>
          <w:rFonts w:ascii="Times New Roman" w:hAnsi="Times New Roman" w:cs="Times New Roman"/>
          <w:i/>
          <w:iCs/>
          <w:sz w:val="24"/>
          <w:szCs w:val="24"/>
        </w:rPr>
        <w:t>Boletim Observatório da Juventude</w:t>
      </w:r>
      <w:r w:rsidRPr="00CA163B">
        <w:rPr>
          <w:rFonts w:ascii="Times New Roman" w:hAnsi="Times New Roman" w:cs="Times New Roman"/>
          <w:sz w:val="24"/>
          <w:szCs w:val="24"/>
        </w:rPr>
        <w:t>, v. 3, n. 1, p. 1–12, 2023.</w:t>
      </w:r>
    </w:p>
    <w:p w14:paraId="07CA9E6E" w14:textId="77777777" w:rsidR="00CA163B" w:rsidRPr="00CA163B" w:rsidRDefault="00CA163B" w:rsidP="00CA163B">
      <w:pPr>
        <w:spacing w:before="240" w:after="0" w:line="240" w:lineRule="auto"/>
        <w:rPr>
          <w:rFonts w:ascii="Times New Roman" w:hAnsi="Times New Roman" w:cs="Times New Roman"/>
          <w:sz w:val="24"/>
          <w:szCs w:val="24"/>
        </w:rPr>
      </w:pPr>
      <w:r w:rsidRPr="00CA163B">
        <w:rPr>
          <w:rFonts w:ascii="Times New Roman" w:hAnsi="Times New Roman" w:cs="Times New Roman"/>
          <w:sz w:val="24"/>
          <w:szCs w:val="24"/>
        </w:rPr>
        <w:t xml:space="preserve">SOARES, F. V. et al. Bolsa Família </w:t>
      </w:r>
      <w:proofErr w:type="spellStart"/>
      <w:r w:rsidRPr="00CA163B">
        <w:rPr>
          <w:rFonts w:ascii="Times New Roman" w:hAnsi="Times New Roman" w:cs="Times New Roman"/>
          <w:sz w:val="24"/>
          <w:szCs w:val="24"/>
        </w:rPr>
        <w:t>and</w:t>
      </w:r>
      <w:proofErr w:type="spellEnd"/>
      <w:r w:rsidRPr="00CA163B">
        <w:rPr>
          <w:rFonts w:ascii="Times New Roman" w:hAnsi="Times New Roman" w:cs="Times New Roman"/>
          <w:sz w:val="24"/>
          <w:szCs w:val="24"/>
        </w:rPr>
        <w:t xml:space="preserve"> </w:t>
      </w:r>
      <w:proofErr w:type="spellStart"/>
      <w:r w:rsidRPr="00CA163B">
        <w:rPr>
          <w:rFonts w:ascii="Times New Roman" w:hAnsi="Times New Roman" w:cs="Times New Roman"/>
          <w:sz w:val="24"/>
          <w:szCs w:val="24"/>
        </w:rPr>
        <w:t>the</w:t>
      </w:r>
      <w:proofErr w:type="spellEnd"/>
      <w:r w:rsidRPr="00CA163B">
        <w:rPr>
          <w:rFonts w:ascii="Times New Roman" w:hAnsi="Times New Roman" w:cs="Times New Roman"/>
          <w:sz w:val="24"/>
          <w:szCs w:val="24"/>
        </w:rPr>
        <w:t xml:space="preserve"> </w:t>
      </w:r>
      <w:proofErr w:type="spellStart"/>
      <w:r w:rsidRPr="00CA163B">
        <w:rPr>
          <w:rFonts w:ascii="Times New Roman" w:hAnsi="Times New Roman" w:cs="Times New Roman"/>
          <w:sz w:val="24"/>
          <w:szCs w:val="24"/>
        </w:rPr>
        <w:t>Promotion</w:t>
      </w:r>
      <w:proofErr w:type="spellEnd"/>
      <w:r w:rsidRPr="00CA163B">
        <w:rPr>
          <w:rFonts w:ascii="Times New Roman" w:hAnsi="Times New Roman" w:cs="Times New Roman"/>
          <w:sz w:val="24"/>
          <w:szCs w:val="24"/>
        </w:rPr>
        <w:t xml:space="preserve"> </w:t>
      </w:r>
      <w:proofErr w:type="spellStart"/>
      <w:r w:rsidRPr="00CA163B">
        <w:rPr>
          <w:rFonts w:ascii="Times New Roman" w:hAnsi="Times New Roman" w:cs="Times New Roman"/>
          <w:sz w:val="24"/>
          <w:szCs w:val="24"/>
        </w:rPr>
        <w:t>of</w:t>
      </w:r>
      <w:proofErr w:type="spellEnd"/>
      <w:r w:rsidRPr="00CA163B">
        <w:rPr>
          <w:rFonts w:ascii="Times New Roman" w:hAnsi="Times New Roman" w:cs="Times New Roman"/>
          <w:sz w:val="24"/>
          <w:szCs w:val="24"/>
        </w:rPr>
        <w:t xml:space="preserve"> </w:t>
      </w:r>
      <w:proofErr w:type="spellStart"/>
      <w:r w:rsidRPr="00CA163B">
        <w:rPr>
          <w:rFonts w:ascii="Times New Roman" w:hAnsi="Times New Roman" w:cs="Times New Roman"/>
          <w:sz w:val="24"/>
          <w:szCs w:val="24"/>
        </w:rPr>
        <w:t>Education</w:t>
      </w:r>
      <w:proofErr w:type="spellEnd"/>
      <w:r w:rsidRPr="00CA163B">
        <w:rPr>
          <w:rFonts w:ascii="Times New Roman" w:hAnsi="Times New Roman" w:cs="Times New Roman"/>
          <w:sz w:val="24"/>
          <w:szCs w:val="24"/>
        </w:rPr>
        <w:t xml:space="preserve">: </w:t>
      </w:r>
      <w:proofErr w:type="spellStart"/>
      <w:r w:rsidRPr="00CA163B">
        <w:rPr>
          <w:rFonts w:ascii="Times New Roman" w:hAnsi="Times New Roman" w:cs="Times New Roman"/>
          <w:sz w:val="24"/>
          <w:szCs w:val="24"/>
        </w:rPr>
        <w:t>Evidence</w:t>
      </w:r>
      <w:proofErr w:type="spellEnd"/>
      <w:r w:rsidRPr="00CA163B">
        <w:rPr>
          <w:rFonts w:ascii="Times New Roman" w:hAnsi="Times New Roman" w:cs="Times New Roman"/>
          <w:sz w:val="24"/>
          <w:szCs w:val="24"/>
        </w:rPr>
        <w:t xml:space="preserve"> </w:t>
      </w:r>
      <w:proofErr w:type="spellStart"/>
      <w:r w:rsidRPr="00CA163B">
        <w:rPr>
          <w:rFonts w:ascii="Times New Roman" w:hAnsi="Times New Roman" w:cs="Times New Roman"/>
          <w:sz w:val="24"/>
          <w:szCs w:val="24"/>
        </w:rPr>
        <w:t>from</w:t>
      </w:r>
      <w:proofErr w:type="spellEnd"/>
      <w:r w:rsidRPr="00CA163B">
        <w:rPr>
          <w:rFonts w:ascii="Times New Roman" w:hAnsi="Times New Roman" w:cs="Times New Roman"/>
          <w:sz w:val="24"/>
          <w:szCs w:val="24"/>
        </w:rPr>
        <w:t xml:space="preserve"> a Social </w:t>
      </w:r>
      <w:proofErr w:type="spellStart"/>
      <w:r w:rsidRPr="00CA163B">
        <w:rPr>
          <w:rFonts w:ascii="Times New Roman" w:hAnsi="Times New Roman" w:cs="Times New Roman"/>
          <w:sz w:val="24"/>
          <w:szCs w:val="24"/>
        </w:rPr>
        <w:t>Experiment</w:t>
      </w:r>
      <w:proofErr w:type="spellEnd"/>
      <w:r w:rsidRPr="00CA163B">
        <w:rPr>
          <w:rFonts w:ascii="Times New Roman" w:hAnsi="Times New Roman" w:cs="Times New Roman"/>
          <w:sz w:val="24"/>
          <w:szCs w:val="24"/>
        </w:rPr>
        <w:t xml:space="preserve"> in </w:t>
      </w:r>
      <w:proofErr w:type="spellStart"/>
      <w:r w:rsidRPr="00CA163B">
        <w:rPr>
          <w:rFonts w:ascii="Times New Roman" w:hAnsi="Times New Roman" w:cs="Times New Roman"/>
          <w:sz w:val="24"/>
          <w:szCs w:val="24"/>
        </w:rPr>
        <w:t>Brazil</w:t>
      </w:r>
      <w:proofErr w:type="spellEnd"/>
      <w:r w:rsidRPr="00CA163B">
        <w:rPr>
          <w:rFonts w:ascii="Times New Roman" w:hAnsi="Times New Roman" w:cs="Times New Roman"/>
          <w:sz w:val="24"/>
          <w:szCs w:val="24"/>
        </w:rPr>
        <w:t xml:space="preserve">. </w:t>
      </w:r>
      <w:proofErr w:type="spellStart"/>
      <w:r w:rsidRPr="00CA163B">
        <w:rPr>
          <w:rFonts w:ascii="Times New Roman" w:hAnsi="Times New Roman" w:cs="Times New Roman"/>
          <w:i/>
          <w:iCs/>
          <w:sz w:val="24"/>
          <w:szCs w:val="24"/>
        </w:rPr>
        <w:t>International</w:t>
      </w:r>
      <w:proofErr w:type="spellEnd"/>
      <w:r w:rsidRPr="00CA163B">
        <w:rPr>
          <w:rFonts w:ascii="Times New Roman" w:hAnsi="Times New Roman" w:cs="Times New Roman"/>
          <w:i/>
          <w:iCs/>
          <w:sz w:val="24"/>
          <w:szCs w:val="24"/>
        </w:rPr>
        <w:t xml:space="preserve"> </w:t>
      </w:r>
      <w:proofErr w:type="spellStart"/>
      <w:r w:rsidRPr="00CA163B">
        <w:rPr>
          <w:rFonts w:ascii="Times New Roman" w:hAnsi="Times New Roman" w:cs="Times New Roman"/>
          <w:i/>
          <w:iCs/>
          <w:sz w:val="24"/>
          <w:szCs w:val="24"/>
        </w:rPr>
        <w:t>Policy</w:t>
      </w:r>
      <w:proofErr w:type="spellEnd"/>
      <w:r w:rsidRPr="00CA163B">
        <w:rPr>
          <w:rFonts w:ascii="Times New Roman" w:hAnsi="Times New Roman" w:cs="Times New Roman"/>
          <w:i/>
          <w:iCs/>
          <w:sz w:val="24"/>
          <w:szCs w:val="24"/>
        </w:rPr>
        <w:t xml:space="preserve"> Centre for Inclusive Growth</w:t>
      </w:r>
      <w:r w:rsidRPr="00CA163B">
        <w:rPr>
          <w:rFonts w:ascii="Times New Roman" w:hAnsi="Times New Roman" w:cs="Times New Roman"/>
          <w:sz w:val="24"/>
          <w:szCs w:val="24"/>
        </w:rPr>
        <w:t xml:space="preserve">, </w:t>
      </w:r>
      <w:proofErr w:type="spellStart"/>
      <w:r w:rsidRPr="00CA163B">
        <w:rPr>
          <w:rFonts w:ascii="Times New Roman" w:hAnsi="Times New Roman" w:cs="Times New Roman"/>
          <w:sz w:val="24"/>
          <w:szCs w:val="24"/>
        </w:rPr>
        <w:t>Working</w:t>
      </w:r>
      <w:proofErr w:type="spellEnd"/>
      <w:r w:rsidRPr="00CA163B">
        <w:rPr>
          <w:rFonts w:ascii="Times New Roman" w:hAnsi="Times New Roman" w:cs="Times New Roman"/>
          <w:sz w:val="24"/>
          <w:szCs w:val="24"/>
        </w:rPr>
        <w:t xml:space="preserve"> </w:t>
      </w:r>
      <w:proofErr w:type="spellStart"/>
      <w:r w:rsidRPr="00CA163B">
        <w:rPr>
          <w:rFonts w:ascii="Times New Roman" w:hAnsi="Times New Roman" w:cs="Times New Roman"/>
          <w:sz w:val="24"/>
          <w:szCs w:val="24"/>
        </w:rPr>
        <w:t>Paper</w:t>
      </w:r>
      <w:proofErr w:type="spellEnd"/>
      <w:r w:rsidRPr="00CA163B">
        <w:rPr>
          <w:rFonts w:ascii="Times New Roman" w:hAnsi="Times New Roman" w:cs="Times New Roman"/>
          <w:sz w:val="24"/>
          <w:szCs w:val="24"/>
        </w:rPr>
        <w:t xml:space="preserve"> n. 62, 2010.</w:t>
      </w:r>
    </w:p>
    <w:p w14:paraId="032C8542" w14:textId="77777777" w:rsidR="00CA163B" w:rsidRPr="00CA163B" w:rsidRDefault="00CA163B" w:rsidP="00CA163B">
      <w:pPr>
        <w:spacing w:before="240" w:after="0" w:line="240" w:lineRule="auto"/>
        <w:rPr>
          <w:rFonts w:ascii="Times New Roman" w:hAnsi="Times New Roman" w:cs="Times New Roman"/>
          <w:sz w:val="24"/>
          <w:szCs w:val="24"/>
        </w:rPr>
      </w:pPr>
      <w:r w:rsidRPr="00CA163B">
        <w:rPr>
          <w:rFonts w:ascii="Times New Roman" w:hAnsi="Times New Roman" w:cs="Times New Roman"/>
          <w:sz w:val="24"/>
          <w:szCs w:val="24"/>
        </w:rPr>
        <w:t xml:space="preserve">STAKE, R. E. </w:t>
      </w:r>
      <w:r w:rsidRPr="00CA163B">
        <w:rPr>
          <w:rFonts w:ascii="Times New Roman" w:hAnsi="Times New Roman" w:cs="Times New Roman"/>
          <w:i/>
          <w:iCs/>
          <w:sz w:val="24"/>
          <w:szCs w:val="24"/>
        </w:rPr>
        <w:t xml:space="preserve">The </w:t>
      </w:r>
      <w:proofErr w:type="spellStart"/>
      <w:r w:rsidRPr="00CA163B">
        <w:rPr>
          <w:rFonts w:ascii="Times New Roman" w:hAnsi="Times New Roman" w:cs="Times New Roman"/>
          <w:i/>
          <w:iCs/>
          <w:sz w:val="24"/>
          <w:szCs w:val="24"/>
        </w:rPr>
        <w:t>Art</w:t>
      </w:r>
      <w:proofErr w:type="spellEnd"/>
      <w:r w:rsidRPr="00CA163B">
        <w:rPr>
          <w:rFonts w:ascii="Times New Roman" w:hAnsi="Times New Roman" w:cs="Times New Roman"/>
          <w:i/>
          <w:iCs/>
          <w:sz w:val="24"/>
          <w:szCs w:val="24"/>
        </w:rPr>
        <w:t xml:space="preserve"> </w:t>
      </w:r>
      <w:proofErr w:type="spellStart"/>
      <w:r w:rsidRPr="00CA163B">
        <w:rPr>
          <w:rFonts w:ascii="Times New Roman" w:hAnsi="Times New Roman" w:cs="Times New Roman"/>
          <w:i/>
          <w:iCs/>
          <w:sz w:val="24"/>
          <w:szCs w:val="24"/>
        </w:rPr>
        <w:t>of</w:t>
      </w:r>
      <w:proofErr w:type="spellEnd"/>
      <w:r w:rsidRPr="00CA163B">
        <w:rPr>
          <w:rFonts w:ascii="Times New Roman" w:hAnsi="Times New Roman" w:cs="Times New Roman"/>
          <w:i/>
          <w:iCs/>
          <w:sz w:val="24"/>
          <w:szCs w:val="24"/>
        </w:rPr>
        <w:t xml:space="preserve"> Case </w:t>
      </w:r>
      <w:proofErr w:type="spellStart"/>
      <w:r w:rsidRPr="00CA163B">
        <w:rPr>
          <w:rFonts w:ascii="Times New Roman" w:hAnsi="Times New Roman" w:cs="Times New Roman"/>
          <w:i/>
          <w:iCs/>
          <w:sz w:val="24"/>
          <w:szCs w:val="24"/>
        </w:rPr>
        <w:t>Study</w:t>
      </w:r>
      <w:proofErr w:type="spellEnd"/>
      <w:r w:rsidRPr="00CA163B">
        <w:rPr>
          <w:rFonts w:ascii="Times New Roman" w:hAnsi="Times New Roman" w:cs="Times New Roman"/>
          <w:i/>
          <w:iCs/>
          <w:sz w:val="24"/>
          <w:szCs w:val="24"/>
        </w:rPr>
        <w:t xml:space="preserve"> </w:t>
      </w:r>
      <w:proofErr w:type="spellStart"/>
      <w:r w:rsidRPr="00CA163B">
        <w:rPr>
          <w:rFonts w:ascii="Times New Roman" w:hAnsi="Times New Roman" w:cs="Times New Roman"/>
          <w:i/>
          <w:iCs/>
          <w:sz w:val="24"/>
          <w:szCs w:val="24"/>
        </w:rPr>
        <w:t>Research</w:t>
      </w:r>
      <w:proofErr w:type="spellEnd"/>
      <w:r w:rsidRPr="00CA163B">
        <w:rPr>
          <w:rFonts w:ascii="Times New Roman" w:hAnsi="Times New Roman" w:cs="Times New Roman"/>
          <w:sz w:val="24"/>
          <w:szCs w:val="24"/>
        </w:rPr>
        <w:t xml:space="preserve">. Thousand Oaks: SAGE </w:t>
      </w:r>
      <w:proofErr w:type="spellStart"/>
      <w:r w:rsidRPr="00CA163B">
        <w:rPr>
          <w:rFonts w:ascii="Times New Roman" w:hAnsi="Times New Roman" w:cs="Times New Roman"/>
          <w:sz w:val="24"/>
          <w:szCs w:val="24"/>
        </w:rPr>
        <w:t>Publications</w:t>
      </w:r>
      <w:proofErr w:type="spellEnd"/>
      <w:r w:rsidRPr="00CA163B">
        <w:rPr>
          <w:rFonts w:ascii="Times New Roman" w:hAnsi="Times New Roman" w:cs="Times New Roman"/>
          <w:sz w:val="24"/>
          <w:szCs w:val="24"/>
        </w:rPr>
        <w:t>, 2000.</w:t>
      </w:r>
    </w:p>
    <w:p w14:paraId="5E00D74B" w14:textId="77777777" w:rsidR="00CA163B" w:rsidRPr="00CA163B" w:rsidRDefault="00CA163B" w:rsidP="00CA163B">
      <w:pPr>
        <w:spacing w:before="240" w:after="0" w:line="240" w:lineRule="auto"/>
        <w:rPr>
          <w:rFonts w:ascii="Times New Roman" w:hAnsi="Times New Roman" w:cs="Times New Roman"/>
          <w:sz w:val="24"/>
          <w:szCs w:val="24"/>
        </w:rPr>
      </w:pPr>
      <w:r w:rsidRPr="00CA163B">
        <w:rPr>
          <w:rFonts w:ascii="Times New Roman" w:hAnsi="Times New Roman" w:cs="Times New Roman"/>
          <w:sz w:val="24"/>
          <w:szCs w:val="24"/>
        </w:rPr>
        <w:t xml:space="preserve">WEISS, C. H. </w:t>
      </w:r>
      <w:proofErr w:type="spellStart"/>
      <w:r w:rsidRPr="00CA163B">
        <w:rPr>
          <w:rFonts w:ascii="Times New Roman" w:hAnsi="Times New Roman" w:cs="Times New Roman"/>
          <w:i/>
          <w:iCs/>
          <w:sz w:val="24"/>
          <w:szCs w:val="24"/>
        </w:rPr>
        <w:t>Evaluation</w:t>
      </w:r>
      <w:proofErr w:type="spellEnd"/>
      <w:r w:rsidRPr="00CA163B">
        <w:rPr>
          <w:rFonts w:ascii="Times New Roman" w:hAnsi="Times New Roman" w:cs="Times New Roman"/>
          <w:i/>
          <w:iCs/>
          <w:sz w:val="24"/>
          <w:szCs w:val="24"/>
        </w:rPr>
        <w:t xml:space="preserve">: </w:t>
      </w:r>
      <w:proofErr w:type="spellStart"/>
      <w:r w:rsidRPr="00CA163B">
        <w:rPr>
          <w:rFonts w:ascii="Times New Roman" w:hAnsi="Times New Roman" w:cs="Times New Roman"/>
          <w:i/>
          <w:iCs/>
          <w:sz w:val="24"/>
          <w:szCs w:val="24"/>
        </w:rPr>
        <w:t>Methods</w:t>
      </w:r>
      <w:proofErr w:type="spellEnd"/>
      <w:r w:rsidRPr="00CA163B">
        <w:rPr>
          <w:rFonts w:ascii="Times New Roman" w:hAnsi="Times New Roman" w:cs="Times New Roman"/>
          <w:i/>
          <w:iCs/>
          <w:sz w:val="24"/>
          <w:szCs w:val="24"/>
        </w:rPr>
        <w:t xml:space="preserve"> for </w:t>
      </w:r>
      <w:proofErr w:type="spellStart"/>
      <w:r w:rsidRPr="00CA163B">
        <w:rPr>
          <w:rFonts w:ascii="Times New Roman" w:hAnsi="Times New Roman" w:cs="Times New Roman"/>
          <w:i/>
          <w:iCs/>
          <w:sz w:val="24"/>
          <w:szCs w:val="24"/>
        </w:rPr>
        <w:t>Studying</w:t>
      </w:r>
      <w:proofErr w:type="spellEnd"/>
      <w:r w:rsidRPr="00CA163B">
        <w:rPr>
          <w:rFonts w:ascii="Times New Roman" w:hAnsi="Times New Roman" w:cs="Times New Roman"/>
          <w:i/>
          <w:iCs/>
          <w:sz w:val="24"/>
          <w:szCs w:val="24"/>
        </w:rPr>
        <w:t xml:space="preserve"> </w:t>
      </w:r>
      <w:proofErr w:type="spellStart"/>
      <w:r w:rsidRPr="00CA163B">
        <w:rPr>
          <w:rFonts w:ascii="Times New Roman" w:hAnsi="Times New Roman" w:cs="Times New Roman"/>
          <w:i/>
          <w:iCs/>
          <w:sz w:val="24"/>
          <w:szCs w:val="24"/>
        </w:rPr>
        <w:t>Programs</w:t>
      </w:r>
      <w:proofErr w:type="spellEnd"/>
      <w:r w:rsidRPr="00CA163B">
        <w:rPr>
          <w:rFonts w:ascii="Times New Roman" w:hAnsi="Times New Roman" w:cs="Times New Roman"/>
          <w:i/>
          <w:iCs/>
          <w:sz w:val="24"/>
          <w:szCs w:val="24"/>
        </w:rPr>
        <w:t xml:space="preserve"> </w:t>
      </w:r>
      <w:proofErr w:type="spellStart"/>
      <w:r w:rsidRPr="00CA163B">
        <w:rPr>
          <w:rFonts w:ascii="Times New Roman" w:hAnsi="Times New Roman" w:cs="Times New Roman"/>
          <w:i/>
          <w:iCs/>
          <w:sz w:val="24"/>
          <w:szCs w:val="24"/>
        </w:rPr>
        <w:t>and</w:t>
      </w:r>
      <w:proofErr w:type="spellEnd"/>
      <w:r w:rsidRPr="00CA163B">
        <w:rPr>
          <w:rFonts w:ascii="Times New Roman" w:hAnsi="Times New Roman" w:cs="Times New Roman"/>
          <w:i/>
          <w:iCs/>
          <w:sz w:val="24"/>
          <w:szCs w:val="24"/>
        </w:rPr>
        <w:t xml:space="preserve"> Policies</w:t>
      </w:r>
      <w:r w:rsidRPr="00CA163B">
        <w:rPr>
          <w:rFonts w:ascii="Times New Roman" w:hAnsi="Times New Roman" w:cs="Times New Roman"/>
          <w:sz w:val="24"/>
          <w:szCs w:val="24"/>
        </w:rPr>
        <w:t xml:space="preserve">. 2. ed. Upper </w:t>
      </w:r>
      <w:proofErr w:type="spellStart"/>
      <w:r w:rsidRPr="00CA163B">
        <w:rPr>
          <w:rFonts w:ascii="Times New Roman" w:hAnsi="Times New Roman" w:cs="Times New Roman"/>
          <w:sz w:val="24"/>
          <w:szCs w:val="24"/>
        </w:rPr>
        <w:t>Saddle</w:t>
      </w:r>
      <w:proofErr w:type="spellEnd"/>
      <w:r w:rsidRPr="00CA163B">
        <w:rPr>
          <w:rFonts w:ascii="Times New Roman" w:hAnsi="Times New Roman" w:cs="Times New Roman"/>
          <w:sz w:val="24"/>
          <w:szCs w:val="24"/>
        </w:rPr>
        <w:t xml:space="preserve"> River: Prentice Hall, 1998.</w:t>
      </w:r>
    </w:p>
    <w:p w14:paraId="6150396E" w14:textId="77777777" w:rsidR="00CA163B" w:rsidRPr="00CA163B" w:rsidRDefault="00CA163B" w:rsidP="00CA163B">
      <w:pPr>
        <w:spacing w:before="240" w:after="0" w:line="240" w:lineRule="auto"/>
        <w:rPr>
          <w:rFonts w:ascii="Times New Roman" w:hAnsi="Times New Roman" w:cs="Times New Roman"/>
          <w:sz w:val="24"/>
          <w:szCs w:val="24"/>
        </w:rPr>
      </w:pPr>
      <w:r w:rsidRPr="00CA163B">
        <w:rPr>
          <w:rFonts w:ascii="Times New Roman" w:hAnsi="Times New Roman" w:cs="Times New Roman"/>
          <w:sz w:val="24"/>
          <w:szCs w:val="24"/>
        </w:rPr>
        <w:t xml:space="preserve">YIN, R. K. </w:t>
      </w:r>
      <w:r w:rsidRPr="00CA163B">
        <w:rPr>
          <w:rFonts w:ascii="Times New Roman" w:hAnsi="Times New Roman" w:cs="Times New Roman"/>
          <w:i/>
          <w:iCs/>
          <w:sz w:val="24"/>
          <w:szCs w:val="24"/>
        </w:rPr>
        <w:t>Estudo de caso: planejamento e métodos</w:t>
      </w:r>
      <w:r w:rsidRPr="00CA163B">
        <w:rPr>
          <w:rFonts w:ascii="Times New Roman" w:hAnsi="Times New Roman" w:cs="Times New Roman"/>
          <w:sz w:val="24"/>
          <w:szCs w:val="24"/>
        </w:rPr>
        <w:t>. 5. ed. Porto Alegre: Bookman, 2015.</w:t>
      </w:r>
    </w:p>
    <w:p w14:paraId="1F01EF4D" w14:textId="77777777" w:rsidR="00FF6D14" w:rsidRPr="00FF6D14" w:rsidRDefault="00FF6D14" w:rsidP="00FF6D14">
      <w:pPr>
        <w:spacing w:after="0" w:line="360" w:lineRule="auto"/>
        <w:jc w:val="both"/>
        <w:rPr>
          <w:rFonts w:ascii="Times New Roman" w:hAnsi="Times New Roman" w:cs="Times New Roman"/>
          <w:sz w:val="24"/>
          <w:szCs w:val="24"/>
        </w:rPr>
      </w:pPr>
    </w:p>
    <w:p w14:paraId="2DE4C99D" w14:textId="77777777" w:rsidR="00E53CC7" w:rsidRPr="00FF6D14" w:rsidRDefault="00E53CC7" w:rsidP="00FF6D14">
      <w:pPr>
        <w:spacing w:after="0" w:line="360" w:lineRule="auto"/>
        <w:jc w:val="both"/>
        <w:rPr>
          <w:rFonts w:ascii="Times New Roman" w:hAnsi="Times New Roman" w:cs="Times New Roman"/>
          <w:sz w:val="24"/>
          <w:szCs w:val="24"/>
        </w:rPr>
      </w:pPr>
    </w:p>
    <w:sectPr w:rsidR="00E53CC7" w:rsidRPr="00FF6D14" w:rsidSect="00FF6D14">
      <w:headerReference w:type="default" r:id="rId12"/>
      <w:footerReference w:type="default" r:id="rId13"/>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C2AD1" w14:textId="77777777" w:rsidR="002F6866" w:rsidRDefault="002F6866" w:rsidP="00E20E0E">
      <w:pPr>
        <w:spacing w:after="0" w:line="240" w:lineRule="auto"/>
      </w:pPr>
      <w:r>
        <w:separator/>
      </w:r>
    </w:p>
  </w:endnote>
  <w:endnote w:type="continuationSeparator" w:id="0">
    <w:p w14:paraId="053C1DCC" w14:textId="77777777" w:rsidR="002F6866" w:rsidRDefault="002F6866" w:rsidP="00E20E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17942" w14:textId="5C89C7F9" w:rsidR="00E20E0E" w:rsidRPr="00E20E0E" w:rsidRDefault="00E20E0E" w:rsidP="00E20E0E">
    <w:pPr>
      <w:pStyle w:val="Cabealho"/>
      <w:jc w:val="center"/>
      <w:rPr>
        <w:rFonts w:ascii="Times New Roman" w:hAnsi="Times New Roman" w:cs="Times New Roman"/>
        <w:b/>
        <w:bCs/>
        <w:sz w:val="20"/>
        <w:szCs w:val="20"/>
      </w:rPr>
    </w:pPr>
    <w:r w:rsidRPr="00E20E0E">
      <w:rPr>
        <w:rFonts w:ascii="Times New Roman" w:hAnsi="Times New Roman" w:cs="Times New Roman"/>
        <w:b/>
        <w:bCs/>
        <w:sz w:val="20"/>
        <w:szCs w:val="20"/>
      </w:rPr>
      <w:t>MESTRADO PROFISSIONAL EM CIÊNCIA POLÍTICA E RELAÇÕES INTERNACIONAIS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05328" w14:textId="77777777" w:rsidR="002F6866" w:rsidRDefault="002F6866" w:rsidP="00E20E0E">
      <w:pPr>
        <w:spacing w:after="0" w:line="240" w:lineRule="auto"/>
      </w:pPr>
      <w:r>
        <w:separator/>
      </w:r>
    </w:p>
  </w:footnote>
  <w:footnote w:type="continuationSeparator" w:id="0">
    <w:p w14:paraId="5E91605F" w14:textId="77777777" w:rsidR="002F6866" w:rsidRDefault="002F6866" w:rsidP="00E20E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2A15" w14:textId="33C76CFA" w:rsidR="00AC5A81" w:rsidRDefault="00AC5A81">
    <w:pPr>
      <w:pStyle w:val="Cabealho"/>
    </w:pPr>
    <w:r>
      <w:rPr>
        <w:noProof/>
      </w:rPr>
      <w:drawing>
        <wp:inline distT="0" distB="0" distL="0" distR="0" wp14:anchorId="04AC79C8" wp14:editId="753C76AB">
          <wp:extent cx="713416" cy="571500"/>
          <wp:effectExtent l="0" t="0" r="0" b="0"/>
          <wp:docPr id="680627612" name="Imagem 4" descr="Placa branca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27612" name="Imagem 4" descr="Placa branca com texto preto sobre fundo branco&#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735566" cy="58924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1B0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EAD4892"/>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2017073"/>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3880A0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3D2596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8F0456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DED12B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DF25EF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13447B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6B56D2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23E0FCF"/>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BE1481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003431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07E3A8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6A414E2"/>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B5058E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E5537A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C20346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70984345">
    <w:abstractNumId w:val="2"/>
  </w:num>
  <w:num w:numId="2" w16cid:durableId="585849592">
    <w:abstractNumId w:val="4"/>
  </w:num>
  <w:num w:numId="3" w16cid:durableId="1943759043">
    <w:abstractNumId w:val="16"/>
  </w:num>
  <w:num w:numId="4" w16cid:durableId="7372482">
    <w:abstractNumId w:val="5"/>
  </w:num>
  <w:num w:numId="5" w16cid:durableId="2133598162">
    <w:abstractNumId w:val="17"/>
  </w:num>
  <w:num w:numId="6" w16cid:durableId="198662778">
    <w:abstractNumId w:val="11"/>
  </w:num>
  <w:num w:numId="7" w16cid:durableId="1383753194">
    <w:abstractNumId w:val="3"/>
  </w:num>
  <w:num w:numId="8" w16cid:durableId="534275759">
    <w:abstractNumId w:val="1"/>
  </w:num>
  <w:num w:numId="9" w16cid:durableId="1809741596">
    <w:abstractNumId w:val="6"/>
  </w:num>
  <w:num w:numId="10" w16cid:durableId="716469533">
    <w:abstractNumId w:val="7"/>
  </w:num>
  <w:num w:numId="11" w16cid:durableId="893154577">
    <w:abstractNumId w:val="13"/>
  </w:num>
  <w:num w:numId="12" w16cid:durableId="57368530">
    <w:abstractNumId w:val="9"/>
  </w:num>
  <w:num w:numId="13" w16cid:durableId="806699523">
    <w:abstractNumId w:val="10"/>
  </w:num>
  <w:num w:numId="14" w16cid:durableId="2132698871">
    <w:abstractNumId w:val="14"/>
  </w:num>
  <w:num w:numId="15" w16cid:durableId="980384888">
    <w:abstractNumId w:val="15"/>
  </w:num>
  <w:num w:numId="16" w16cid:durableId="1995252799">
    <w:abstractNumId w:val="12"/>
  </w:num>
  <w:num w:numId="17" w16cid:durableId="1976717810">
    <w:abstractNumId w:val="0"/>
  </w:num>
  <w:num w:numId="18" w16cid:durableId="13527994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D14"/>
    <w:rsid w:val="00092BEC"/>
    <w:rsid w:val="000A3D7A"/>
    <w:rsid w:val="000E4475"/>
    <w:rsid w:val="00115CA6"/>
    <w:rsid w:val="002F6866"/>
    <w:rsid w:val="003833F4"/>
    <w:rsid w:val="00404305"/>
    <w:rsid w:val="0044661E"/>
    <w:rsid w:val="005B6FCA"/>
    <w:rsid w:val="006119E8"/>
    <w:rsid w:val="00685136"/>
    <w:rsid w:val="006D3F19"/>
    <w:rsid w:val="00743C83"/>
    <w:rsid w:val="00757EBB"/>
    <w:rsid w:val="0086356B"/>
    <w:rsid w:val="00A4503A"/>
    <w:rsid w:val="00AC5A81"/>
    <w:rsid w:val="00B80ADB"/>
    <w:rsid w:val="00C039B1"/>
    <w:rsid w:val="00C414D2"/>
    <w:rsid w:val="00CA163B"/>
    <w:rsid w:val="00CE00A5"/>
    <w:rsid w:val="00D5303D"/>
    <w:rsid w:val="00E20E0E"/>
    <w:rsid w:val="00E25E90"/>
    <w:rsid w:val="00E53CC7"/>
    <w:rsid w:val="00E7452B"/>
    <w:rsid w:val="00F017BE"/>
    <w:rsid w:val="00F569B7"/>
    <w:rsid w:val="00FC5563"/>
    <w:rsid w:val="00FF6D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DFA25"/>
  <w15:chartTrackingRefBased/>
  <w15:docId w15:val="{7474C151-B30E-406C-AB61-0FC2D16D6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F6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F6D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F6D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F6D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F6D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F6D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F6D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F6D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F6D1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F6D1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F6D1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F6D1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F6D1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F6D1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F6D1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F6D1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F6D1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F6D14"/>
    <w:rPr>
      <w:rFonts w:eastAsiaTheme="majorEastAsia" w:cstheme="majorBidi"/>
      <w:color w:val="272727" w:themeColor="text1" w:themeTint="D8"/>
    </w:rPr>
  </w:style>
  <w:style w:type="paragraph" w:styleId="Ttulo">
    <w:name w:val="Title"/>
    <w:basedOn w:val="Normal"/>
    <w:next w:val="Normal"/>
    <w:link w:val="TtuloChar"/>
    <w:uiPriority w:val="10"/>
    <w:qFormat/>
    <w:rsid w:val="00FF6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F6D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F6D1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F6D1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F6D14"/>
    <w:pPr>
      <w:spacing w:before="160"/>
      <w:jc w:val="center"/>
    </w:pPr>
    <w:rPr>
      <w:i/>
      <w:iCs/>
      <w:color w:val="404040" w:themeColor="text1" w:themeTint="BF"/>
    </w:rPr>
  </w:style>
  <w:style w:type="character" w:customStyle="1" w:styleId="CitaoChar">
    <w:name w:val="Citação Char"/>
    <w:basedOn w:val="Fontepargpadro"/>
    <w:link w:val="Citao"/>
    <w:uiPriority w:val="29"/>
    <w:rsid w:val="00FF6D14"/>
    <w:rPr>
      <w:i/>
      <w:iCs/>
      <w:color w:val="404040" w:themeColor="text1" w:themeTint="BF"/>
    </w:rPr>
  </w:style>
  <w:style w:type="paragraph" w:styleId="PargrafodaLista">
    <w:name w:val="List Paragraph"/>
    <w:basedOn w:val="Normal"/>
    <w:uiPriority w:val="34"/>
    <w:qFormat/>
    <w:rsid w:val="00FF6D14"/>
    <w:pPr>
      <w:ind w:left="720"/>
      <w:contextualSpacing/>
    </w:pPr>
  </w:style>
  <w:style w:type="character" w:styleId="nfaseIntensa">
    <w:name w:val="Intense Emphasis"/>
    <w:basedOn w:val="Fontepargpadro"/>
    <w:uiPriority w:val="21"/>
    <w:qFormat/>
    <w:rsid w:val="00FF6D14"/>
    <w:rPr>
      <w:i/>
      <w:iCs/>
      <w:color w:val="0F4761" w:themeColor="accent1" w:themeShade="BF"/>
    </w:rPr>
  </w:style>
  <w:style w:type="paragraph" w:styleId="CitaoIntensa">
    <w:name w:val="Intense Quote"/>
    <w:basedOn w:val="Normal"/>
    <w:next w:val="Normal"/>
    <w:link w:val="CitaoIntensaChar"/>
    <w:uiPriority w:val="30"/>
    <w:qFormat/>
    <w:rsid w:val="00FF6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F6D14"/>
    <w:rPr>
      <w:i/>
      <w:iCs/>
      <w:color w:val="0F4761" w:themeColor="accent1" w:themeShade="BF"/>
    </w:rPr>
  </w:style>
  <w:style w:type="character" w:styleId="RefernciaIntensa">
    <w:name w:val="Intense Reference"/>
    <w:basedOn w:val="Fontepargpadro"/>
    <w:uiPriority w:val="32"/>
    <w:qFormat/>
    <w:rsid w:val="00FF6D14"/>
    <w:rPr>
      <w:b/>
      <w:bCs/>
      <w:smallCaps/>
      <w:color w:val="0F4761" w:themeColor="accent1" w:themeShade="BF"/>
      <w:spacing w:val="5"/>
    </w:rPr>
  </w:style>
  <w:style w:type="character" w:styleId="Hyperlink">
    <w:name w:val="Hyperlink"/>
    <w:basedOn w:val="Fontepargpadro"/>
    <w:uiPriority w:val="99"/>
    <w:unhideWhenUsed/>
    <w:rsid w:val="00CA163B"/>
    <w:rPr>
      <w:color w:val="467886" w:themeColor="hyperlink"/>
      <w:u w:val="single"/>
    </w:rPr>
  </w:style>
  <w:style w:type="character" w:styleId="MenoPendente">
    <w:name w:val="Unresolved Mention"/>
    <w:basedOn w:val="Fontepargpadro"/>
    <w:uiPriority w:val="99"/>
    <w:semiHidden/>
    <w:unhideWhenUsed/>
    <w:rsid w:val="00CA163B"/>
    <w:rPr>
      <w:color w:val="605E5C"/>
      <w:shd w:val="clear" w:color="auto" w:fill="E1DFDD"/>
    </w:rPr>
  </w:style>
  <w:style w:type="paragraph" w:styleId="Cabealho">
    <w:name w:val="header"/>
    <w:basedOn w:val="Normal"/>
    <w:link w:val="CabealhoChar"/>
    <w:uiPriority w:val="99"/>
    <w:unhideWhenUsed/>
    <w:rsid w:val="00E20E0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20E0E"/>
  </w:style>
  <w:style w:type="paragraph" w:styleId="Rodap">
    <w:name w:val="footer"/>
    <w:basedOn w:val="Normal"/>
    <w:link w:val="RodapChar"/>
    <w:uiPriority w:val="99"/>
    <w:unhideWhenUsed/>
    <w:rsid w:val="00E20E0E"/>
    <w:pPr>
      <w:tabs>
        <w:tab w:val="center" w:pos="4252"/>
        <w:tab w:val="right" w:pos="8504"/>
      </w:tabs>
      <w:spacing w:after="0" w:line="240" w:lineRule="auto"/>
    </w:pPr>
  </w:style>
  <w:style w:type="character" w:customStyle="1" w:styleId="RodapChar">
    <w:name w:val="Rodapé Char"/>
    <w:basedOn w:val="Fontepargpadro"/>
    <w:link w:val="Rodap"/>
    <w:uiPriority w:val="99"/>
    <w:rsid w:val="00E20E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54686">
      <w:bodyDiv w:val="1"/>
      <w:marLeft w:val="0"/>
      <w:marRight w:val="0"/>
      <w:marTop w:val="0"/>
      <w:marBottom w:val="0"/>
      <w:divBdr>
        <w:top w:val="none" w:sz="0" w:space="0" w:color="auto"/>
        <w:left w:val="none" w:sz="0" w:space="0" w:color="auto"/>
        <w:bottom w:val="none" w:sz="0" w:space="0" w:color="auto"/>
        <w:right w:val="none" w:sz="0" w:space="0" w:color="auto"/>
      </w:divBdr>
    </w:div>
    <w:div w:id="53704185">
      <w:bodyDiv w:val="1"/>
      <w:marLeft w:val="0"/>
      <w:marRight w:val="0"/>
      <w:marTop w:val="0"/>
      <w:marBottom w:val="0"/>
      <w:divBdr>
        <w:top w:val="none" w:sz="0" w:space="0" w:color="auto"/>
        <w:left w:val="none" w:sz="0" w:space="0" w:color="auto"/>
        <w:bottom w:val="none" w:sz="0" w:space="0" w:color="auto"/>
        <w:right w:val="none" w:sz="0" w:space="0" w:color="auto"/>
      </w:divBdr>
    </w:div>
    <w:div w:id="85811831">
      <w:bodyDiv w:val="1"/>
      <w:marLeft w:val="0"/>
      <w:marRight w:val="0"/>
      <w:marTop w:val="0"/>
      <w:marBottom w:val="0"/>
      <w:divBdr>
        <w:top w:val="none" w:sz="0" w:space="0" w:color="auto"/>
        <w:left w:val="none" w:sz="0" w:space="0" w:color="auto"/>
        <w:bottom w:val="none" w:sz="0" w:space="0" w:color="auto"/>
        <w:right w:val="none" w:sz="0" w:space="0" w:color="auto"/>
      </w:divBdr>
    </w:div>
    <w:div w:id="92672054">
      <w:bodyDiv w:val="1"/>
      <w:marLeft w:val="0"/>
      <w:marRight w:val="0"/>
      <w:marTop w:val="0"/>
      <w:marBottom w:val="0"/>
      <w:divBdr>
        <w:top w:val="none" w:sz="0" w:space="0" w:color="auto"/>
        <w:left w:val="none" w:sz="0" w:space="0" w:color="auto"/>
        <w:bottom w:val="none" w:sz="0" w:space="0" w:color="auto"/>
        <w:right w:val="none" w:sz="0" w:space="0" w:color="auto"/>
      </w:divBdr>
    </w:div>
    <w:div w:id="105124343">
      <w:bodyDiv w:val="1"/>
      <w:marLeft w:val="0"/>
      <w:marRight w:val="0"/>
      <w:marTop w:val="0"/>
      <w:marBottom w:val="0"/>
      <w:divBdr>
        <w:top w:val="none" w:sz="0" w:space="0" w:color="auto"/>
        <w:left w:val="none" w:sz="0" w:space="0" w:color="auto"/>
        <w:bottom w:val="none" w:sz="0" w:space="0" w:color="auto"/>
        <w:right w:val="none" w:sz="0" w:space="0" w:color="auto"/>
      </w:divBdr>
    </w:div>
    <w:div w:id="251086918">
      <w:bodyDiv w:val="1"/>
      <w:marLeft w:val="0"/>
      <w:marRight w:val="0"/>
      <w:marTop w:val="0"/>
      <w:marBottom w:val="0"/>
      <w:divBdr>
        <w:top w:val="none" w:sz="0" w:space="0" w:color="auto"/>
        <w:left w:val="none" w:sz="0" w:space="0" w:color="auto"/>
        <w:bottom w:val="none" w:sz="0" w:space="0" w:color="auto"/>
        <w:right w:val="none" w:sz="0" w:space="0" w:color="auto"/>
      </w:divBdr>
    </w:div>
    <w:div w:id="272326514">
      <w:bodyDiv w:val="1"/>
      <w:marLeft w:val="0"/>
      <w:marRight w:val="0"/>
      <w:marTop w:val="0"/>
      <w:marBottom w:val="0"/>
      <w:divBdr>
        <w:top w:val="none" w:sz="0" w:space="0" w:color="auto"/>
        <w:left w:val="none" w:sz="0" w:space="0" w:color="auto"/>
        <w:bottom w:val="none" w:sz="0" w:space="0" w:color="auto"/>
        <w:right w:val="none" w:sz="0" w:space="0" w:color="auto"/>
      </w:divBdr>
    </w:div>
    <w:div w:id="293952095">
      <w:bodyDiv w:val="1"/>
      <w:marLeft w:val="0"/>
      <w:marRight w:val="0"/>
      <w:marTop w:val="0"/>
      <w:marBottom w:val="0"/>
      <w:divBdr>
        <w:top w:val="none" w:sz="0" w:space="0" w:color="auto"/>
        <w:left w:val="none" w:sz="0" w:space="0" w:color="auto"/>
        <w:bottom w:val="none" w:sz="0" w:space="0" w:color="auto"/>
        <w:right w:val="none" w:sz="0" w:space="0" w:color="auto"/>
      </w:divBdr>
    </w:div>
    <w:div w:id="297153699">
      <w:bodyDiv w:val="1"/>
      <w:marLeft w:val="0"/>
      <w:marRight w:val="0"/>
      <w:marTop w:val="0"/>
      <w:marBottom w:val="0"/>
      <w:divBdr>
        <w:top w:val="none" w:sz="0" w:space="0" w:color="auto"/>
        <w:left w:val="none" w:sz="0" w:space="0" w:color="auto"/>
        <w:bottom w:val="none" w:sz="0" w:space="0" w:color="auto"/>
        <w:right w:val="none" w:sz="0" w:space="0" w:color="auto"/>
      </w:divBdr>
    </w:div>
    <w:div w:id="302079512">
      <w:bodyDiv w:val="1"/>
      <w:marLeft w:val="0"/>
      <w:marRight w:val="0"/>
      <w:marTop w:val="0"/>
      <w:marBottom w:val="0"/>
      <w:divBdr>
        <w:top w:val="none" w:sz="0" w:space="0" w:color="auto"/>
        <w:left w:val="none" w:sz="0" w:space="0" w:color="auto"/>
        <w:bottom w:val="none" w:sz="0" w:space="0" w:color="auto"/>
        <w:right w:val="none" w:sz="0" w:space="0" w:color="auto"/>
      </w:divBdr>
    </w:div>
    <w:div w:id="337004574">
      <w:bodyDiv w:val="1"/>
      <w:marLeft w:val="0"/>
      <w:marRight w:val="0"/>
      <w:marTop w:val="0"/>
      <w:marBottom w:val="0"/>
      <w:divBdr>
        <w:top w:val="none" w:sz="0" w:space="0" w:color="auto"/>
        <w:left w:val="none" w:sz="0" w:space="0" w:color="auto"/>
        <w:bottom w:val="none" w:sz="0" w:space="0" w:color="auto"/>
        <w:right w:val="none" w:sz="0" w:space="0" w:color="auto"/>
      </w:divBdr>
    </w:div>
    <w:div w:id="370039412">
      <w:bodyDiv w:val="1"/>
      <w:marLeft w:val="0"/>
      <w:marRight w:val="0"/>
      <w:marTop w:val="0"/>
      <w:marBottom w:val="0"/>
      <w:divBdr>
        <w:top w:val="none" w:sz="0" w:space="0" w:color="auto"/>
        <w:left w:val="none" w:sz="0" w:space="0" w:color="auto"/>
        <w:bottom w:val="none" w:sz="0" w:space="0" w:color="auto"/>
        <w:right w:val="none" w:sz="0" w:space="0" w:color="auto"/>
      </w:divBdr>
    </w:div>
    <w:div w:id="391123560">
      <w:bodyDiv w:val="1"/>
      <w:marLeft w:val="0"/>
      <w:marRight w:val="0"/>
      <w:marTop w:val="0"/>
      <w:marBottom w:val="0"/>
      <w:divBdr>
        <w:top w:val="none" w:sz="0" w:space="0" w:color="auto"/>
        <w:left w:val="none" w:sz="0" w:space="0" w:color="auto"/>
        <w:bottom w:val="none" w:sz="0" w:space="0" w:color="auto"/>
        <w:right w:val="none" w:sz="0" w:space="0" w:color="auto"/>
      </w:divBdr>
    </w:div>
    <w:div w:id="430005616">
      <w:bodyDiv w:val="1"/>
      <w:marLeft w:val="0"/>
      <w:marRight w:val="0"/>
      <w:marTop w:val="0"/>
      <w:marBottom w:val="0"/>
      <w:divBdr>
        <w:top w:val="none" w:sz="0" w:space="0" w:color="auto"/>
        <w:left w:val="none" w:sz="0" w:space="0" w:color="auto"/>
        <w:bottom w:val="none" w:sz="0" w:space="0" w:color="auto"/>
        <w:right w:val="none" w:sz="0" w:space="0" w:color="auto"/>
      </w:divBdr>
    </w:div>
    <w:div w:id="485585676">
      <w:bodyDiv w:val="1"/>
      <w:marLeft w:val="0"/>
      <w:marRight w:val="0"/>
      <w:marTop w:val="0"/>
      <w:marBottom w:val="0"/>
      <w:divBdr>
        <w:top w:val="none" w:sz="0" w:space="0" w:color="auto"/>
        <w:left w:val="none" w:sz="0" w:space="0" w:color="auto"/>
        <w:bottom w:val="none" w:sz="0" w:space="0" w:color="auto"/>
        <w:right w:val="none" w:sz="0" w:space="0" w:color="auto"/>
      </w:divBdr>
    </w:div>
    <w:div w:id="501117572">
      <w:bodyDiv w:val="1"/>
      <w:marLeft w:val="0"/>
      <w:marRight w:val="0"/>
      <w:marTop w:val="0"/>
      <w:marBottom w:val="0"/>
      <w:divBdr>
        <w:top w:val="none" w:sz="0" w:space="0" w:color="auto"/>
        <w:left w:val="none" w:sz="0" w:space="0" w:color="auto"/>
        <w:bottom w:val="none" w:sz="0" w:space="0" w:color="auto"/>
        <w:right w:val="none" w:sz="0" w:space="0" w:color="auto"/>
      </w:divBdr>
    </w:div>
    <w:div w:id="514155926">
      <w:bodyDiv w:val="1"/>
      <w:marLeft w:val="0"/>
      <w:marRight w:val="0"/>
      <w:marTop w:val="0"/>
      <w:marBottom w:val="0"/>
      <w:divBdr>
        <w:top w:val="none" w:sz="0" w:space="0" w:color="auto"/>
        <w:left w:val="none" w:sz="0" w:space="0" w:color="auto"/>
        <w:bottom w:val="none" w:sz="0" w:space="0" w:color="auto"/>
        <w:right w:val="none" w:sz="0" w:space="0" w:color="auto"/>
      </w:divBdr>
    </w:div>
    <w:div w:id="532422063">
      <w:bodyDiv w:val="1"/>
      <w:marLeft w:val="0"/>
      <w:marRight w:val="0"/>
      <w:marTop w:val="0"/>
      <w:marBottom w:val="0"/>
      <w:divBdr>
        <w:top w:val="none" w:sz="0" w:space="0" w:color="auto"/>
        <w:left w:val="none" w:sz="0" w:space="0" w:color="auto"/>
        <w:bottom w:val="none" w:sz="0" w:space="0" w:color="auto"/>
        <w:right w:val="none" w:sz="0" w:space="0" w:color="auto"/>
      </w:divBdr>
    </w:div>
    <w:div w:id="551692217">
      <w:bodyDiv w:val="1"/>
      <w:marLeft w:val="0"/>
      <w:marRight w:val="0"/>
      <w:marTop w:val="0"/>
      <w:marBottom w:val="0"/>
      <w:divBdr>
        <w:top w:val="none" w:sz="0" w:space="0" w:color="auto"/>
        <w:left w:val="none" w:sz="0" w:space="0" w:color="auto"/>
        <w:bottom w:val="none" w:sz="0" w:space="0" w:color="auto"/>
        <w:right w:val="none" w:sz="0" w:space="0" w:color="auto"/>
      </w:divBdr>
    </w:div>
    <w:div w:id="593245245">
      <w:bodyDiv w:val="1"/>
      <w:marLeft w:val="0"/>
      <w:marRight w:val="0"/>
      <w:marTop w:val="0"/>
      <w:marBottom w:val="0"/>
      <w:divBdr>
        <w:top w:val="none" w:sz="0" w:space="0" w:color="auto"/>
        <w:left w:val="none" w:sz="0" w:space="0" w:color="auto"/>
        <w:bottom w:val="none" w:sz="0" w:space="0" w:color="auto"/>
        <w:right w:val="none" w:sz="0" w:space="0" w:color="auto"/>
      </w:divBdr>
    </w:div>
    <w:div w:id="604074265">
      <w:bodyDiv w:val="1"/>
      <w:marLeft w:val="0"/>
      <w:marRight w:val="0"/>
      <w:marTop w:val="0"/>
      <w:marBottom w:val="0"/>
      <w:divBdr>
        <w:top w:val="none" w:sz="0" w:space="0" w:color="auto"/>
        <w:left w:val="none" w:sz="0" w:space="0" w:color="auto"/>
        <w:bottom w:val="none" w:sz="0" w:space="0" w:color="auto"/>
        <w:right w:val="none" w:sz="0" w:space="0" w:color="auto"/>
      </w:divBdr>
    </w:div>
    <w:div w:id="651719843">
      <w:bodyDiv w:val="1"/>
      <w:marLeft w:val="0"/>
      <w:marRight w:val="0"/>
      <w:marTop w:val="0"/>
      <w:marBottom w:val="0"/>
      <w:divBdr>
        <w:top w:val="none" w:sz="0" w:space="0" w:color="auto"/>
        <w:left w:val="none" w:sz="0" w:space="0" w:color="auto"/>
        <w:bottom w:val="none" w:sz="0" w:space="0" w:color="auto"/>
        <w:right w:val="none" w:sz="0" w:space="0" w:color="auto"/>
      </w:divBdr>
    </w:div>
    <w:div w:id="695496560">
      <w:bodyDiv w:val="1"/>
      <w:marLeft w:val="0"/>
      <w:marRight w:val="0"/>
      <w:marTop w:val="0"/>
      <w:marBottom w:val="0"/>
      <w:divBdr>
        <w:top w:val="none" w:sz="0" w:space="0" w:color="auto"/>
        <w:left w:val="none" w:sz="0" w:space="0" w:color="auto"/>
        <w:bottom w:val="none" w:sz="0" w:space="0" w:color="auto"/>
        <w:right w:val="none" w:sz="0" w:space="0" w:color="auto"/>
      </w:divBdr>
    </w:div>
    <w:div w:id="777992994">
      <w:bodyDiv w:val="1"/>
      <w:marLeft w:val="0"/>
      <w:marRight w:val="0"/>
      <w:marTop w:val="0"/>
      <w:marBottom w:val="0"/>
      <w:divBdr>
        <w:top w:val="none" w:sz="0" w:space="0" w:color="auto"/>
        <w:left w:val="none" w:sz="0" w:space="0" w:color="auto"/>
        <w:bottom w:val="none" w:sz="0" w:space="0" w:color="auto"/>
        <w:right w:val="none" w:sz="0" w:space="0" w:color="auto"/>
      </w:divBdr>
    </w:div>
    <w:div w:id="820535344">
      <w:bodyDiv w:val="1"/>
      <w:marLeft w:val="0"/>
      <w:marRight w:val="0"/>
      <w:marTop w:val="0"/>
      <w:marBottom w:val="0"/>
      <w:divBdr>
        <w:top w:val="none" w:sz="0" w:space="0" w:color="auto"/>
        <w:left w:val="none" w:sz="0" w:space="0" w:color="auto"/>
        <w:bottom w:val="none" w:sz="0" w:space="0" w:color="auto"/>
        <w:right w:val="none" w:sz="0" w:space="0" w:color="auto"/>
      </w:divBdr>
    </w:div>
    <w:div w:id="826676808">
      <w:bodyDiv w:val="1"/>
      <w:marLeft w:val="0"/>
      <w:marRight w:val="0"/>
      <w:marTop w:val="0"/>
      <w:marBottom w:val="0"/>
      <w:divBdr>
        <w:top w:val="none" w:sz="0" w:space="0" w:color="auto"/>
        <w:left w:val="none" w:sz="0" w:space="0" w:color="auto"/>
        <w:bottom w:val="none" w:sz="0" w:space="0" w:color="auto"/>
        <w:right w:val="none" w:sz="0" w:space="0" w:color="auto"/>
      </w:divBdr>
    </w:div>
    <w:div w:id="896548291">
      <w:bodyDiv w:val="1"/>
      <w:marLeft w:val="0"/>
      <w:marRight w:val="0"/>
      <w:marTop w:val="0"/>
      <w:marBottom w:val="0"/>
      <w:divBdr>
        <w:top w:val="none" w:sz="0" w:space="0" w:color="auto"/>
        <w:left w:val="none" w:sz="0" w:space="0" w:color="auto"/>
        <w:bottom w:val="none" w:sz="0" w:space="0" w:color="auto"/>
        <w:right w:val="none" w:sz="0" w:space="0" w:color="auto"/>
      </w:divBdr>
    </w:div>
    <w:div w:id="946235622">
      <w:bodyDiv w:val="1"/>
      <w:marLeft w:val="0"/>
      <w:marRight w:val="0"/>
      <w:marTop w:val="0"/>
      <w:marBottom w:val="0"/>
      <w:divBdr>
        <w:top w:val="none" w:sz="0" w:space="0" w:color="auto"/>
        <w:left w:val="none" w:sz="0" w:space="0" w:color="auto"/>
        <w:bottom w:val="none" w:sz="0" w:space="0" w:color="auto"/>
        <w:right w:val="none" w:sz="0" w:space="0" w:color="auto"/>
      </w:divBdr>
    </w:div>
    <w:div w:id="998652840">
      <w:bodyDiv w:val="1"/>
      <w:marLeft w:val="0"/>
      <w:marRight w:val="0"/>
      <w:marTop w:val="0"/>
      <w:marBottom w:val="0"/>
      <w:divBdr>
        <w:top w:val="none" w:sz="0" w:space="0" w:color="auto"/>
        <w:left w:val="none" w:sz="0" w:space="0" w:color="auto"/>
        <w:bottom w:val="none" w:sz="0" w:space="0" w:color="auto"/>
        <w:right w:val="none" w:sz="0" w:space="0" w:color="auto"/>
      </w:divBdr>
    </w:div>
    <w:div w:id="1163280196">
      <w:bodyDiv w:val="1"/>
      <w:marLeft w:val="0"/>
      <w:marRight w:val="0"/>
      <w:marTop w:val="0"/>
      <w:marBottom w:val="0"/>
      <w:divBdr>
        <w:top w:val="none" w:sz="0" w:space="0" w:color="auto"/>
        <w:left w:val="none" w:sz="0" w:space="0" w:color="auto"/>
        <w:bottom w:val="none" w:sz="0" w:space="0" w:color="auto"/>
        <w:right w:val="none" w:sz="0" w:space="0" w:color="auto"/>
      </w:divBdr>
    </w:div>
    <w:div w:id="1186865681">
      <w:bodyDiv w:val="1"/>
      <w:marLeft w:val="0"/>
      <w:marRight w:val="0"/>
      <w:marTop w:val="0"/>
      <w:marBottom w:val="0"/>
      <w:divBdr>
        <w:top w:val="none" w:sz="0" w:space="0" w:color="auto"/>
        <w:left w:val="none" w:sz="0" w:space="0" w:color="auto"/>
        <w:bottom w:val="none" w:sz="0" w:space="0" w:color="auto"/>
        <w:right w:val="none" w:sz="0" w:space="0" w:color="auto"/>
      </w:divBdr>
    </w:div>
    <w:div w:id="1214000150">
      <w:bodyDiv w:val="1"/>
      <w:marLeft w:val="0"/>
      <w:marRight w:val="0"/>
      <w:marTop w:val="0"/>
      <w:marBottom w:val="0"/>
      <w:divBdr>
        <w:top w:val="none" w:sz="0" w:space="0" w:color="auto"/>
        <w:left w:val="none" w:sz="0" w:space="0" w:color="auto"/>
        <w:bottom w:val="none" w:sz="0" w:space="0" w:color="auto"/>
        <w:right w:val="none" w:sz="0" w:space="0" w:color="auto"/>
      </w:divBdr>
    </w:div>
    <w:div w:id="1315723856">
      <w:bodyDiv w:val="1"/>
      <w:marLeft w:val="0"/>
      <w:marRight w:val="0"/>
      <w:marTop w:val="0"/>
      <w:marBottom w:val="0"/>
      <w:divBdr>
        <w:top w:val="none" w:sz="0" w:space="0" w:color="auto"/>
        <w:left w:val="none" w:sz="0" w:space="0" w:color="auto"/>
        <w:bottom w:val="none" w:sz="0" w:space="0" w:color="auto"/>
        <w:right w:val="none" w:sz="0" w:space="0" w:color="auto"/>
      </w:divBdr>
    </w:div>
    <w:div w:id="1324964884">
      <w:bodyDiv w:val="1"/>
      <w:marLeft w:val="0"/>
      <w:marRight w:val="0"/>
      <w:marTop w:val="0"/>
      <w:marBottom w:val="0"/>
      <w:divBdr>
        <w:top w:val="none" w:sz="0" w:space="0" w:color="auto"/>
        <w:left w:val="none" w:sz="0" w:space="0" w:color="auto"/>
        <w:bottom w:val="none" w:sz="0" w:space="0" w:color="auto"/>
        <w:right w:val="none" w:sz="0" w:space="0" w:color="auto"/>
      </w:divBdr>
    </w:div>
    <w:div w:id="1340230190">
      <w:bodyDiv w:val="1"/>
      <w:marLeft w:val="0"/>
      <w:marRight w:val="0"/>
      <w:marTop w:val="0"/>
      <w:marBottom w:val="0"/>
      <w:divBdr>
        <w:top w:val="none" w:sz="0" w:space="0" w:color="auto"/>
        <w:left w:val="none" w:sz="0" w:space="0" w:color="auto"/>
        <w:bottom w:val="none" w:sz="0" w:space="0" w:color="auto"/>
        <w:right w:val="none" w:sz="0" w:space="0" w:color="auto"/>
      </w:divBdr>
    </w:div>
    <w:div w:id="1369987807">
      <w:bodyDiv w:val="1"/>
      <w:marLeft w:val="0"/>
      <w:marRight w:val="0"/>
      <w:marTop w:val="0"/>
      <w:marBottom w:val="0"/>
      <w:divBdr>
        <w:top w:val="none" w:sz="0" w:space="0" w:color="auto"/>
        <w:left w:val="none" w:sz="0" w:space="0" w:color="auto"/>
        <w:bottom w:val="none" w:sz="0" w:space="0" w:color="auto"/>
        <w:right w:val="none" w:sz="0" w:space="0" w:color="auto"/>
      </w:divBdr>
    </w:div>
    <w:div w:id="1375888652">
      <w:bodyDiv w:val="1"/>
      <w:marLeft w:val="0"/>
      <w:marRight w:val="0"/>
      <w:marTop w:val="0"/>
      <w:marBottom w:val="0"/>
      <w:divBdr>
        <w:top w:val="none" w:sz="0" w:space="0" w:color="auto"/>
        <w:left w:val="none" w:sz="0" w:space="0" w:color="auto"/>
        <w:bottom w:val="none" w:sz="0" w:space="0" w:color="auto"/>
        <w:right w:val="none" w:sz="0" w:space="0" w:color="auto"/>
      </w:divBdr>
    </w:div>
    <w:div w:id="1393432630">
      <w:bodyDiv w:val="1"/>
      <w:marLeft w:val="0"/>
      <w:marRight w:val="0"/>
      <w:marTop w:val="0"/>
      <w:marBottom w:val="0"/>
      <w:divBdr>
        <w:top w:val="none" w:sz="0" w:space="0" w:color="auto"/>
        <w:left w:val="none" w:sz="0" w:space="0" w:color="auto"/>
        <w:bottom w:val="none" w:sz="0" w:space="0" w:color="auto"/>
        <w:right w:val="none" w:sz="0" w:space="0" w:color="auto"/>
      </w:divBdr>
    </w:div>
    <w:div w:id="1403330092">
      <w:bodyDiv w:val="1"/>
      <w:marLeft w:val="0"/>
      <w:marRight w:val="0"/>
      <w:marTop w:val="0"/>
      <w:marBottom w:val="0"/>
      <w:divBdr>
        <w:top w:val="none" w:sz="0" w:space="0" w:color="auto"/>
        <w:left w:val="none" w:sz="0" w:space="0" w:color="auto"/>
        <w:bottom w:val="none" w:sz="0" w:space="0" w:color="auto"/>
        <w:right w:val="none" w:sz="0" w:space="0" w:color="auto"/>
      </w:divBdr>
    </w:div>
    <w:div w:id="1423794228">
      <w:bodyDiv w:val="1"/>
      <w:marLeft w:val="0"/>
      <w:marRight w:val="0"/>
      <w:marTop w:val="0"/>
      <w:marBottom w:val="0"/>
      <w:divBdr>
        <w:top w:val="none" w:sz="0" w:space="0" w:color="auto"/>
        <w:left w:val="none" w:sz="0" w:space="0" w:color="auto"/>
        <w:bottom w:val="none" w:sz="0" w:space="0" w:color="auto"/>
        <w:right w:val="none" w:sz="0" w:space="0" w:color="auto"/>
      </w:divBdr>
    </w:div>
    <w:div w:id="1455366679">
      <w:bodyDiv w:val="1"/>
      <w:marLeft w:val="0"/>
      <w:marRight w:val="0"/>
      <w:marTop w:val="0"/>
      <w:marBottom w:val="0"/>
      <w:divBdr>
        <w:top w:val="none" w:sz="0" w:space="0" w:color="auto"/>
        <w:left w:val="none" w:sz="0" w:space="0" w:color="auto"/>
        <w:bottom w:val="none" w:sz="0" w:space="0" w:color="auto"/>
        <w:right w:val="none" w:sz="0" w:space="0" w:color="auto"/>
      </w:divBdr>
    </w:div>
    <w:div w:id="1462452730">
      <w:bodyDiv w:val="1"/>
      <w:marLeft w:val="0"/>
      <w:marRight w:val="0"/>
      <w:marTop w:val="0"/>
      <w:marBottom w:val="0"/>
      <w:divBdr>
        <w:top w:val="none" w:sz="0" w:space="0" w:color="auto"/>
        <w:left w:val="none" w:sz="0" w:space="0" w:color="auto"/>
        <w:bottom w:val="none" w:sz="0" w:space="0" w:color="auto"/>
        <w:right w:val="none" w:sz="0" w:space="0" w:color="auto"/>
      </w:divBdr>
    </w:div>
    <w:div w:id="1542478310">
      <w:bodyDiv w:val="1"/>
      <w:marLeft w:val="0"/>
      <w:marRight w:val="0"/>
      <w:marTop w:val="0"/>
      <w:marBottom w:val="0"/>
      <w:divBdr>
        <w:top w:val="none" w:sz="0" w:space="0" w:color="auto"/>
        <w:left w:val="none" w:sz="0" w:space="0" w:color="auto"/>
        <w:bottom w:val="none" w:sz="0" w:space="0" w:color="auto"/>
        <w:right w:val="none" w:sz="0" w:space="0" w:color="auto"/>
      </w:divBdr>
    </w:div>
    <w:div w:id="1558080299">
      <w:bodyDiv w:val="1"/>
      <w:marLeft w:val="0"/>
      <w:marRight w:val="0"/>
      <w:marTop w:val="0"/>
      <w:marBottom w:val="0"/>
      <w:divBdr>
        <w:top w:val="none" w:sz="0" w:space="0" w:color="auto"/>
        <w:left w:val="none" w:sz="0" w:space="0" w:color="auto"/>
        <w:bottom w:val="none" w:sz="0" w:space="0" w:color="auto"/>
        <w:right w:val="none" w:sz="0" w:space="0" w:color="auto"/>
      </w:divBdr>
    </w:div>
    <w:div w:id="1587809257">
      <w:bodyDiv w:val="1"/>
      <w:marLeft w:val="0"/>
      <w:marRight w:val="0"/>
      <w:marTop w:val="0"/>
      <w:marBottom w:val="0"/>
      <w:divBdr>
        <w:top w:val="none" w:sz="0" w:space="0" w:color="auto"/>
        <w:left w:val="none" w:sz="0" w:space="0" w:color="auto"/>
        <w:bottom w:val="none" w:sz="0" w:space="0" w:color="auto"/>
        <w:right w:val="none" w:sz="0" w:space="0" w:color="auto"/>
      </w:divBdr>
    </w:div>
    <w:div w:id="1615475367">
      <w:bodyDiv w:val="1"/>
      <w:marLeft w:val="0"/>
      <w:marRight w:val="0"/>
      <w:marTop w:val="0"/>
      <w:marBottom w:val="0"/>
      <w:divBdr>
        <w:top w:val="none" w:sz="0" w:space="0" w:color="auto"/>
        <w:left w:val="none" w:sz="0" w:space="0" w:color="auto"/>
        <w:bottom w:val="none" w:sz="0" w:space="0" w:color="auto"/>
        <w:right w:val="none" w:sz="0" w:space="0" w:color="auto"/>
      </w:divBdr>
    </w:div>
    <w:div w:id="1691681448">
      <w:bodyDiv w:val="1"/>
      <w:marLeft w:val="0"/>
      <w:marRight w:val="0"/>
      <w:marTop w:val="0"/>
      <w:marBottom w:val="0"/>
      <w:divBdr>
        <w:top w:val="none" w:sz="0" w:space="0" w:color="auto"/>
        <w:left w:val="none" w:sz="0" w:space="0" w:color="auto"/>
        <w:bottom w:val="none" w:sz="0" w:space="0" w:color="auto"/>
        <w:right w:val="none" w:sz="0" w:space="0" w:color="auto"/>
      </w:divBdr>
    </w:div>
    <w:div w:id="1704287958">
      <w:bodyDiv w:val="1"/>
      <w:marLeft w:val="0"/>
      <w:marRight w:val="0"/>
      <w:marTop w:val="0"/>
      <w:marBottom w:val="0"/>
      <w:divBdr>
        <w:top w:val="none" w:sz="0" w:space="0" w:color="auto"/>
        <w:left w:val="none" w:sz="0" w:space="0" w:color="auto"/>
        <w:bottom w:val="none" w:sz="0" w:space="0" w:color="auto"/>
        <w:right w:val="none" w:sz="0" w:space="0" w:color="auto"/>
      </w:divBdr>
    </w:div>
    <w:div w:id="1726373977">
      <w:bodyDiv w:val="1"/>
      <w:marLeft w:val="0"/>
      <w:marRight w:val="0"/>
      <w:marTop w:val="0"/>
      <w:marBottom w:val="0"/>
      <w:divBdr>
        <w:top w:val="none" w:sz="0" w:space="0" w:color="auto"/>
        <w:left w:val="none" w:sz="0" w:space="0" w:color="auto"/>
        <w:bottom w:val="none" w:sz="0" w:space="0" w:color="auto"/>
        <w:right w:val="none" w:sz="0" w:space="0" w:color="auto"/>
      </w:divBdr>
    </w:div>
    <w:div w:id="1769034643">
      <w:bodyDiv w:val="1"/>
      <w:marLeft w:val="0"/>
      <w:marRight w:val="0"/>
      <w:marTop w:val="0"/>
      <w:marBottom w:val="0"/>
      <w:divBdr>
        <w:top w:val="none" w:sz="0" w:space="0" w:color="auto"/>
        <w:left w:val="none" w:sz="0" w:space="0" w:color="auto"/>
        <w:bottom w:val="none" w:sz="0" w:space="0" w:color="auto"/>
        <w:right w:val="none" w:sz="0" w:space="0" w:color="auto"/>
      </w:divBdr>
    </w:div>
    <w:div w:id="1797525729">
      <w:bodyDiv w:val="1"/>
      <w:marLeft w:val="0"/>
      <w:marRight w:val="0"/>
      <w:marTop w:val="0"/>
      <w:marBottom w:val="0"/>
      <w:divBdr>
        <w:top w:val="none" w:sz="0" w:space="0" w:color="auto"/>
        <w:left w:val="none" w:sz="0" w:space="0" w:color="auto"/>
        <w:bottom w:val="none" w:sz="0" w:space="0" w:color="auto"/>
        <w:right w:val="none" w:sz="0" w:space="0" w:color="auto"/>
      </w:divBdr>
    </w:div>
    <w:div w:id="1896431754">
      <w:bodyDiv w:val="1"/>
      <w:marLeft w:val="0"/>
      <w:marRight w:val="0"/>
      <w:marTop w:val="0"/>
      <w:marBottom w:val="0"/>
      <w:divBdr>
        <w:top w:val="none" w:sz="0" w:space="0" w:color="auto"/>
        <w:left w:val="none" w:sz="0" w:space="0" w:color="auto"/>
        <w:bottom w:val="none" w:sz="0" w:space="0" w:color="auto"/>
        <w:right w:val="none" w:sz="0" w:space="0" w:color="auto"/>
      </w:divBdr>
    </w:div>
    <w:div w:id="1913156565">
      <w:bodyDiv w:val="1"/>
      <w:marLeft w:val="0"/>
      <w:marRight w:val="0"/>
      <w:marTop w:val="0"/>
      <w:marBottom w:val="0"/>
      <w:divBdr>
        <w:top w:val="none" w:sz="0" w:space="0" w:color="auto"/>
        <w:left w:val="none" w:sz="0" w:space="0" w:color="auto"/>
        <w:bottom w:val="none" w:sz="0" w:space="0" w:color="auto"/>
        <w:right w:val="none" w:sz="0" w:space="0" w:color="auto"/>
      </w:divBdr>
    </w:div>
    <w:div w:id="1932426812">
      <w:bodyDiv w:val="1"/>
      <w:marLeft w:val="0"/>
      <w:marRight w:val="0"/>
      <w:marTop w:val="0"/>
      <w:marBottom w:val="0"/>
      <w:divBdr>
        <w:top w:val="none" w:sz="0" w:space="0" w:color="auto"/>
        <w:left w:val="none" w:sz="0" w:space="0" w:color="auto"/>
        <w:bottom w:val="none" w:sz="0" w:space="0" w:color="auto"/>
        <w:right w:val="none" w:sz="0" w:space="0" w:color="auto"/>
      </w:divBdr>
    </w:div>
    <w:div w:id="2042125537">
      <w:bodyDiv w:val="1"/>
      <w:marLeft w:val="0"/>
      <w:marRight w:val="0"/>
      <w:marTop w:val="0"/>
      <w:marBottom w:val="0"/>
      <w:divBdr>
        <w:top w:val="none" w:sz="0" w:space="0" w:color="auto"/>
        <w:left w:val="none" w:sz="0" w:space="0" w:color="auto"/>
        <w:bottom w:val="none" w:sz="0" w:space="0" w:color="auto"/>
        <w:right w:val="none" w:sz="0" w:space="0" w:color="auto"/>
      </w:divBdr>
    </w:div>
    <w:div w:id="2070422432">
      <w:bodyDiv w:val="1"/>
      <w:marLeft w:val="0"/>
      <w:marRight w:val="0"/>
      <w:marTop w:val="0"/>
      <w:marBottom w:val="0"/>
      <w:divBdr>
        <w:top w:val="none" w:sz="0" w:space="0" w:color="auto"/>
        <w:left w:val="none" w:sz="0" w:space="0" w:color="auto"/>
        <w:bottom w:val="none" w:sz="0" w:space="0" w:color="auto"/>
        <w:right w:val="none" w:sz="0" w:space="0" w:color="auto"/>
      </w:divBdr>
    </w:div>
    <w:div w:id="2079202357">
      <w:bodyDiv w:val="1"/>
      <w:marLeft w:val="0"/>
      <w:marRight w:val="0"/>
      <w:marTop w:val="0"/>
      <w:marBottom w:val="0"/>
      <w:divBdr>
        <w:top w:val="none" w:sz="0" w:space="0" w:color="auto"/>
        <w:left w:val="none" w:sz="0" w:space="0" w:color="auto"/>
        <w:bottom w:val="none" w:sz="0" w:space="0" w:color="auto"/>
        <w:right w:val="none" w:sz="0" w:space="0" w:color="auto"/>
      </w:divBdr>
    </w:div>
    <w:div w:id="2096704203">
      <w:bodyDiv w:val="1"/>
      <w:marLeft w:val="0"/>
      <w:marRight w:val="0"/>
      <w:marTop w:val="0"/>
      <w:marBottom w:val="0"/>
      <w:divBdr>
        <w:top w:val="none" w:sz="0" w:space="0" w:color="auto"/>
        <w:left w:val="none" w:sz="0" w:space="0" w:color="auto"/>
        <w:bottom w:val="none" w:sz="0" w:space="0" w:color="auto"/>
        <w:right w:val="none" w:sz="0" w:space="0" w:color="auto"/>
      </w:divBdr>
    </w:div>
    <w:div w:id="2102673636">
      <w:bodyDiv w:val="1"/>
      <w:marLeft w:val="0"/>
      <w:marRight w:val="0"/>
      <w:marTop w:val="0"/>
      <w:marBottom w:val="0"/>
      <w:divBdr>
        <w:top w:val="none" w:sz="0" w:space="0" w:color="auto"/>
        <w:left w:val="none" w:sz="0" w:space="0" w:color="auto"/>
        <w:bottom w:val="none" w:sz="0" w:space="0" w:color="auto"/>
        <w:right w:val="none" w:sz="0" w:space="0" w:color="auto"/>
      </w:divBdr>
    </w:div>
    <w:div w:id="2116246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br/mec/pt-br/pe-de-meia"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wnload.inep.gov.br/censo_escolar/resultados/2024/apresentacao_coletiva.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wnload.inep.gov.br/censo_escolar/resultados/2022/apresentacao_coletiva.pdf" TargetMode="External"/><Relationship Id="rId4" Type="http://schemas.openxmlformats.org/officeDocument/2006/relationships/settings" Target="settings.xml"/><Relationship Id="rId9" Type="http://schemas.openxmlformats.org/officeDocument/2006/relationships/hyperlink" Target="https://www.gov.br/mec/pt-br/pe-de-meia/documentos/plano-monitoramento-avaliacao.pdf"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EE6417-D263-4218-933F-DA38420FF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5605</Words>
  <Characters>30268</Characters>
  <Application>Microsoft Office Word</Application>
  <DocSecurity>0</DocSecurity>
  <Lines>252</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Karolline Soares Alves</dc:creator>
  <cp:keywords/>
  <dc:description/>
  <cp:lastModifiedBy>Pedro henrichs</cp:lastModifiedBy>
  <cp:revision>2</cp:revision>
  <dcterms:created xsi:type="dcterms:W3CDTF">2025-05-04T14:32:00Z</dcterms:created>
  <dcterms:modified xsi:type="dcterms:W3CDTF">2025-05-04T14:32:00Z</dcterms:modified>
</cp:coreProperties>
</file>