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6FE6" w14:textId="77777777" w:rsidR="00E07E60" w:rsidRDefault="00E07E60" w:rsidP="00E07E60">
      <w:pPr>
        <w:spacing w:before="100" w:beforeAutospacing="1" w:after="100" w:afterAutospacing="1"/>
        <w:outlineLvl w:val="0"/>
        <w:rPr>
          <w:rFonts w:ascii="Times New Roman" w:eastAsia="Times New Roman" w:hAnsi="Times New Roman" w:cs="Times New Roman"/>
          <w:b/>
          <w:bCs/>
          <w:color w:val="000000"/>
          <w:kern w:val="36"/>
          <w:sz w:val="48"/>
          <w:szCs w:val="48"/>
          <w:lang w:eastAsia="pt-BR"/>
          <w14:ligatures w14:val="none"/>
        </w:rPr>
      </w:pPr>
      <w:r w:rsidRPr="00E07E60">
        <w:rPr>
          <w:rFonts w:ascii="Times New Roman" w:eastAsia="Times New Roman" w:hAnsi="Times New Roman" w:cs="Times New Roman"/>
          <w:b/>
          <w:bCs/>
          <w:color w:val="000000"/>
          <w:kern w:val="36"/>
          <w:sz w:val="48"/>
          <w:szCs w:val="48"/>
          <w:lang w:eastAsia="pt-BR"/>
          <w14:ligatures w14:val="none"/>
        </w:rPr>
        <w:t>A Falácia do IOF e a Urgência da Justiça Fiscal: Por que Taxar o Mercado é Necessário</w:t>
      </w:r>
    </w:p>
    <w:p w14:paraId="46CBACFE" w14:textId="2459C2DA" w:rsidR="00372440" w:rsidRPr="00E07E60" w:rsidRDefault="00372440" w:rsidP="00E07E60">
      <w:pPr>
        <w:spacing w:before="100" w:beforeAutospacing="1" w:after="100" w:afterAutospacing="1"/>
        <w:outlineLvl w:val="0"/>
        <w:rPr>
          <w:rFonts w:ascii="Times New Roman" w:eastAsia="Times New Roman" w:hAnsi="Times New Roman" w:cs="Times New Roman"/>
          <w:b/>
          <w:bCs/>
          <w:color w:val="000000"/>
          <w:kern w:val="36"/>
          <w:lang w:eastAsia="pt-BR"/>
          <w14:ligatures w14:val="none"/>
        </w:rPr>
      </w:pPr>
      <w:r w:rsidRPr="00372440">
        <w:rPr>
          <w:rFonts w:ascii="Times New Roman" w:eastAsia="Times New Roman" w:hAnsi="Times New Roman" w:cs="Times New Roman"/>
          <w:b/>
          <w:bCs/>
          <w:color w:val="000000"/>
          <w:kern w:val="36"/>
          <w:lang w:eastAsia="pt-BR"/>
          <w14:ligatures w14:val="none"/>
        </w:rPr>
        <w:t xml:space="preserve">Por Pedro Henrichs </w:t>
      </w:r>
    </w:p>
    <w:p w14:paraId="3B59AE0F" w14:textId="62AC73CA" w:rsidR="00E07E60" w:rsidRPr="00E07E60" w:rsidRDefault="00E07E60" w:rsidP="00E07E60">
      <w:pPr>
        <w:spacing w:beforeAutospacing="1"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“Quando os </w:t>
      </w:r>
      <w:proofErr w:type="spellStart"/>
      <w:r w:rsidRPr="00E07E60">
        <w:rPr>
          <w:rFonts w:ascii="Times New Roman" w:eastAsia="Times New Roman" w:hAnsi="Times New Roman" w:cs="Times New Roman"/>
          <w:color w:val="000000"/>
          <w:kern w:val="0"/>
          <w:lang w:eastAsia="pt-BR"/>
          <w14:ligatures w14:val="none"/>
        </w:rPr>
        <w:t>super-ricos</w:t>
      </w:r>
      <w:proofErr w:type="spellEnd"/>
      <w:r w:rsidRPr="00E07E60">
        <w:rPr>
          <w:rFonts w:ascii="Times New Roman" w:eastAsia="Times New Roman" w:hAnsi="Times New Roman" w:cs="Times New Roman"/>
          <w:color w:val="000000"/>
          <w:kern w:val="0"/>
          <w:lang w:eastAsia="pt-BR"/>
          <w14:ligatures w14:val="none"/>
        </w:rPr>
        <w:t xml:space="preserve"> não pagam impostos, é o resto da população que paga.”</w:t>
      </w:r>
      <w:r w:rsidRPr="00E07E60">
        <w:rPr>
          <w:rFonts w:ascii="Times New Roman" w:eastAsia="Times New Roman" w:hAnsi="Times New Roman" w:cs="Times New Roman"/>
          <w:color w:val="000000"/>
          <w:kern w:val="0"/>
          <w:lang w:eastAsia="pt-BR"/>
          <w14:ligatures w14:val="none"/>
        </w:rPr>
        <w:br/>
        <w:t xml:space="preserve">Gabriel </w:t>
      </w:r>
      <w:proofErr w:type="spellStart"/>
      <w:r w:rsidRPr="00E07E60">
        <w:rPr>
          <w:rFonts w:ascii="Times New Roman" w:eastAsia="Times New Roman" w:hAnsi="Times New Roman" w:cs="Times New Roman"/>
          <w:color w:val="000000"/>
          <w:kern w:val="0"/>
          <w:lang w:eastAsia="pt-BR"/>
          <w14:ligatures w14:val="none"/>
        </w:rPr>
        <w:t>Zucman</w:t>
      </w:r>
      <w:proofErr w:type="spellEnd"/>
    </w:p>
    <w:p w14:paraId="4F6B8D12" w14:textId="13C376B3"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Em tempos de crise fiscal e demandas sociais crescentes, os governos frequentemente se deparam com a difícil tarefa de aumentar a arrecadação sem comprometer a atividade econômica ou aprofundar desigualdades. No Brasil, essa tensão ganhou novo fôlego com o recente aumento do IOF (Imposto sobre Operações Financeiras), medida justificada como necessária para garantir equilíbrio fiscal, mas que expôs contradições estruturais da política tributária nacional. Enquanto isso, a proposta de tributar os </w:t>
      </w:r>
      <w:proofErr w:type="spellStart"/>
      <w:r w:rsidRPr="00E07E60">
        <w:rPr>
          <w:rFonts w:ascii="Times New Roman" w:eastAsia="Times New Roman" w:hAnsi="Times New Roman" w:cs="Times New Roman"/>
          <w:color w:val="000000"/>
          <w:kern w:val="0"/>
          <w:lang w:eastAsia="pt-BR"/>
          <w14:ligatures w14:val="none"/>
        </w:rPr>
        <w:t>super-ricos</w:t>
      </w:r>
      <w:proofErr w:type="spellEnd"/>
      <w:r w:rsidRPr="00E07E60">
        <w:rPr>
          <w:rFonts w:ascii="Times New Roman" w:eastAsia="Times New Roman" w:hAnsi="Times New Roman" w:cs="Times New Roman"/>
          <w:color w:val="000000"/>
          <w:kern w:val="0"/>
          <w:lang w:eastAsia="pt-BR"/>
          <w14:ligatures w14:val="none"/>
        </w:rPr>
        <w:t xml:space="preserve"> tema amplamente debatido e apoiado internacionalmente segue estagnada no Congresso Nacional.</w:t>
      </w:r>
    </w:p>
    <w:p w14:paraId="6C0FC3BA"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A disparidade entre quem paga impostos e quem deveria pagá-los revela um modelo regressivo, injusto e politicamente míope. Como advertiu Gabriel </w:t>
      </w:r>
      <w:proofErr w:type="spellStart"/>
      <w:r w:rsidRPr="00E07E60">
        <w:rPr>
          <w:rFonts w:ascii="Times New Roman" w:eastAsia="Times New Roman" w:hAnsi="Times New Roman" w:cs="Times New Roman"/>
          <w:color w:val="000000"/>
          <w:kern w:val="0"/>
          <w:lang w:eastAsia="pt-BR"/>
          <w14:ligatures w14:val="none"/>
        </w:rPr>
        <w:t>Zucman</w:t>
      </w:r>
      <w:proofErr w:type="spellEnd"/>
      <w:r w:rsidRPr="00E07E60">
        <w:rPr>
          <w:rFonts w:ascii="Times New Roman" w:eastAsia="Times New Roman" w:hAnsi="Times New Roman" w:cs="Times New Roman"/>
          <w:color w:val="000000"/>
          <w:kern w:val="0"/>
          <w:lang w:eastAsia="pt-BR"/>
          <w14:ligatures w14:val="none"/>
        </w:rPr>
        <w:t>, economista francês defensor da taxação das grandes fortunas, o ônus da arrecadação está recaindo sobre os ombros errados. A decisão do governo brasileiro de poupar setores privilegiados do mercado financeiro ao mesmo tempo em que penaliza o consumo e a produção ilustra essa inversão de prioridades.</w:t>
      </w:r>
    </w:p>
    <w:p w14:paraId="3713FA09"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O IOF incide sobre operações de crédito, câmbio, seguros e investimentos. Sua elevação, anunciada de forma unilateral pelo Executivo, sem consulta ao Legislativo ou aos setores diretamente afetados, comprometeu a previsibilidade tributária e desestimulou a atividade econômica. Em um contexto de recuperação econômica pós-pandemia, a medida tornou mais caro o acesso ao crédito, encareceu os seguros e desincentivou investimentos produtivos.</w:t>
      </w:r>
    </w:p>
    <w:p w14:paraId="146BF7C7" w14:textId="4488FB9C"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De acordo com nota técnica das confederações industriais e comerciais brasileiras, o aumento compromete a competitividade e fere o princípio da neutralidade tributária. Ao invés de estimular a produção, o consumo e o investimento motores clássicos do crescimento o governo optou por medidas que penalizam exatamente quem mais depende de instrumentos financeiros básicos: pequenas e médias empresas, trabalhadores autônomos e consumidores.</w:t>
      </w:r>
    </w:p>
    <w:p w14:paraId="0D0D3755" w14:textId="4F0E914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Mais grave ainda é o fato de que, enquanto o aumento do IOF incide sobre setores amplos da sociedade, o mercado financeiro de alta renda especialmente os fundos exclusivos e as </w:t>
      </w:r>
      <w:proofErr w:type="spellStart"/>
      <w:r w:rsidRPr="00E07E60">
        <w:rPr>
          <w:rFonts w:ascii="Times New Roman" w:eastAsia="Times New Roman" w:hAnsi="Times New Roman" w:cs="Times New Roman"/>
          <w:color w:val="000000"/>
          <w:kern w:val="0"/>
          <w:lang w:eastAsia="pt-BR"/>
          <w14:ligatures w14:val="none"/>
        </w:rPr>
        <w:t>offshores</w:t>
      </w:r>
      <w:proofErr w:type="spellEnd"/>
      <w:r w:rsidRPr="00E07E60">
        <w:rPr>
          <w:rFonts w:ascii="Times New Roman" w:eastAsia="Times New Roman" w:hAnsi="Times New Roman" w:cs="Times New Roman"/>
          <w:color w:val="000000"/>
          <w:kern w:val="0"/>
          <w:lang w:eastAsia="pt-BR"/>
          <w14:ligatures w14:val="none"/>
        </w:rPr>
        <w:t xml:space="preserve"> continua sendo protegido por um sistema de isenções e </w:t>
      </w:r>
      <w:proofErr w:type="spellStart"/>
      <w:r w:rsidRPr="00E07E60">
        <w:rPr>
          <w:rFonts w:ascii="Times New Roman" w:eastAsia="Times New Roman" w:hAnsi="Times New Roman" w:cs="Times New Roman"/>
          <w:color w:val="000000"/>
          <w:kern w:val="0"/>
          <w:lang w:eastAsia="pt-BR"/>
          <w14:ligatures w14:val="none"/>
        </w:rPr>
        <w:t>adiações</w:t>
      </w:r>
      <w:proofErr w:type="spellEnd"/>
      <w:r w:rsidRPr="00E07E60">
        <w:rPr>
          <w:rFonts w:ascii="Times New Roman" w:eastAsia="Times New Roman" w:hAnsi="Times New Roman" w:cs="Times New Roman"/>
          <w:color w:val="000000"/>
          <w:kern w:val="0"/>
          <w:lang w:eastAsia="pt-BR"/>
          <w14:ligatures w14:val="none"/>
        </w:rPr>
        <w:t xml:space="preserve"> sistemáticas. Em outras palavras, quem mais poderia contribuir permanece blindado, enquanto a maioria arca com o ônus.</w:t>
      </w:r>
    </w:p>
    <w:p w14:paraId="4360BA53" w14:textId="4E551725"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A resposta à medida não tardou. No Congresso, parlamentares da base governista e da oposição criticaram duramente a ausência de diálogo e a forma autoritária da </w:t>
      </w:r>
      <w:r w:rsidRPr="00E07E60">
        <w:rPr>
          <w:rFonts w:ascii="Times New Roman" w:eastAsia="Times New Roman" w:hAnsi="Times New Roman" w:cs="Times New Roman"/>
          <w:color w:val="000000"/>
          <w:kern w:val="0"/>
          <w:lang w:eastAsia="pt-BR"/>
          <w14:ligatures w14:val="none"/>
        </w:rPr>
        <w:lastRenderedPageBreak/>
        <w:t>implementação. Propostas de revogação foram protocoladas, e audiências públicas organizadas para debater os impactos econômicos e sociais da medida.</w:t>
      </w:r>
    </w:p>
    <w:p w14:paraId="70D8EDE6" w14:textId="4880CF9B"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Organizações da sociedade civil, como sindicatos e movimentos sociais, denunciaram o caráter regressivo da medida, que recai com mais força sobre os pobres. A CUT, por exemplo, afirmou que “a conta não pode continuar sendo paga pelos trabalhadores”. Já economistas progressistas alertaram para o risco de agravamento da crise de confiança no governo, que comprometeria a aprovação de reformas mais estruturais no futuro.</w:t>
      </w:r>
    </w:p>
    <w:p w14:paraId="4D2B7209"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No setor produtivo, a reação também foi negativa. Aumentos nos custos de operação, perda de competitividade internacional e retração do consumo interno foram algumas das principais queixas. Em um país que já ostenta uma das cargas tributárias mais complexas e desiguais do mundo, adicionar mais um fardo à classe produtiva soa como um tiro no pé.</w:t>
      </w:r>
    </w:p>
    <w:p w14:paraId="44E3B7E5"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Enquanto o IOF penaliza o consumo e os investimentos cotidianos, a tributação das grandes fortunas permanece travada. A proposta, que já foi apresentada diversas vezes no Congresso, enfrenta o poder de fogo de um lobby poderoso: o dos </w:t>
      </w:r>
      <w:proofErr w:type="spellStart"/>
      <w:r w:rsidRPr="00E07E60">
        <w:rPr>
          <w:rFonts w:ascii="Times New Roman" w:eastAsia="Times New Roman" w:hAnsi="Times New Roman" w:cs="Times New Roman"/>
          <w:color w:val="000000"/>
          <w:kern w:val="0"/>
          <w:lang w:eastAsia="pt-BR"/>
          <w14:ligatures w14:val="none"/>
        </w:rPr>
        <w:t>super-ricos</w:t>
      </w:r>
      <w:proofErr w:type="spellEnd"/>
      <w:r w:rsidRPr="00E07E60">
        <w:rPr>
          <w:rFonts w:ascii="Times New Roman" w:eastAsia="Times New Roman" w:hAnsi="Times New Roman" w:cs="Times New Roman"/>
          <w:color w:val="000000"/>
          <w:kern w:val="0"/>
          <w:lang w:eastAsia="pt-BR"/>
          <w14:ligatures w14:val="none"/>
        </w:rPr>
        <w:t>.</w:t>
      </w:r>
    </w:p>
    <w:p w14:paraId="6F129625" w14:textId="06D7E902"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No Brasil, apenas 0,1% da população concentra quase 50% da riqueza financeira. E, no entanto, essa elite paga proporcionalmente menos impostos que os trabalhadores assalariados, devido a isenções sobre lucros e dividendos, ausência de tributos sobre patrimônio acumulado e estratégias de evasão legalizadas.</w:t>
      </w:r>
    </w:p>
    <w:p w14:paraId="3716EDFF" w14:textId="6D0797ED"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Mesmo no cenário internacional, bilionários têm se manifestado publicamente em favor da taxação de suas fortunas. Em Davos, mais de 250 milionários divulgaram carta aberta defendendo que sejam mais taxados, reconhecendo que a concentração extrema de riqueza é uma ameaça à democracia e à estabilidade social.</w:t>
      </w:r>
    </w:p>
    <w:p w14:paraId="05B52057" w14:textId="5E0E5ECC"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A proposta brasileira no G20, que prevê arrecadação de até US$ 250 bilhões por ano com a taxação global dos </w:t>
      </w:r>
      <w:proofErr w:type="spellStart"/>
      <w:r w:rsidRPr="00E07E60">
        <w:rPr>
          <w:rFonts w:ascii="Times New Roman" w:eastAsia="Times New Roman" w:hAnsi="Times New Roman" w:cs="Times New Roman"/>
          <w:color w:val="000000"/>
          <w:kern w:val="0"/>
          <w:lang w:eastAsia="pt-BR"/>
          <w14:ligatures w14:val="none"/>
        </w:rPr>
        <w:t>super-ricos</w:t>
      </w:r>
      <w:proofErr w:type="spellEnd"/>
      <w:r w:rsidRPr="00E07E60">
        <w:rPr>
          <w:rFonts w:ascii="Times New Roman" w:eastAsia="Times New Roman" w:hAnsi="Times New Roman" w:cs="Times New Roman"/>
          <w:color w:val="000000"/>
          <w:kern w:val="0"/>
          <w:lang w:eastAsia="pt-BR"/>
          <w14:ligatures w14:val="none"/>
        </w:rPr>
        <w:t>, representa um avanço conceitual. No entanto, internamente, ainda esbarramos na captura do Estado por interesses privados e na falta de coragem política.</w:t>
      </w:r>
    </w:p>
    <w:p w14:paraId="5728B900" w14:textId="53B70180"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Gabriel </w:t>
      </w:r>
      <w:proofErr w:type="spellStart"/>
      <w:r w:rsidRPr="00E07E60">
        <w:rPr>
          <w:rFonts w:ascii="Times New Roman" w:eastAsia="Times New Roman" w:hAnsi="Times New Roman" w:cs="Times New Roman"/>
          <w:color w:val="000000"/>
          <w:kern w:val="0"/>
          <w:lang w:eastAsia="pt-BR"/>
          <w14:ligatures w14:val="none"/>
        </w:rPr>
        <w:t>Zucman</w:t>
      </w:r>
      <w:proofErr w:type="spellEnd"/>
      <w:r w:rsidRPr="00E07E60">
        <w:rPr>
          <w:rFonts w:ascii="Times New Roman" w:eastAsia="Times New Roman" w:hAnsi="Times New Roman" w:cs="Times New Roman"/>
          <w:color w:val="000000"/>
          <w:kern w:val="0"/>
          <w:lang w:eastAsia="pt-BR"/>
          <w14:ligatures w14:val="none"/>
        </w:rPr>
        <w:t xml:space="preserve">, em sua obra “The Hidden </w:t>
      </w:r>
      <w:proofErr w:type="spellStart"/>
      <w:r w:rsidRPr="00E07E60">
        <w:rPr>
          <w:rFonts w:ascii="Times New Roman" w:eastAsia="Times New Roman" w:hAnsi="Times New Roman" w:cs="Times New Roman"/>
          <w:color w:val="000000"/>
          <w:kern w:val="0"/>
          <w:lang w:eastAsia="pt-BR"/>
          <w14:ligatures w14:val="none"/>
        </w:rPr>
        <w:t>Wealth</w:t>
      </w:r>
      <w:proofErr w:type="spellEnd"/>
      <w:r w:rsidRPr="00E07E60">
        <w:rPr>
          <w:rFonts w:ascii="Times New Roman" w:eastAsia="Times New Roman" w:hAnsi="Times New Roman" w:cs="Times New Roman"/>
          <w:color w:val="000000"/>
          <w:kern w:val="0"/>
          <w:lang w:eastAsia="pt-BR"/>
          <w14:ligatures w14:val="none"/>
        </w:rPr>
        <w:t xml:space="preserve"> </w:t>
      </w:r>
      <w:proofErr w:type="spellStart"/>
      <w:r w:rsidRPr="00E07E60">
        <w:rPr>
          <w:rFonts w:ascii="Times New Roman" w:eastAsia="Times New Roman" w:hAnsi="Times New Roman" w:cs="Times New Roman"/>
          <w:color w:val="000000"/>
          <w:kern w:val="0"/>
          <w:lang w:eastAsia="pt-BR"/>
          <w14:ligatures w14:val="none"/>
        </w:rPr>
        <w:t>of</w:t>
      </w:r>
      <w:proofErr w:type="spellEnd"/>
      <w:r w:rsidRPr="00E07E60">
        <w:rPr>
          <w:rFonts w:ascii="Times New Roman" w:eastAsia="Times New Roman" w:hAnsi="Times New Roman" w:cs="Times New Roman"/>
          <w:color w:val="000000"/>
          <w:kern w:val="0"/>
          <w:lang w:eastAsia="pt-BR"/>
          <w14:ligatures w14:val="none"/>
        </w:rPr>
        <w:t xml:space="preserve"> </w:t>
      </w:r>
      <w:proofErr w:type="spellStart"/>
      <w:r w:rsidRPr="00E07E60">
        <w:rPr>
          <w:rFonts w:ascii="Times New Roman" w:eastAsia="Times New Roman" w:hAnsi="Times New Roman" w:cs="Times New Roman"/>
          <w:color w:val="000000"/>
          <w:kern w:val="0"/>
          <w:lang w:eastAsia="pt-BR"/>
          <w14:ligatures w14:val="none"/>
        </w:rPr>
        <w:t>Nations</w:t>
      </w:r>
      <w:proofErr w:type="spellEnd"/>
      <w:r w:rsidRPr="00E07E60">
        <w:rPr>
          <w:rFonts w:ascii="Times New Roman" w:eastAsia="Times New Roman" w:hAnsi="Times New Roman" w:cs="Times New Roman"/>
          <w:color w:val="000000"/>
          <w:kern w:val="0"/>
          <w:lang w:eastAsia="pt-BR"/>
          <w14:ligatures w14:val="none"/>
        </w:rPr>
        <w:t>”, expõe com precisão cirúrgica como os sistemas tributários contemporâneos foram desenhados para blindar os mais ricos e transferir responsabilidades para os mais pobres. Ele propõe a criação de um cadastro mundial de ativos financeiros e a harmonização internacional da taxação de fortunas propostas que, embora audaciosas, encontram eco em demandas sociais legítimas.</w:t>
      </w:r>
    </w:p>
    <w:p w14:paraId="504E223F"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E07E60">
        <w:rPr>
          <w:rFonts w:ascii="Times New Roman" w:eastAsia="Times New Roman" w:hAnsi="Times New Roman" w:cs="Times New Roman"/>
          <w:color w:val="000000"/>
          <w:kern w:val="0"/>
          <w:lang w:eastAsia="pt-BR"/>
          <w14:ligatures w14:val="none"/>
        </w:rPr>
        <w:t>Zucman</w:t>
      </w:r>
      <w:proofErr w:type="spellEnd"/>
      <w:r w:rsidRPr="00E07E60">
        <w:rPr>
          <w:rFonts w:ascii="Times New Roman" w:eastAsia="Times New Roman" w:hAnsi="Times New Roman" w:cs="Times New Roman"/>
          <w:color w:val="000000"/>
          <w:kern w:val="0"/>
          <w:lang w:eastAsia="pt-BR"/>
          <w14:ligatures w14:val="none"/>
        </w:rPr>
        <w:t xml:space="preserve"> argumenta que a evasão fiscal não é apenas um problema técnico, mas sobretudo ético e político. “Quando os </w:t>
      </w:r>
      <w:proofErr w:type="spellStart"/>
      <w:r w:rsidRPr="00E07E60">
        <w:rPr>
          <w:rFonts w:ascii="Times New Roman" w:eastAsia="Times New Roman" w:hAnsi="Times New Roman" w:cs="Times New Roman"/>
          <w:color w:val="000000"/>
          <w:kern w:val="0"/>
          <w:lang w:eastAsia="pt-BR"/>
          <w14:ligatures w14:val="none"/>
        </w:rPr>
        <w:t>super-ricos</w:t>
      </w:r>
      <w:proofErr w:type="spellEnd"/>
      <w:r w:rsidRPr="00E07E60">
        <w:rPr>
          <w:rFonts w:ascii="Times New Roman" w:eastAsia="Times New Roman" w:hAnsi="Times New Roman" w:cs="Times New Roman"/>
          <w:color w:val="000000"/>
          <w:kern w:val="0"/>
          <w:lang w:eastAsia="pt-BR"/>
          <w14:ligatures w14:val="none"/>
        </w:rPr>
        <w:t xml:space="preserve"> não pagam impostos, é o resto da população que paga”, resume ele, apontando para o desequilíbrio estrutural que sustenta a desigualdade global.</w:t>
      </w:r>
    </w:p>
    <w:p w14:paraId="60849E48" w14:textId="742AD544"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Platão, em “A República”, já alertava sobre os perigos de uma sociedade governada por interesses egoístas. Para o filósofo, a justiça deve ser o fundamento da vida política, e a indiferença do povo à política resulta em sua dominação por elites que não servem ao </w:t>
      </w:r>
      <w:r w:rsidRPr="00E07E60">
        <w:rPr>
          <w:rFonts w:ascii="Times New Roman" w:eastAsia="Times New Roman" w:hAnsi="Times New Roman" w:cs="Times New Roman"/>
          <w:color w:val="000000"/>
          <w:kern w:val="0"/>
          <w:lang w:eastAsia="pt-BR"/>
          <w14:ligatures w14:val="none"/>
        </w:rPr>
        <w:lastRenderedPageBreak/>
        <w:t>bem comum. “O maior castigo para aqueles que não se interessam por política é que serão governados pelos que se interessam”, advertia.</w:t>
      </w:r>
    </w:p>
    <w:p w14:paraId="5AB9105D"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Ambos os pensadores, separados por milênios, convergem em uma premissa comum: um sistema que permite a acumulação sem limites e a exclusão da maioria não é sustentável. A justiça fiscal, nesse sentido, não é apenas uma política pública, mas um imperativo moral.</w:t>
      </w:r>
    </w:p>
    <w:p w14:paraId="3B20D1CC"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A escolha de aumentar o IOF ao invés de enfrentar os privilégios dos mais ricos revela mais do que uma decisão técnica: expõe a fragilidade da coalizão governista, o medo de contrariar os interesses do mercado e a ausência de um projeto claro de transformação tributária.</w:t>
      </w:r>
    </w:p>
    <w:p w14:paraId="751D46D0"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O Brasil perdeu uma oportunidade estratégica de liderar, interna e externamente, uma agenda de justiça fiscal robusta. Com o capital político acumulado no início do mandato, o governo poderia ter priorizado a regulamentação da taxação de grandes fortunas, a revisão de isenções indevidas e o enfrentamento da evasão fiscal em paraísos fiscais.</w:t>
      </w:r>
    </w:p>
    <w:p w14:paraId="7F32933E"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Ao optar por uma solução paliativa e impopular, perdeu-se não apenas apoio social e político, mas também credibilidade. A consequência direta foi o fortalecimento de discursos conservadores que apontam o Estado como ineficiente e voraz, alimentando o ciclo de desconfiança institucional.</w:t>
      </w:r>
    </w:p>
    <w:p w14:paraId="2362FF5B"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É possível e necessário construir um novo pacto tributário baseado em quatro eixos fundamentais:</w:t>
      </w:r>
    </w:p>
    <w:p w14:paraId="27EAFAA9" w14:textId="043BCBC3" w:rsidR="00E07E60" w:rsidRPr="00E07E60" w:rsidRDefault="00E07E60" w:rsidP="0037244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Progressividade </w:t>
      </w:r>
      <w:r w:rsidR="00372440">
        <w:rPr>
          <w:rFonts w:ascii="Times New Roman" w:eastAsia="Times New Roman" w:hAnsi="Times New Roman" w:cs="Times New Roman"/>
          <w:color w:val="000000"/>
          <w:kern w:val="0"/>
          <w:lang w:eastAsia="pt-BR"/>
          <w14:ligatures w14:val="none"/>
        </w:rPr>
        <w:t>r</w:t>
      </w:r>
      <w:r w:rsidRPr="00E07E60">
        <w:rPr>
          <w:rFonts w:ascii="Times New Roman" w:eastAsia="Times New Roman" w:hAnsi="Times New Roman" w:cs="Times New Roman"/>
          <w:color w:val="000000"/>
          <w:kern w:val="0"/>
          <w:lang w:eastAsia="pt-BR"/>
          <w14:ligatures w14:val="none"/>
        </w:rPr>
        <w:t>eal</w:t>
      </w:r>
      <w:r w:rsidR="00372440">
        <w:rPr>
          <w:rFonts w:ascii="Times New Roman" w:eastAsia="Times New Roman" w:hAnsi="Times New Roman" w:cs="Times New Roman"/>
          <w:color w:val="000000"/>
          <w:kern w:val="0"/>
          <w:lang w:eastAsia="pt-BR"/>
          <w14:ligatures w14:val="none"/>
        </w:rPr>
        <w:t>,</w:t>
      </w:r>
      <w:r w:rsidRPr="00E07E60">
        <w:rPr>
          <w:rFonts w:ascii="Times New Roman" w:eastAsia="Times New Roman" w:hAnsi="Times New Roman" w:cs="Times New Roman"/>
          <w:color w:val="000000"/>
          <w:kern w:val="0"/>
          <w:lang w:eastAsia="pt-BR"/>
          <w14:ligatures w14:val="none"/>
        </w:rPr>
        <w:t> </w:t>
      </w:r>
      <w:r w:rsidR="00372440">
        <w:rPr>
          <w:rFonts w:ascii="Times New Roman" w:eastAsia="Times New Roman" w:hAnsi="Times New Roman" w:cs="Times New Roman"/>
          <w:color w:val="000000"/>
          <w:kern w:val="0"/>
          <w:lang w:eastAsia="pt-BR"/>
          <w14:ligatures w14:val="none"/>
        </w:rPr>
        <w:t>i</w:t>
      </w:r>
      <w:r w:rsidRPr="00E07E60">
        <w:rPr>
          <w:rFonts w:ascii="Times New Roman" w:eastAsia="Times New Roman" w:hAnsi="Times New Roman" w:cs="Times New Roman"/>
          <w:color w:val="000000"/>
          <w:kern w:val="0"/>
          <w:lang w:eastAsia="pt-BR"/>
          <w14:ligatures w14:val="none"/>
        </w:rPr>
        <w:t>mpostos devem incidir mais sobre quem ganha mais e acumula mais. Isso implica revisar isenções sobre lucros e dividendos, tributar grandes fortunas e heranças, e rever os benefícios fiscais regressivos.</w:t>
      </w:r>
    </w:p>
    <w:p w14:paraId="7C9EEC80" w14:textId="7CAC9FFA" w:rsidR="00E07E60" w:rsidRPr="00E07E60" w:rsidRDefault="00E07E60" w:rsidP="0037244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Transparência e </w:t>
      </w:r>
      <w:r w:rsidR="00372440">
        <w:rPr>
          <w:rFonts w:ascii="Times New Roman" w:eastAsia="Times New Roman" w:hAnsi="Times New Roman" w:cs="Times New Roman"/>
          <w:color w:val="000000"/>
          <w:kern w:val="0"/>
          <w:lang w:eastAsia="pt-BR"/>
          <w14:ligatures w14:val="none"/>
        </w:rPr>
        <w:t>s</w:t>
      </w:r>
      <w:r w:rsidRPr="00E07E60">
        <w:rPr>
          <w:rFonts w:ascii="Times New Roman" w:eastAsia="Times New Roman" w:hAnsi="Times New Roman" w:cs="Times New Roman"/>
          <w:color w:val="000000"/>
          <w:kern w:val="0"/>
          <w:lang w:eastAsia="pt-BR"/>
          <w14:ligatures w14:val="none"/>
        </w:rPr>
        <w:t>implicidade</w:t>
      </w:r>
      <w:r w:rsidR="00372440">
        <w:rPr>
          <w:rFonts w:ascii="Times New Roman" w:eastAsia="Times New Roman" w:hAnsi="Times New Roman" w:cs="Times New Roman"/>
          <w:color w:val="000000"/>
          <w:kern w:val="0"/>
          <w:lang w:eastAsia="pt-BR"/>
          <w14:ligatures w14:val="none"/>
        </w:rPr>
        <w:t>,</w:t>
      </w:r>
      <w:r w:rsidRPr="00E07E60">
        <w:rPr>
          <w:rFonts w:ascii="Times New Roman" w:eastAsia="Times New Roman" w:hAnsi="Times New Roman" w:cs="Times New Roman"/>
          <w:color w:val="000000"/>
          <w:kern w:val="0"/>
          <w:lang w:eastAsia="pt-BR"/>
          <w14:ligatures w14:val="none"/>
        </w:rPr>
        <w:t> </w:t>
      </w:r>
      <w:r w:rsidR="00372440">
        <w:rPr>
          <w:rFonts w:ascii="Times New Roman" w:eastAsia="Times New Roman" w:hAnsi="Times New Roman" w:cs="Times New Roman"/>
          <w:color w:val="000000"/>
          <w:kern w:val="0"/>
          <w:lang w:eastAsia="pt-BR"/>
          <w14:ligatures w14:val="none"/>
        </w:rPr>
        <w:t>a</w:t>
      </w:r>
      <w:r w:rsidRPr="00E07E60">
        <w:rPr>
          <w:rFonts w:ascii="Times New Roman" w:eastAsia="Times New Roman" w:hAnsi="Times New Roman" w:cs="Times New Roman"/>
          <w:color w:val="000000"/>
          <w:kern w:val="0"/>
          <w:lang w:eastAsia="pt-BR"/>
          <w14:ligatures w14:val="none"/>
        </w:rPr>
        <w:t xml:space="preserve"> complexidade do sistema atual favorece a sonegação e a injustiça. A simplificação deve vir acompanhada de maior fiscalização e publicidade dos dados fiscais.</w:t>
      </w:r>
    </w:p>
    <w:p w14:paraId="77E3D2CC" w14:textId="23261455" w:rsidR="00E07E60" w:rsidRPr="00E07E60" w:rsidRDefault="00E07E60" w:rsidP="0037244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Participação </w:t>
      </w:r>
      <w:r w:rsidR="00372440">
        <w:rPr>
          <w:rFonts w:ascii="Times New Roman" w:eastAsia="Times New Roman" w:hAnsi="Times New Roman" w:cs="Times New Roman"/>
          <w:color w:val="000000"/>
          <w:kern w:val="0"/>
          <w:lang w:eastAsia="pt-BR"/>
          <w14:ligatures w14:val="none"/>
        </w:rPr>
        <w:t>p</w:t>
      </w:r>
      <w:r w:rsidRPr="00E07E60">
        <w:rPr>
          <w:rFonts w:ascii="Times New Roman" w:eastAsia="Times New Roman" w:hAnsi="Times New Roman" w:cs="Times New Roman"/>
          <w:color w:val="000000"/>
          <w:kern w:val="0"/>
          <w:lang w:eastAsia="pt-BR"/>
          <w14:ligatures w14:val="none"/>
        </w:rPr>
        <w:t>opular</w:t>
      </w:r>
      <w:r w:rsidR="00372440">
        <w:rPr>
          <w:rFonts w:ascii="Times New Roman" w:eastAsia="Times New Roman" w:hAnsi="Times New Roman" w:cs="Times New Roman"/>
          <w:color w:val="000000"/>
          <w:kern w:val="0"/>
          <w:lang w:eastAsia="pt-BR"/>
          <w14:ligatures w14:val="none"/>
        </w:rPr>
        <w:t>,</w:t>
      </w:r>
      <w:r w:rsidRPr="00E07E60">
        <w:rPr>
          <w:rFonts w:ascii="Times New Roman" w:eastAsia="Times New Roman" w:hAnsi="Times New Roman" w:cs="Times New Roman"/>
          <w:color w:val="000000"/>
          <w:kern w:val="0"/>
          <w:lang w:eastAsia="pt-BR"/>
          <w14:ligatures w14:val="none"/>
        </w:rPr>
        <w:t> </w:t>
      </w:r>
      <w:r w:rsidR="00372440">
        <w:rPr>
          <w:rFonts w:ascii="Times New Roman" w:eastAsia="Times New Roman" w:hAnsi="Times New Roman" w:cs="Times New Roman"/>
          <w:color w:val="000000"/>
          <w:kern w:val="0"/>
          <w:lang w:eastAsia="pt-BR"/>
          <w14:ligatures w14:val="none"/>
        </w:rPr>
        <w:t>m</w:t>
      </w:r>
      <w:r w:rsidRPr="00E07E60">
        <w:rPr>
          <w:rFonts w:ascii="Times New Roman" w:eastAsia="Times New Roman" w:hAnsi="Times New Roman" w:cs="Times New Roman"/>
          <w:color w:val="000000"/>
          <w:kern w:val="0"/>
          <w:lang w:eastAsia="pt-BR"/>
          <w14:ligatures w14:val="none"/>
        </w:rPr>
        <w:t>udanças tributárias precisam ser discutidas com a sociedade. Conselhos, audiências e consultas públicas são essenciais para legitimar a reforma.</w:t>
      </w:r>
    </w:p>
    <w:p w14:paraId="7A1AD650" w14:textId="39A431BA" w:rsidR="00E07E60" w:rsidRPr="00E07E60" w:rsidRDefault="00E07E60" w:rsidP="0037244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Alinhamento </w:t>
      </w:r>
      <w:r w:rsidR="00372440">
        <w:rPr>
          <w:rFonts w:ascii="Times New Roman" w:eastAsia="Times New Roman" w:hAnsi="Times New Roman" w:cs="Times New Roman"/>
          <w:color w:val="000000"/>
          <w:kern w:val="0"/>
          <w:lang w:eastAsia="pt-BR"/>
          <w14:ligatures w14:val="none"/>
        </w:rPr>
        <w:t>i</w:t>
      </w:r>
      <w:r w:rsidRPr="00E07E60">
        <w:rPr>
          <w:rFonts w:ascii="Times New Roman" w:eastAsia="Times New Roman" w:hAnsi="Times New Roman" w:cs="Times New Roman"/>
          <w:color w:val="000000"/>
          <w:kern w:val="0"/>
          <w:lang w:eastAsia="pt-BR"/>
          <w14:ligatures w14:val="none"/>
        </w:rPr>
        <w:t>nternacional</w:t>
      </w:r>
      <w:r w:rsidR="00372440">
        <w:rPr>
          <w:rFonts w:ascii="Times New Roman" w:eastAsia="Times New Roman" w:hAnsi="Times New Roman" w:cs="Times New Roman"/>
          <w:color w:val="000000"/>
          <w:kern w:val="0"/>
          <w:lang w:eastAsia="pt-BR"/>
          <w14:ligatures w14:val="none"/>
        </w:rPr>
        <w:t>,</w:t>
      </w:r>
      <w:r w:rsidRPr="00E07E60">
        <w:rPr>
          <w:rFonts w:ascii="Times New Roman" w:eastAsia="Times New Roman" w:hAnsi="Times New Roman" w:cs="Times New Roman"/>
          <w:color w:val="000000"/>
          <w:kern w:val="0"/>
          <w:lang w:eastAsia="pt-BR"/>
          <w14:ligatures w14:val="none"/>
        </w:rPr>
        <w:t> </w:t>
      </w:r>
      <w:r w:rsidR="00372440">
        <w:rPr>
          <w:rFonts w:ascii="Times New Roman" w:eastAsia="Times New Roman" w:hAnsi="Times New Roman" w:cs="Times New Roman"/>
          <w:color w:val="000000"/>
          <w:kern w:val="0"/>
          <w:lang w:eastAsia="pt-BR"/>
          <w14:ligatures w14:val="none"/>
        </w:rPr>
        <w:t>o</w:t>
      </w:r>
      <w:r w:rsidRPr="00E07E60">
        <w:rPr>
          <w:rFonts w:ascii="Times New Roman" w:eastAsia="Times New Roman" w:hAnsi="Times New Roman" w:cs="Times New Roman"/>
          <w:color w:val="000000"/>
          <w:kern w:val="0"/>
          <w:lang w:eastAsia="pt-BR"/>
          <w14:ligatures w14:val="none"/>
        </w:rPr>
        <w:t xml:space="preserve"> Brasil deve liderar a construção de mecanismos multilaterais para combater a evasão fiscal global, adotando boas práticas e firmando compromissos com a justiça fiscal planetária.</w:t>
      </w:r>
    </w:p>
    <w:p w14:paraId="03446062" w14:textId="44BAD8E1" w:rsidR="00E07E60" w:rsidRPr="00E07E60" w:rsidRDefault="0037244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Por fim, o </w:t>
      </w:r>
      <w:r w:rsidR="00E07E60" w:rsidRPr="00E07E60">
        <w:rPr>
          <w:rFonts w:ascii="Times New Roman" w:eastAsia="Times New Roman" w:hAnsi="Times New Roman" w:cs="Times New Roman"/>
          <w:color w:val="000000"/>
          <w:kern w:val="0"/>
          <w:lang w:eastAsia="pt-BR"/>
          <w14:ligatures w14:val="none"/>
        </w:rPr>
        <w:t>aumento do IOF escancarou as distorções e fragilidades da política fiscal brasileira. Ao atacar o consumo e preservar os grandes patrimônios, a medida reforça um modelo regressivo que perpetua a desigualdade e mina a confiança nas instituições.</w:t>
      </w:r>
    </w:p>
    <w:p w14:paraId="713242C6" w14:textId="7315D793"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Se o objetivo é elevar a arrecadação e promover equilíbrio fiscal, é preciso mirar o alvo certo: o topo da pirâmide. É no mercado financeiro, nas grandes fortunas e nos setores blindados que está o potencial arrecadatório real e a obrigação moral de contribuir mais.</w:t>
      </w:r>
    </w:p>
    <w:p w14:paraId="3038A875"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lastRenderedPageBreak/>
        <w:t xml:space="preserve">A justiça fiscal não é uma </w:t>
      </w:r>
      <w:proofErr w:type="gramStart"/>
      <w:r w:rsidRPr="00E07E60">
        <w:rPr>
          <w:rFonts w:ascii="Times New Roman" w:eastAsia="Times New Roman" w:hAnsi="Times New Roman" w:cs="Times New Roman"/>
          <w:color w:val="000000"/>
          <w:kern w:val="0"/>
          <w:lang w:eastAsia="pt-BR"/>
          <w14:ligatures w14:val="none"/>
        </w:rPr>
        <w:t>quimera</w:t>
      </w:r>
      <w:proofErr w:type="gramEnd"/>
      <w:r w:rsidRPr="00E07E60">
        <w:rPr>
          <w:rFonts w:ascii="Times New Roman" w:eastAsia="Times New Roman" w:hAnsi="Times New Roman" w:cs="Times New Roman"/>
          <w:color w:val="000000"/>
          <w:kern w:val="0"/>
          <w:lang w:eastAsia="pt-BR"/>
          <w14:ligatures w14:val="none"/>
        </w:rPr>
        <w:t xml:space="preserve"> ideológica. É uma exigência de qualquer sociedade que pretenda se organizar em torno de princípios republicanos. Como já advertiu Platão, a omissão política custa caro. E quando o Estado escolhe agradar os poderosos em detrimento da maioria, ele planta a semente de sua própria instabilidade.</w:t>
      </w:r>
    </w:p>
    <w:p w14:paraId="08A36AF2" w14:textId="77777777" w:rsidR="00E07E60" w:rsidRPr="00E07E60" w:rsidRDefault="00E07E60" w:rsidP="00E07E60">
      <w:pPr>
        <w:spacing w:before="100" w:beforeAutospacing="1" w:after="100" w:afterAutospacing="1"/>
        <w:rPr>
          <w:rFonts w:ascii="Times New Roman" w:eastAsia="Times New Roman" w:hAnsi="Times New Roman" w:cs="Times New Roman"/>
          <w:color w:val="000000"/>
          <w:kern w:val="0"/>
          <w:lang w:eastAsia="pt-BR"/>
          <w14:ligatures w14:val="none"/>
        </w:rPr>
      </w:pPr>
      <w:r w:rsidRPr="00E07E60">
        <w:rPr>
          <w:rFonts w:ascii="Times New Roman" w:eastAsia="Times New Roman" w:hAnsi="Times New Roman" w:cs="Times New Roman"/>
          <w:color w:val="000000"/>
          <w:kern w:val="0"/>
          <w:lang w:eastAsia="pt-BR"/>
          <w14:ligatures w14:val="none"/>
        </w:rPr>
        <w:t xml:space="preserve">É hora de escutar </w:t>
      </w:r>
      <w:proofErr w:type="spellStart"/>
      <w:r w:rsidRPr="00E07E60">
        <w:rPr>
          <w:rFonts w:ascii="Times New Roman" w:eastAsia="Times New Roman" w:hAnsi="Times New Roman" w:cs="Times New Roman"/>
          <w:color w:val="000000"/>
          <w:kern w:val="0"/>
          <w:lang w:eastAsia="pt-BR"/>
          <w14:ligatures w14:val="none"/>
        </w:rPr>
        <w:t>Zucman</w:t>
      </w:r>
      <w:proofErr w:type="spellEnd"/>
      <w:r w:rsidRPr="00E07E60">
        <w:rPr>
          <w:rFonts w:ascii="Times New Roman" w:eastAsia="Times New Roman" w:hAnsi="Times New Roman" w:cs="Times New Roman"/>
          <w:color w:val="000000"/>
          <w:kern w:val="0"/>
          <w:lang w:eastAsia="pt-BR"/>
          <w14:ligatures w14:val="none"/>
        </w:rPr>
        <w:t>, olhar para Davos e refletir sobre a pergunta fundamental: de que lado da história queremos estar?</w:t>
      </w:r>
    </w:p>
    <w:p w14:paraId="004A829C" w14:textId="6B48422F" w:rsidR="00E07E60" w:rsidRPr="00E07E60" w:rsidRDefault="00E07E60" w:rsidP="00E07E60">
      <w:pPr>
        <w:rPr>
          <w:rFonts w:ascii="Times New Roman" w:eastAsia="Times New Roman" w:hAnsi="Times New Roman" w:cs="Times New Roman"/>
          <w:kern w:val="0"/>
          <w:lang w:eastAsia="pt-BR"/>
          <w14:ligatures w14:val="none"/>
        </w:rPr>
      </w:pPr>
    </w:p>
    <w:p w14:paraId="0A546BBD" w14:textId="77777777" w:rsidR="00372440" w:rsidRPr="00372440" w:rsidRDefault="00372440" w:rsidP="00372440">
      <w:pPr>
        <w:spacing w:before="30" w:after="30"/>
        <w:rPr>
          <w:rFonts w:ascii="-webkit-standard" w:eastAsia="Times New Roman" w:hAnsi="-webkit-standard" w:cs="Times New Roman"/>
          <w:color w:val="2A2426"/>
          <w:kern w:val="0"/>
          <w:sz w:val="15"/>
          <w:szCs w:val="15"/>
          <w:lang w:eastAsia="pt-BR"/>
          <w14:ligatures w14:val="none"/>
        </w:rPr>
      </w:pPr>
      <w:r w:rsidRPr="00372440">
        <w:rPr>
          <w:rFonts w:ascii="Times New Roman" w:eastAsia="Times New Roman" w:hAnsi="Times New Roman" w:cs="Times New Roman"/>
          <w:color w:val="2A2426"/>
          <w:kern w:val="0"/>
          <w:sz w:val="15"/>
          <w:szCs w:val="15"/>
          <w:lang w:eastAsia="pt-BR"/>
          <w14:ligatures w14:val="none"/>
        </w:rPr>
        <w:t>Pedro Henrichs</w:t>
      </w:r>
    </w:p>
    <w:p w14:paraId="63B5EC8D" w14:textId="77777777" w:rsidR="00372440" w:rsidRPr="00372440" w:rsidRDefault="00372440" w:rsidP="00372440">
      <w:pPr>
        <w:spacing w:before="30" w:after="30"/>
        <w:rPr>
          <w:rFonts w:ascii="-webkit-standard" w:eastAsia="Times New Roman" w:hAnsi="-webkit-standard" w:cs="Times New Roman"/>
          <w:color w:val="000000"/>
          <w:kern w:val="0"/>
          <w:sz w:val="15"/>
          <w:szCs w:val="15"/>
          <w:lang w:eastAsia="pt-BR"/>
          <w14:ligatures w14:val="none"/>
        </w:rPr>
      </w:pPr>
      <w:r w:rsidRPr="00372440">
        <w:rPr>
          <w:rFonts w:ascii="Times New Roman" w:eastAsia="Times New Roman" w:hAnsi="Times New Roman" w:cs="Times New Roman"/>
          <w:color w:val="2A2426"/>
          <w:kern w:val="0"/>
          <w:sz w:val="15"/>
          <w:szCs w:val="15"/>
          <w:lang w:eastAsia="pt-BR"/>
          <w14:ligatures w14:val="none"/>
        </w:rPr>
        <w:t>Mestrando em Relações Internacionais no IDP (Instituto Brasileiro de ensino Desenvolvimento e Pesquisa), gestor Público, CEO da Henrichs Consultoria, Sec. Executivo Regenera Brasil, Ex-presidente do Fórum de Juventude dos BRICS, Observador eleitoral há 15 anos, 18 países na América, 4 países na Europa, 1 na África, e 3 na Ásia.</w:t>
      </w:r>
    </w:p>
    <w:p w14:paraId="5540D495" w14:textId="77777777" w:rsidR="00372440" w:rsidRPr="00372440" w:rsidRDefault="00372440" w:rsidP="00372440">
      <w:pPr>
        <w:rPr>
          <w:rFonts w:ascii="Times New Roman" w:eastAsia="Times New Roman" w:hAnsi="Times New Roman" w:cs="Times New Roman"/>
          <w:kern w:val="0"/>
          <w:lang w:eastAsia="pt-BR"/>
          <w14:ligatures w14:val="none"/>
        </w:rPr>
      </w:pPr>
    </w:p>
    <w:p w14:paraId="745E3852" w14:textId="0D5D90F2" w:rsidR="00FF3143" w:rsidRDefault="00FF3143" w:rsidP="00E07E60"/>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7D25"/>
    <w:multiLevelType w:val="multilevel"/>
    <w:tmpl w:val="8268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87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A0E"/>
    <w:rsid w:val="003102A3"/>
    <w:rsid w:val="00372440"/>
    <w:rsid w:val="006E5A0E"/>
    <w:rsid w:val="007847AC"/>
    <w:rsid w:val="00D856BC"/>
    <w:rsid w:val="00E07E60"/>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EC17"/>
  <w15:chartTrackingRefBased/>
  <w15:docId w15:val="{3C4F2635-CD5F-A542-977A-8EC7261D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5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E5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5A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5A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5A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5A0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5A0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5A0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5A0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5A0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E5A0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5A0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5A0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5A0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5A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5A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5A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5A0E"/>
    <w:rPr>
      <w:rFonts w:eastAsiaTheme="majorEastAsia" w:cstheme="majorBidi"/>
      <w:color w:val="272727" w:themeColor="text1" w:themeTint="D8"/>
    </w:rPr>
  </w:style>
  <w:style w:type="paragraph" w:styleId="Ttulo">
    <w:name w:val="Title"/>
    <w:basedOn w:val="Normal"/>
    <w:next w:val="Normal"/>
    <w:link w:val="TtuloChar"/>
    <w:uiPriority w:val="10"/>
    <w:qFormat/>
    <w:rsid w:val="006E5A0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5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5A0E"/>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5A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5A0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E5A0E"/>
    <w:rPr>
      <w:i/>
      <w:iCs/>
      <w:color w:val="404040" w:themeColor="text1" w:themeTint="BF"/>
    </w:rPr>
  </w:style>
  <w:style w:type="paragraph" w:styleId="PargrafodaLista">
    <w:name w:val="List Paragraph"/>
    <w:basedOn w:val="Normal"/>
    <w:uiPriority w:val="34"/>
    <w:qFormat/>
    <w:rsid w:val="006E5A0E"/>
    <w:pPr>
      <w:ind w:left="720"/>
      <w:contextualSpacing/>
    </w:pPr>
  </w:style>
  <w:style w:type="character" w:styleId="nfaseIntensa">
    <w:name w:val="Intense Emphasis"/>
    <w:basedOn w:val="Fontepargpadro"/>
    <w:uiPriority w:val="21"/>
    <w:qFormat/>
    <w:rsid w:val="006E5A0E"/>
    <w:rPr>
      <w:i/>
      <w:iCs/>
      <w:color w:val="0F4761" w:themeColor="accent1" w:themeShade="BF"/>
    </w:rPr>
  </w:style>
  <w:style w:type="paragraph" w:styleId="CitaoIntensa">
    <w:name w:val="Intense Quote"/>
    <w:basedOn w:val="Normal"/>
    <w:next w:val="Normal"/>
    <w:link w:val="CitaoIntensaChar"/>
    <w:uiPriority w:val="30"/>
    <w:qFormat/>
    <w:rsid w:val="006E5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5A0E"/>
    <w:rPr>
      <w:i/>
      <w:iCs/>
      <w:color w:val="0F4761" w:themeColor="accent1" w:themeShade="BF"/>
    </w:rPr>
  </w:style>
  <w:style w:type="character" w:styleId="RefernciaIntensa">
    <w:name w:val="Intense Reference"/>
    <w:basedOn w:val="Fontepargpadro"/>
    <w:uiPriority w:val="32"/>
    <w:qFormat/>
    <w:rsid w:val="006E5A0E"/>
    <w:rPr>
      <w:b/>
      <w:bCs/>
      <w:smallCaps/>
      <w:color w:val="0F4761" w:themeColor="accent1" w:themeShade="BF"/>
      <w:spacing w:val="5"/>
    </w:rPr>
  </w:style>
  <w:style w:type="paragraph" w:styleId="NormalWeb">
    <w:name w:val="Normal (Web)"/>
    <w:basedOn w:val="Normal"/>
    <w:uiPriority w:val="99"/>
    <w:semiHidden/>
    <w:unhideWhenUsed/>
    <w:rsid w:val="00E07E60"/>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07E60"/>
    <w:rPr>
      <w:b/>
      <w:bCs/>
    </w:rPr>
  </w:style>
  <w:style w:type="character" w:customStyle="1" w:styleId="apple-converted-space">
    <w:name w:val="apple-converted-space"/>
    <w:basedOn w:val="Fontepargpadro"/>
    <w:rsid w:val="00E07E60"/>
  </w:style>
  <w:style w:type="paragraph" w:customStyle="1" w:styleId="s8">
    <w:name w:val="s8"/>
    <w:basedOn w:val="Normal"/>
    <w:rsid w:val="00372440"/>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s7">
    <w:name w:val="s7"/>
    <w:basedOn w:val="Fontepargpadro"/>
    <w:rsid w:val="00372440"/>
  </w:style>
  <w:style w:type="paragraph" w:customStyle="1" w:styleId="s9">
    <w:name w:val="s9"/>
    <w:basedOn w:val="Normal"/>
    <w:rsid w:val="00372440"/>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135649">
      <w:bodyDiv w:val="1"/>
      <w:marLeft w:val="0"/>
      <w:marRight w:val="0"/>
      <w:marTop w:val="0"/>
      <w:marBottom w:val="0"/>
      <w:divBdr>
        <w:top w:val="none" w:sz="0" w:space="0" w:color="auto"/>
        <w:left w:val="none" w:sz="0" w:space="0" w:color="auto"/>
        <w:bottom w:val="none" w:sz="0" w:space="0" w:color="auto"/>
        <w:right w:val="none" w:sz="0" w:space="0" w:color="auto"/>
      </w:divBdr>
    </w:div>
    <w:div w:id="2144617203">
      <w:bodyDiv w:val="1"/>
      <w:marLeft w:val="0"/>
      <w:marRight w:val="0"/>
      <w:marTop w:val="0"/>
      <w:marBottom w:val="0"/>
      <w:divBdr>
        <w:top w:val="none" w:sz="0" w:space="0" w:color="auto"/>
        <w:left w:val="none" w:sz="0" w:space="0" w:color="auto"/>
        <w:bottom w:val="none" w:sz="0" w:space="0" w:color="auto"/>
        <w:right w:val="none" w:sz="0" w:space="0" w:color="auto"/>
      </w:divBdr>
      <w:divsChild>
        <w:div w:id="153893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1437</Words>
  <Characters>7760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2025-05-27T11:50:00Z</dcterms:created>
  <dcterms:modified xsi:type="dcterms:W3CDTF">2025-05-27T12:39:00Z</dcterms:modified>
</cp:coreProperties>
</file>