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B7FEF" w14:textId="38514049" w:rsidR="00FA2E43" w:rsidRPr="00FA2E43" w:rsidRDefault="00FA2E43" w:rsidP="00FA2E43">
      <w:pPr>
        <w:spacing w:before="100" w:beforeAutospacing="1" w:after="100" w:afterAutospacing="1"/>
        <w:outlineLvl w:val="0"/>
        <w:rPr>
          <w:rFonts w:ascii="Times New Roman" w:eastAsia="Times New Roman" w:hAnsi="Times New Roman" w:cs="Times New Roman"/>
          <w:b/>
          <w:bCs/>
          <w:color w:val="000000"/>
          <w:kern w:val="36"/>
          <w:sz w:val="40"/>
          <w:szCs w:val="40"/>
          <w:lang w:eastAsia="pt-BR"/>
          <w14:ligatures w14:val="none"/>
        </w:rPr>
      </w:pPr>
      <w:r w:rsidRPr="00FA2E43">
        <w:rPr>
          <w:rFonts w:ascii="Times New Roman" w:eastAsia="Times New Roman" w:hAnsi="Times New Roman" w:cs="Times New Roman"/>
          <w:b/>
          <w:bCs/>
          <w:color w:val="000000"/>
          <w:kern w:val="36"/>
          <w:sz w:val="40"/>
          <w:szCs w:val="40"/>
          <w:lang w:eastAsia="pt-BR"/>
          <w14:ligatures w14:val="none"/>
        </w:rPr>
        <w:t xml:space="preserve">MÉTODOS DE LISTA POSITIVA E LISTA NEGATIVA EM ACORDOS DE COMÉRCIO DE SERVIÇOS: </w:t>
      </w:r>
    </w:p>
    <w:p w14:paraId="7891BC39" w14:textId="77777777" w:rsidR="00FA2E43" w:rsidRPr="00FA2E43" w:rsidRDefault="00FA2E43" w:rsidP="00FA2E43">
      <w:pPr>
        <w:pStyle w:val="Ttulo1"/>
        <w:spacing w:before="0" w:after="0"/>
        <w:rPr>
          <w:rFonts w:ascii="Lato" w:eastAsia="Times New Roman" w:hAnsi="Lato" w:cs="Times New Roman"/>
          <w:b/>
          <w:bCs/>
          <w:color w:val="000000" w:themeColor="text1"/>
          <w:kern w:val="36"/>
          <w:sz w:val="24"/>
          <w:szCs w:val="24"/>
          <w:lang w:eastAsia="pt-BR"/>
          <w14:ligatures w14:val="none"/>
        </w:rPr>
      </w:pPr>
      <w:r w:rsidRPr="00FA2E43">
        <w:rPr>
          <w:rFonts w:ascii="Times New Roman" w:eastAsia="Times New Roman" w:hAnsi="Times New Roman" w:cs="Times New Roman"/>
          <w:b/>
          <w:bCs/>
          <w:color w:val="000000"/>
          <w:kern w:val="0"/>
          <w:sz w:val="24"/>
          <w:szCs w:val="24"/>
          <w:lang w:eastAsia="pt-BR"/>
          <w14:ligatures w14:val="none"/>
        </w:rPr>
        <w:t>Autor:</w:t>
      </w:r>
      <w:r w:rsidRPr="00FA2E43">
        <w:rPr>
          <w:rFonts w:ascii="Times New Roman" w:eastAsia="Times New Roman" w:hAnsi="Times New Roman" w:cs="Times New Roman"/>
          <w:b/>
          <w:bCs/>
          <w:color w:val="000000"/>
          <w:kern w:val="0"/>
          <w:sz w:val="24"/>
          <w:szCs w:val="24"/>
          <w:lang w:eastAsia="pt-BR"/>
          <w14:ligatures w14:val="none"/>
        </w:rPr>
        <w:t xml:space="preserve"> Pedro Paulo Henrichs Neto</w:t>
      </w:r>
      <w:r w:rsidRPr="00FA2E43">
        <w:rPr>
          <w:rFonts w:ascii="Times New Roman" w:eastAsia="Times New Roman" w:hAnsi="Times New Roman" w:cs="Times New Roman"/>
          <w:color w:val="000000"/>
          <w:kern w:val="0"/>
          <w:sz w:val="24"/>
          <w:szCs w:val="24"/>
          <w:lang w:eastAsia="pt-BR"/>
          <w14:ligatures w14:val="none"/>
        </w:rPr>
        <w:br/>
      </w:r>
      <w:r w:rsidRPr="00FA2E43">
        <w:rPr>
          <w:rFonts w:ascii="Times New Roman" w:eastAsia="Times New Roman" w:hAnsi="Times New Roman" w:cs="Times New Roman"/>
          <w:b/>
          <w:bCs/>
          <w:color w:val="000000"/>
          <w:kern w:val="0"/>
          <w:sz w:val="24"/>
          <w:szCs w:val="24"/>
          <w:lang w:eastAsia="pt-BR"/>
          <w14:ligatures w14:val="none"/>
        </w:rPr>
        <w:t>Instituição:</w:t>
      </w:r>
      <w:r w:rsidRPr="00FA2E43">
        <w:rPr>
          <w:rFonts w:ascii="Times New Roman" w:eastAsia="Times New Roman" w:hAnsi="Times New Roman" w:cs="Times New Roman"/>
          <w:b/>
          <w:bCs/>
          <w:color w:val="000000"/>
          <w:kern w:val="0"/>
          <w:sz w:val="24"/>
          <w:szCs w:val="24"/>
          <w:lang w:eastAsia="pt-BR"/>
          <w14:ligatures w14:val="none"/>
        </w:rPr>
        <w:t xml:space="preserve"> IDP</w:t>
      </w:r>
      <w:r w:rsidRPr="00FA2E43">
        <w:rPr>
          <w:rFonts w:ascii="Times New Roman" w:eastAsia="Times New Roman" w:hAnsi="Times New Roman" w:cs="Times New Roman"/>
          <w:color w:val="000000"/>
          <w:kern w:val="0"/>
          <w:sz w:val="24"/>
          <w:szCs w:val="24"/>
          <w:lang w:eastAsia="pt-BR"/>
          <w14:ligatures w14:val="none"/>
        </w:rPr>
        <w:br/>
      </w:r>
      <w:r w:rsidRPr="00FA2E43">
        <w:rPr>
          <w:rFonts w:ascii="Times New Roman" w:eastAsia="Times New Roman" w:hAnsi="Times New Roman" w:cs="Times New Roman"/>
          <w:b/>
          <w:bCs/>
          <w:color w:val="000000"/>
          <w:kern w:val="0"/>
          <w:sz w:val="24"/>
          <w:szCs w:val="24"/>
          <w:lang w:eastAsia="pt-BR"/>
          <w14:ligatures w14:val="none"/>
        </w:rPr>
        <w:t>Curso:</w:t>
      </w:r>
      <w:r w:rsidRPr="00FA2E43">
        <w:rPr>
          <w:rFonts w:ascii="Times New Roman" w:eastAsia="Times New Roman" w:hAnsi="Times New Roman" w:cs="Times New Roman"/>
          <w:b/>
          <w:bCs/>
          <w:color w:val="000000"/>
          <w:kern w:val="0"/>
          <w:sz w:val="24"/>
          <w:szCs w:val="24"/>
          <w:lang w:eastAsia="pt-BR"/>
          <w14:ligatures w14:val="none"/>
        </w:rPr>
        <w:t xml:space="preserve"> Mestrado em Relações Internacionais</w:t>
      </w:r>
      <w:r w:rsidRPr="00FA2E43">
        <w:rPr>
          <w:rFonts w:ascii="Times New Roman" w:eastAsia="Times New Roman" w:hAnsi="Times New Roman" w:cs="Times New Roman"/>
          <w:color w:val="000000"/>
          <w:kern w:val="0"/>
          <w:sz w:val="24"/>
          <w:szCs w:val="24"/>
          <w:lang w:eastAsia="pt-BR"/>
          <w14:ligatures w14:val="none"/>
        </w:rPr>
        <w:br/>
      </w:r>
      <w:r w:rsidRPr="00FA2E43">
        <w:rPr>
          <w:rFonts w:ascii="Times New Roman" w:eastAsia="Times New Roman" w:hAnsi="Times New Roman" w:cs="Times New Roman"/>
          <w:b/>
          <w:bCs/>
          <w:color w:val="000000"/>
          <w:kern w:val="0"/>
          <w:sz w:val="24"/>
          <w:szCs w:val="24"/>
          <w:lang w:eastAsia="pt-BR"/>
          <w14:ligatures w14:val="none"/>
        </w:rPr>
        <w:t>Disciplina:</w:t>
      </w:r>
      <w:r w:rsidRPr="00FA2E43">
        <w:rPr>
          <w:rFonts w:ascii="Times New Roman" w:eastAsia="Times New Roman" w:hAnsi="Times New Roman" w:cs="Times New Roman"/>
          <w:b/>
          <w:bCs/>
          <w:color w:val="000000"/>
          <w:kern w:val="0"/>
          <w:sz w:val="24"/>
          <w:szCs w:val="24"/>
          <w:lang w:eastAsia="pt-BR"/>
          <w14:ligatures w14:val="none"/>
        </w:rPr>
        <w:t xml:space="preserve"> </w:t>
      </w:r>
      <w:r w:rsidRPr="00FA2E43">
        <w:rPr>
          <w:rFonts w:ascii="Times New Roman" w:eastAsia="Times New Roman" w:hAnsi="Times New Roman" w:cs="Times New Roman"/>
          <w:b/>
          <w:bCs/>
          <w:color w:val="000000" w:themeColor="text1"/>
          <w:kern w:val="36"/>
          <w:sz w:val="24"/>
          <w:szCs w:val="24"/>
          <w:lang w:eastAsia="pt-BR"/>
          <w14:ligatures w14:val="none"/>
        </w:rPr>
        <w:t>Negociações Internacionais: Tópicos Avançados - Serviços, Investimentos, Compras Públicas e Comércio Digital</w:t>
      </w:r>
      <w:r w:rsidRPr="00FA2E43">
        <w:rPr>
          <w:rFonts w:ascii="Lato" w:eastAsia="Times New Roman" w:hAnsi="Lato" w:cs="Times New Roman"/>
          <w:b/>
          <w:bCs/>
          <w:color w:val="000000" w:themeColor="text1"/>
          <w:kern w:val="36"/>
          <w:sz w:val="24"/>
          <w:szCs w:val="24"/>
          <w:lang w:eastAsia="pt-BR"/>
          <w14:ligatures w14:val="none"/>
        </w:rPr>
        <w:t> </w:t>
      </w:r>
    </w:p>
    <w:p w14:paraId="46B225A7" w14:textId="769C69B5" w:rsidR="00FA2E43" w:rsidRPr="00FA2E43" w:rsidRDefault="00FA2E43" w:rsidP="00FA2E43">
      <w:pPr>
        <w:pStyle w:val="Ttulo1"/>
        <w:spacing w:before="0" w:after="0"/>
        <w:rPr>
          <w:rFonts w:ascii="Lato" w:eastAsia="Times New Roman" w:hAnsi="Lato" w:cs="Times New Roman"/>
          <w:b/>
          <w:bCs/>
          <w:color w:val="666666"/>
          <w:kern w:val="36"/>
          <w:sz w:val="36"/>
          <w:szCs w:val="36"/>
          <w:lang w:eastAsia="pt-BR"/>
          <w14:ligatures w14:val="none"/>
        </w:rPr>
      </w:pPr>
      <w:r w:rsidRPr="00FA2E43">
        <w:rPr>
          <w:rFonts w:ascii="Times New Roman" w:eastAsia="Times New Roman" w:hAnsi="Times New Roman" w:cs="Times New Roman"/>
          <w:b/>
          <w:bCs/>
          <w:color w:val="000000"/>
          <w:kern w:val="0"/>
          <w:sz w:val="24"/>
          <w:szCs w:val="24"/>
          <w:lang w:eastAsia="pt-BR"/>
          <w14:ligatures w14:val="none"/>
        </w:rPr>
        <w:t>Professor:</w:t>
      </w:r>
      <w:r w:rsidRPr="00FA2E43">
        <w:rPr>
          <w:rFonts w:ascii="Times New Roman" w:eastAsia="Times New Roman" w:hAnsi="Times New Roman" w:cs="Times New Roman"/>
          <w:b/>
          <w:bCs/>
          <w:color w:val="000000"/>
          <w:kern w:val="0"/>
          <w:sz w:val="24"/>
          <w:szCs w:val="24"/>
          <w:lang w:eastAsia="pt-BR"/>
          <w14:ligatures w14:val="none"/>
        </w:rPr>
        <w:t xml:space="preserve"> Henrique Martins </w:t>
      </w:r>
      <w:proofErr w:type="spellStart"/>
      <w:r w:rsidRPr="00FA2E43">
        <w:rPr>
          <w:rFonts w:ascii="Times New Roman" w:eastAsia="Times New Roman" w:hAnsi="Times New Roman" w:cs="Times New Roman"/>
          <w:b/>
          <w:bCs/>
          <w:color w:val="000000"/>
          <w:kern w:val="0"/>
          <w:sz w:val="24"/>
          <w:szCs w:val="24"/>
          <w:lang w:eastAsia="pt-BR"/>
          <w14:ligatures w14:val="none"/>
        </w:rPr>
        <w:t>Sachetim</w:t>
      </w:r>
      <w:proofErr w:type="spellEnd"/>
      <w:r>
        <w:rPr>
          <w:rFonts w:ascii="Times New Roman" w:eastAsia="Times New Roman" w:hAnsi="Times New Roman" w:cs="Times New Roman"/>
          <w:b/>
          <w:bCs/>
          <w:color w:val="000000"/>
          <w:kern w:val="0"/>
          <w:sz w:val="36"/>
          <w:szCs w:val="36"/>
          <w:lang w:eastAsia="pt-BR"/>
          <w14:ligatures w14:val="none"/>
        </w:rPr>
        <w:t xml:space="preserve"> </w:t>
      </w:r>
      <w:r w:rsidRPr="00FA2E43">
        <w:rPr>
          <w:rFonts w:ascii="Times New Roman" w:eastAsia="Times New Roman" w:hAnsi="Times New Roman" w:cs="Times New Roman"/>
          <w:color w:val="000000"/>
          <w:kern w:val="0"/>
          <w:sz w:val="36"/>
          <w:szCs w:val="36"/>
          <w:lang w:eastAsia="pt-BR"/>
          <w14:ligatures w14:val="none"/>
        </w:rPr>
        <w:br/>
      </w:r>
      <w:r w:rsidRPr="00FA2E43">
        <w:rPr>
          <w:rFonts w:ascii="Times New Roman" w:eastAsia="Times New Roman" w:hAnsi="Times New Roman" w:cs="Times New Roman"/>
          <w:color w:val="000000"/>
          <w:kern w:val="0"/>
          <w:sz w:val="32"/>
          <w:szCs w:val="32"/>
          <w:lang w:eastAsia="pt-BR"/>
          <w14:ligatures w14:val="none"/>
        </w:rPr>
        <w:br/>
      </w:r>
      <w:r w:rsidRPr="00FA2E43">
        <w:rPr>
          <w:rFonts w:ascii="Times New Roman" w:eastAsia="Times New Roman" w:hAnsi="Times New Roman" w:cs="Times New Roman"/>
          <w:b/>
          <w:bCs/>
          <w:color w:val="000000"/>
          <w:kern w:val="0"/>
          <w:sz w:val="32"/>
          <w:szCs w:val="32"/>
          <w:lang w:eastAsia="pt-BR"/>
          <w14:ligatures w14:val="none"/>
        </w:rPr>
        <w:t>RESUMO</w:t>
      </w:r>
    </w:p>
    <w:p w14:paraId="3B5B5C86" w14:textId="77777777" w:rsidR="00FA2E43" w:rsidRPr="00FA2E43" w:rsidRDefault="00FA2E43" w:rsidP="00FA2E43">
      <w:pPr>
        <w:spacing w:before="100" w:beforeAutospacing="1" w:after="100" w:afterAutospacing="1"/>
        <w:rPr>
          <w:rFonts w:ascii="Times New Roman" w:eastAsia="Times New Roman" w:hAnsi="Times New Roman" w:cs="Times New Roman"/>
          <w:color w:val="000000"/>
          <w:kern w:val="0"/>
          <w:lang w:eastAsia="pt-BR"/>
          <w14:ligatures w14:val="none"/>
        </w:rPr>
      </w:pPr>
      <w:r w:rsidRPr="00FA2E43">
        <w:rPr>
          <w:rFonts w:ascii="Times New Roman" w:eastAsia="Times New Roman" w:hAnsi="Times New Roman" w:cs="Times New Roman"/>
          <w:color w:val="000000"/>
          <w:kern w:val="0"/>
          <w:lang w:eastAsia="pt-BR"/>
          <w14:ligatures w14:val="none"/>
        </w:rPr>
        <w:t>A liberalização do comércio de serviços tem se tornado uma dimensão cada vez mais central nas negociações comerciais internacionais. Dentre os instrumentos normativos utilizados para regular os compromissos assumidos pelos países, destacam-se os métodos de lista positiva e lista negativa. Este trabalho busca analisar criticamente os dois modelos, considerando suas implicações econômicas, políticas e regulatórias para países em desenvolvimento, com ênfase na realidade brasileira. Por meio de revisão bibliográfica e análise comparativa, argumenta-se que a lista positiva oferece maior proteção regulatória e soberania para países com instituições em processo de fortalecimento, como o Brasil. No entanto, explora-se também a viabilidade de uma abordagem híbrida, capaz de conciliar protecionismo estratégico com inserção em cadeias globais de valor.</w:t>
      </w:r>
    </w:p>
    <w:p w14:paraId="3AF946E3" w14:textId="77777777" w:rsidR="00FA2E43" w:rsidRPr="00FA2E43" w:rsidRDefault="00FA2E43" w:rsidP="00FA2E43">
      <w:pPr>
        <w:spacing w:before="100" w:beforeAutospacing="1" w:after="100" w:afterAutospacing="1"/>
        <w:rPr>
          <w:rFonts w:ascii="Times New Roman" w:eastAsia="Times New Roman" w:hAnsi="Times New Roman" w:cs="Times New Roman"/>
          <w:color w:val="000000"/>
          <w:kern w:val="0"/>
          <w:lang w:eastAsia="pt-BR"/>
          <w14:ligatures w14:val="none"/>
        </w:rPr>
      </w:pPr>
      <w:r w:rsidRPr="00FA2E43">
        <w:rPr>
          <w:rFonts w:ascii="Times New Roman" w:eastAsia="Times New Roman" w:hAnsi="Times New Roman" w:cs="Times New Roman"/>
          <w:b/>
          <w:bCs/>
          <w:color w:val="000000"/>
          <w:kern w:val="0"/>
          <w:lang w:eastAsia="pt-BR"/>
          <w14:ligatures w14:val="none"/>
        </w:rPr>
        <w:t>Palavras-chave:</w:t>
      </w:r>
      <w:r w:rsidRPr="00FA2E43">
        <w:rPr>
          <w:rFonts w:ascii="Times New Roman" w:eastAsia="Times New Roman" w:hAnsi="Times New Roman" w:cs="Times New Roman"/>
          <w:color w:val="000000"/>
          <w:kern w:val="0"/>
          <w:lang w:eastAsia="pt-BR"/>
          <w14:ligatures w14:val="none"/>
        </w:rPr>
        <w:t> Comércio internacional; Lista positiva; Lista negativa; Serviços; Regulação.</w:t>
      </w:r>
    </w:p>
    <w:p w14:paraId="082153E0" w14:textId="2EC6EA4D" w:rsidR="00FA2E43" w:rsidRPr="00FA2E43" w:rsidRDefault="00FA2E43" w:rsidP="00FA2E43">
      <w:pPr>
        <w:rPr>
          <w:rFonts w:ascii="Times New Roman" w:eastAsia="Times New Roman" w:hAnsi="Times New Roman" w:cs="Times New Roman"/>
          <w:kern w:val="0"/>
          <w:lang w:eastAsia="pt-BR"/>
          <w14:ligatures w14:val="none"/>
        </w:rPr>
      </w:pPr>
    </w:p>
    <w:p w14:paraId="019B70F3" w14:textId="77777777" w:rsidR="00FA2E43" w:rsidRPr="00FA2E43" w:rsidRDefault="00FA2E43" w:rsidP="00FA2E43">
      <w:pPr>
        <w:spacing w:before="100" w:beforeAutospacing="1" w:after="100" w:afterAutospacing="1"/>
        <w:outlineLvl w:val="1"/>
        <w:rPr>
          <w:rFonts w:ascii="Times New Roman" w:eastAsia="Times New Roman" w:hAnsi="Times New Roman" w:cs="Times New Roman"/>
          <w:b/>
          <w:bCs/>
          <w:color w:val="000000"/>
          <w:kern w:val="0"/>
          <w:sz w:val="32"/>
          <w:szCs w:val="32"/>
          <w:lang w:eastAsia="pt-BR"/>
          <w14:ligatures w14:val="none"/>
        </w:rPr>
      </w:pPr>
      <w:r w:rsidRPr="00FA2E43">
        <w:rPr>
          <w:rFonts w:ascii="Times New Roman" w:eastAsia="Times New Roman" w:hAnsi="Times New Roman" w:cs="Times New Roman"/>
          <w:b/>
          <w:bCs/>
          <w:color w:val="000000"/>
          <w:kern w:val="0"/>
          <w:sz w:val="32"/>
          <w:szCs w:val="32"/>
          <w:lang w:eastAsia="pt-BR"/>
          <w14:ligatures w14:val="none"/>
        </w:rPr>
        <w:t>1. INTRODUÇÃO</w:t>
      </w:r>
    </w:p>
    <w:p w14:paraId="4348D313" w14:textId="77777777" w:rsidR="00FA2E43" w:rsidRPr="00FA2E43" w:rsidRDefault="00FA2E43" w:rsidP="00FA2E43">
      <w:pPr>
        <w:spacing w:before="100" w:beforeAutospacing="1" w:after="100" w:afterAutospacing="1"/>
        <w:rPr>
          <w:rFonts w:ascii="Times New Roman" w:eastAsia="Times New Roman" w:hAnsi="Times New Roman" w:cs="Times New Roman"/>
          <w:color w:val="000000"/>
          <w:kern w:val="0"/>
          <w:lang w:eastAsia="pt-BR"/>
          <w14:ligatures w14:val="none"/>
        </w:rPr>
      </w:pPr>
      <w:r w:rsidRPr="00FA2E43">
        <w:rPr>
          <w:rFonts w:ascii="Times New Roman" w:eastAsia="Times New Roman" w:hAnsi="Times New Roman" w:cs="Times New Roman"/>
          <w:color w:val="000000"/>
          <w:kern w:val="0"/>
          <w:lang w:eastAsia="pt-BR"/>
          <w14:ligatures w14:val="none"/>
        </w:rPr>
        <w:t>A globalização econômica provocou mudanças estruturais no modo como os países se relacionam comercialmente. Se, no passado, o foco estava centrado nas trocas de bens, atualmente os serviços ocupam papel fundamental nas cadeias de valor, representando uma parcela significativa do Produto Interno Bruto (PIB) de diversas nações. Em resposta a essa mudança, os acordos de comércio passaram a incluir capítulos específicos sobre serviços, sendo necessário definir os moldes pelos quais se dará a liberalização do setor.</w:t>
      </w:r>
    </w:p>
    <w:p w14:paraId="5BD64D9A" w14:textId="6D69792F" w:rsidR="00FA2E43" w:rsidRPr="00FA2E43" w:rsidRDefault="00FA2E43" w:rsidP="00FA2E43">
      <w:pPr>
        <w:spacing w:before="100" w:beforeAutospacing="1" w:after="100" w:afterAutospacing="1"/>
        <w:rPr>
          <w:rFonts w:ascii="Times New Roman" w:eastAsia="Times New Roman" w:hAnsi="Times New Roman" w:cs="Times New Roman"/>
          <w:color w:val="000000"/>
          <w:kern w:val="0"/>
          <w:lang w:eastAsia="pt-BR"/>
          <w14:ligatures w14:val="none"/>
        </w:rPr>
      </w:pPr>
      <w:r w:rsidRPr="00FA2E43">
        <w:rPr>
          <w:rFonts w:ascii="Times New Roman" w:eastAsia="Times New Roman" w:hAnsi="Times New Roman" w:cs="Times New Roman"/>
          <w:color w:val="000000"/>
          <w:kern w:val="0"/>
          <w:lang w:eastAsia="pt-BR"/>
          <w14:ligatures w14:val="none"/>
        </w:rPr>
        <w:t>Dois métodos principais têm sido utilizados para registrar os compromissos assumidos pelos países nesses acordos: a </w:t>
      </w:r>
      <w:r w:rsidRPr="00FA2E43">
        <w:rPr>
          <w:rFonts w:ascii="Times New Roman" w:eastAsia="Times New Roman" w:hAnsi="Times New Roman" w:cs="Times New Roman"/>
          <w:b/>
          <w:bCs/>
          <w:color w:val="000000"/>
          <w:kern w:val="0"/>
          <w:lang w:eastAsia="pt-BR"/>
          <w14:ligatures w14:val="none"/>
        </w:rPr>
        <w:t>lista positiva</w:t>
      </w:r>
      <w:r w:rsidRPr="00FA2E43">
        <w:rPr>
          <w:rFonts w:ascii="Times New Roman" w:eastAsia="Times New Roman" w:hAnsi="Times New Roman" w:cs="Times New Roman"/>
          <w:color w:val="000000"/>
          <w:kern w:val="0"/>
          <w:lang w:eastAsia="pt-BR"/>
          <w14:ligatures w14:val="none"/>
        </w:rPr>
        <w:t> e a </w:t>
      </w:r>
      <w:r w:rsidRPr="00FA2E43">
        <w:rPr>
          <w:rFonts w:ascii="Times New Roman" w:eastAsia="Times New Roman" w:hAnsi="Times New Roman" w:cs="Times New Roman"/>
          <w:b/>
          <w:bCs/>
          <w:color w:val="000000"/>
          <w:kern w:val="0"/>
          <w:lang w:eastAsia="pt-BR"/>
          <w14:ligatures w14:val="none"/>
        </w:rPr>
        <w:t>lista negativa</w:t>
      </w:r>
      <w:r w:rsidRPr="00FA2E43">
        <w:rPr>
          <w:rFonts w:ascii="Times New Roman" w:eastAsia="Times New Roman" w:hAnsi="Times New Roman" w:cs="Times New Roman"/>
          <w:color w:val="000000"/>
          <w:kern w:val="0"/>
          <w:lang w:eastAsia="pt-BR"/>
          <w14:ligatures w14:val="none"/>
        </w:rPr>
        <w:t>. No modelo de lista positiva, os países comprometem-se apenas com os setores que listarem explicitamente. Já no modelo de lista negativa, considera-se que todos os setores estão liberalizados, exceto os excluídos por meio de reservas formais.</w:t>
      </w:r>
    </w:p>
    <w:p w14:paraId="476C001C" w14:textId="77777777" w:rsidR="00FA2E43" w:rsidRPr="00FA2E43" w:rsidRDefault="00FA2E43" w:rsidP="00FA2E43">
      <w:pPr>
        <w:spacing w:before="100" w:beforeAutospacing="1" w:after="100" w:afterAutospacing="1"/>
        <w:rPr>
          <w:rFonts w:ascii="Times New Roman" w:eastAsia="Times New Roman" w:hAnsi="Times New Roman" w:cs="Times New Roman"/>
          <w:color w:val="000000"/>
          <w:kern w:val="0"/>
          <w:lang w:eastAsia="pt-BR"/>
          <w14:ligatures w14:val="none"/>
        </w:rPr>
      </w:pPr>
      <w:r w:rsidRPr="00FA2E43">
        <w:rPr>
          <w:rFonts w:ascii="Times New Roman" w:eastAsia="Times New Roman" w:hAnsi="Times New Roman" w:cs="Times New Roman"/>
          <w:color w:val="000000"/>
          <w:kern w:val="0"/>
          <w:lang w:eastAsia="pt-BR"/>
          <w14:ligatures w14:val="none"/>
        </w:rPr>
        <w:lastRenderedPageBreak/>
        <w:t>Neste trabalho, objetiva-se examinar os dois métodos à luz da realidade brasileira, destacando suas vantagens, desvantagens e implicações estratégicas. A questão central que guia a análise é: qual dos dois modelos atende melhor aos interesses regulatórios, econômicos e políticos do Brasil?</w:t>
      </w:r>
    </w:p>
    <w:p w14:paraId="154D12FB" w14:textId="58A5128F" w:rsidR="00FA2E43" w:rsidRPr="00FA2E43" w:rsidRDefault="00FA2E43" w:rsidP="00FA2E43">
      <w:pPr>
        <w:rPr>
          <w:rFonts w:ascii="Times New Roman" w:eastAsia="Times New Roman" w:hAnsi="Times New Roman" w:cs="Times New Roman"/>
          <w:kern w:val="0"/>
          <w:lang w:eastAsia="pt-BR"/>
          <w14:ligatures w14:val="none"/>
        </w:rPr>
      </w:pPr>
    </w:p>
    <w:p w14:paraId="48DDF4BC" w14:textId="77777777" w:rsidR="00FA2E43" w:rsidRPr="00FA2E43" w:rsidRDefault="00FA2E43" w:rsidP="00FA2E43">
      <w:pPr>
        <w:spacing w:before="100" w:beforeAutospacing="1" w:after="100" w:afterAutospacing="1"/>
        <w:outlineLvl w:val="1"/>
        <w:rPr>
          <w:rFonts w:ascii="Times New Roman" w:eastAsia="Times New Roman" w:hAnsi="Times New Roman" w:cs="Times New Roman"/>
          <w:b/>
          <w:bCs/>
          <w:color w:val="000000"/>
          <w:kern w:val="0"/>
          <w:sz w:val="32"/>
          <w:szCs w:val="32"/>
          <w:lang w:eastAsia="pt-BR"/>
          <w14:ligatures w14:val="none"/>
        </w:rPr>
      </w:pPr>
      <w:r w:rsidRPr="00FA2E43">
        <w:rPr>
          <w:rFonts w:ascii="Times New Roman" w:eastAsia="Times New Roman" w:hAnsi="Times New Roman" w:cs="Times New Roman"/>
          <w:b/>
          <w:bCs/>
          <w:color w:val="000000"/>
          <w:kern w:val="0"/>
          <w:sz w:val="32"/>
          <w:szCs w:val="32"/>
          <w:lang w:eastAsia="pt-BR"/>
          <w14:ligatures w14:val="none"/>
        </w:rPr>
        <w:t>2. METODOLOGIA</w:t>
      </w:r>
    </w:p>
    <w:p w14:paraId="0602AA11" w14:textId="77777777" w:rsidR="00FA2E43" w:rsidRPr="00FA2E43" w:rsidRDefault="00FA2E43" w:rsidP="00FA2E43">
      <w:pPr>
        <w:spacing w:before="100" w:beforeAutospacing="1" w:after="100" w:afterAutospacing="1"/>
        <w:rPr>
          <w:rFonts w:ascii="Times New Roman" w:eastAsia="Times New Roman" w:hAnsi="Times New Roman" w:cs="Times New Roman"/>
          <w:color w:val="000000"/>
          <w:kern w:val="0"/>
          <w:lang w:eastAsia="pt-BR"/>
          <w14:ligatures w14:val="none"/>
        </w:rPr>
      </w:pPr>
      <w:r w:rsidRPr="00FA2E43">
        <w:rPr>
          <w:rFonts w:ascii="Times New Roman" w:eastAsia="Times New Roman" w:hAnsi="Times New Roman" w:cs="Times New Roman"/>
          <w:color w:val="000000"/>
          <w:kern w:val="0"/>
          <w:lang w:eastAsia="pt-BR"/>
          <w14:ligatures w14:val="none"/>
        </w:rPr>
        <w:t>A presente resenha crítica adota como metodologia a revisão bibliográfica de documentos oficiais da Organização Mundial do Comércio (OMC), publicações da Conferência das Nações Unidas sobre Comércio e Desenvolvimento (UNCTAD), relatórios do Banco Mundial e estudos comparativos sobre acordos internacionais como o GATS e o CPTPP. A partir dessas fontes, realiza-se uma análise crítica das características, benefícios e riscos associados a cada método de liberalização.</w:t>
      </w:r>
    </w:p>
    <w:p w14:paraId="2F42F284" w14:textId="2ECF0FFC" w:rsidR="00FA2E43" w:rsidRPr="00FA2E43" w:rsidRDefault="00FA2E43" w:rsidP="00FA2E43">
      <w:pPr>
        <w:rPr>
          <w:rFonts w:ascii="Times New Roman" w:eastAsia="Times New Roman" w:hAnsi="Times New Roman" w:cs="Times New Roman"/>
          <w:kern w:val="0"/>
          <w:lang w:eastAsia="pt-BR"/>
          <w14:ligatures w14:val="none"/>
        </w:rPr>
      </w:pPr>
    </w:p>
    <w:p w14:paraId="365E8F77" w14:textId="025AE695" w:rsidR="00FA2E43" w:rsidRPr="00FA2E43" w:rsidRDefault="00FA2E43" w:rsidP="00FA2E43">
      <w:pPr>
        <w:spacing w:before="100" w:beforeAutospacing="1" w:after="100" w:afterAutospacing="1"/>
        <w:outlineLvl w:val="1"/>
        <w:rPr>
          <w:rFonts w:ascii="Times New Roman" w:eastAsia="Times New Roman" w:hAnsi="Times New Roman" w:cs="Times New Roman"/>
          <w:b/>
          <w:bCs/>
          <w:color w:val="000000"/>
          <w:kern w:val="0"/>
          <w:sz w:val="32"/>
          <w:szCs w:val="32"/>
          <w:lang w:eastAsia="pt-BR"/>
          <w14:ligatures w14:val="none"/>
        </w:rPr>
      </w:pPr>
      <w:r w:rsidRPr="00FA2E43">
        <w:rPr>
          <w:rFonts w:ascii="Times New Roman" w:eastAsia="Times New Roman" w:hAnsi="Times New Roman" w:cs="Times New Roman"/>
          <w:b/>
          <w:bCs/>
          <w:color w:val="000000"/>
          <w:kern w:val="0"/>
          <w:sz w:val="32"/>
          <w:szCs w:val="32"/>
          <w:lang w:eastAsia="pt-BR"/>
          <w14:ligatures w14:val="none"/>
        </w:rPr>
        <w:t xml:space="preserve">3. A LISTA POSITIVA </w:t>
      </w:r>
    </w:p>
    <w:p w14:paraId="64B29614" w14:textId="77777777" w:rsidR="00FA2E43" w:rsidRPr="00FA2E43" w:rsidRDefault="00FA2E43" w:rsidP="00FA2E43">
      <w:pPr>
        <w:spacing w:before="100" w:beforeAutospacing="1" w:after="100" w:afterAutospacing="1"/>
        <w:outlineLvl w:val="2"/>
        <w:rPr>
          <w:rFonts w:ascii="Times New Roman" w:eastAsia="Times New Roman" w:hAnsi="Times New Roman" w:cs="Times New Roman"/>
          <w:b/>
          <w:bCs/>
          <w:color w:val="000000"/>
          <w:kern w:val="0"/>
          <w:sz w:val="27"/>
          <w:szCs w:val="27"/>
          <w:lang w:eastAsia="pt-BR"/>
          <w14:ligatures w14:val="none"/>
        </w:rPr>
      </w:pPr>
      <w:r w:rsidRPr="00FA2E43">
        <w:rPr>
          <w:rFonts w:ascii="Times New Roman" w:eastAsia="Times New Roman" w:hAnsi="Times New Roman" w:cs="Times New Roman"/>
          <w:b/>
          <w:bCs/>
          <w:color w:val="000000"/>
          <w:kern w:val="0"/>
          <w:sz w:val="27"/>
          <w:szCs w:val="27"/>
          <w:lang w:eastAsia="pt-BR"/>
          <w14:ligatures w14:val="none"/>
        </w:rPr>
        <w:t>3.1 Características</w:t>
      </w:r>
    </w:p>
    <w:p w14:paraId="323472E7" w14:textId="77777777" w:rsidR="00FA2E43" w:rsidRPr="00FA2E43" w:rsidRDefault="00FA2E43" w:rsidP="00FA2E43">
      <w:pPr>
        <w:spacing w:before="100" w:beforeAutospacing="1" w:after="100" w:afterAutospacing="1"/>
        <w:rPr>
          <w:rFonts w:ascii="Times New Roman" w:eastAsia="Times New Roman" w:hAnsi="Times New Roman" w:cs="Times New Roman"/>
          <w:color w:val="000000"/>
          <w:kern w:val="0"/>
          <w:lang w:eastAsia="pt-BR"/>
          <w14:ligatures w14:val="none"/>
        </w:rPr>
      </w:pPr>
      <w:r w:rsidRPr="00FA2E43">
        <w:rPr>
          <w:rFonts w:ascii="Times New Roman" w:eastAsia="Times New Roman" w:hAnsi="Times New Roman" w:cs="Times New Roman"/>
          <w:color w:val="000000"/>
          <w:kern w:val="0"/>
          <w:lang w:eastAsia="pt-BR"/>
          <w14:ligatures w14:val="none"/>
        </w:rPr>
        <w:t>A lista positiva é o método originalmente adotado pelo Acordo Geral sobre Comércio de Serviços (GATS) da OMC. Nele, apenas os setores explicitamente indicados são objeto de compromissos de liberalização. Os demais permanecem sob controle nacional, sendo considerados automaticamente excluídos do escopo do acordo.</w:t>
      </w:r>
    </w:p>
    <w:p w14:paraId="2128E881" w14:textId="77777777" w:rsidR="00FA2E43" w:rsidRPr="00FA2E43" w:rsidRDefault="00FA2E43" w:rsidP="00FA2E43">
      <w:pPr>
        <w:spacing w:before="100" w:beforeAutospacing="1" w:after="100" w:afterAutospacing="1"/>
        <w:outlineLvl w:val="2"/>
        <w:rPr>
          <w:rFonts w:ascii="Times New Roman" w:eastAsia="Times New Roman" w:hAnsi="Times New Roman" w:cs="Times New Roman"/>
          <w:b/>
          <w:bCs/>
          <w:color w:val="000000"/>
          <w:kern w:val="0"/>
          <w:sz w:val="27"/>
          <w:szCs w:val="27"/>
          <w:lang w:eastAsia="pt-BR"/>
          <w14:ligatures w14:val="none"/>
        </w:rPr>
      </w:pPr>
      <w:r w:rsidRPr="00FA2E43">
        <w:rPr>
          <w:rFonts w:ascii="Times New Roman" w:eastAsia="Times New Roman" w:hAnsi="Times New Roman" w:cs="Times New Roman"/>
          <w:b/>
          <w:bCs/>
          <w:color w:val="000000"/>
          <w:kern w:val="0"/>
          <w:sz w:val="27"/>
          <w:szCs w:val="27"/>
          <w:lang w:eastAsia="pt-BR"/>
          <w14:ligatures w14:val="none"/>
        </w:rPr>
        <w:t>3.2 Vantagens</w:t>
      </w:r>
    </w:p>
    <w:p w14:paraId="396C5583" w14:textId="77777777" w:rsidR="00FA2E43" w:rsidRPr="00FA2E43" w:rsidRDefault="00FA2E43" w:rsidP="00FA2E43">
      <w:pPr>
        <w:spacing w:before="100" w:beforeAutospacing="1" w:after="100" w:afterAutospacing="1"/>
        <w:rPr>
          <w:rFonts w:ascii="Times New Roman" w:eastAsia="Times New Roman" w:hAnsi="Times New Roman" w:cs="Times New Roman"/>
          <w:color w:val="000000"/>
          <w:kern w:val="0"/>
          <w:lang w:eastAsia="pt-BR"/>
          <w14:ligatures w14:val="none"/>
        </w:rPr>
      </w:pPr>
      <w:r w:rsidRPr="00FA2E43">
        <w:rPr>
          <w:rFonts w:ascii="Times New Roman" w:eastAsia="Times New Roman" w:hAnsi="Times New Roman" w:cs="Times New Roman"/>
          <w:color w:val="000000"/>
          <w:kern w:val="0"/>
          <w:lang w:eastAsia="pt-BR"/>
          <w14:ligatures w14:val="none"/>
        </w:rPr>
        <w:t>Entre as vantagens do método de lista positiva, destacam-se:</w:t>
      </w:r>
    </w:p>
    <w:p w14:paraId="0C19425B" w14:textId="77777777" w:rsidR="00FA2E43" w:rsidRPr="00FA2E43" w:rsidRDefault="00FA2E43" w:rsidP="00FA2E43">
      <w:pPr>
        <w:numPr>
          <w:ilvl w:val="0"/>
          <w:numId w:val="1"/>
        </w:numPr>
        <w:spacing w:before="100" w:beforeAutospacing="1" w:after="100" w:afterAutospacing="1"/>
        <w:rPr>
          <w:rFonts w:ascii="Times New Roman" w:eastAsia="Times New Roman" w:hAnsi="Times New Roman" w:cs="Times New Roman"/>
          <w:color w:val="000000"/>
          <w:kern w:val="0"/>
          <w:lang w:eastAsia="pt-BR"/>
          <w14:ligatures w14:val="none"/>
        </w:rPr>
      </w:pPr>
      <w:r w:rsidRPr="00FA2E43">
        <w:rPr>
          <w:rFonts w:ascii="Times New Roman" w:eastAsia="Times New Roman" w:hAnsi="Times New Roman" w:cs="Times New Roman"/>
          <w:b/>
          <w:bCs/>
          <w:color w:val="000000"/>
          <w:kern w:val="0"/>
          <w:lang w:eastAsia="pt-BR"/>
          <w14:ligatures w14:val="none"/>
        </w:rPr>
        <w:t>Soberania regulatória:</w:t>
      </w:r>
      <w:r w:rsidRPr="00FA2E43">
        <w:rPr>
          <w:rFonts w:ascii="Times New Roman" w:eastAsia="Times New Roman" w:hAnsi="Times New Roman" w:cs="Times New Roman"/>
          <w:color w:val="000000"/>
          <w:kern w:val="0"/>
          <w:lang w:eastAsia="pt-BR"/>
          <w14:ligatures w14:val="none"/>
        </w:rPr>
        <w:t> Os governos mantêm controle absoluto sobre os setores não listados, garantindo a continuidade de políticas públicas em áreas sensíveis como saúde, educação, saneamento e segurança pública.</w:t>
      </w:r>
    </w:p>
    <w:p w14:paraId="401366A3" w14:textId="77777777" w:rsidR="00FA2E43" w:rsidRPr="00FA2E43" w:rsidRDefault="00FA2E43" w:rsidP="00FA2E43">
      <w:pPr>
        <w:numPr>
          <w:ilvl w:val="0"/>
          <w:numId w:val="1"/>
        </w:numPr>
        <w:spacing w:before="100" w:beforeAutospacing="1" w:after="100" w:afterAutospacing="1"/>
        <w:rPr>
          <w:rFonts w:ascii="Times New Roman" w:eastAsia="Times New Roman" w:hAnsi="Times New Roman" w:cs="Times New Roman"/>
          <w:color w:val="000000"/>
          <w:kern w:val="0"/>
          <w:lang w:eastAsia="pt-BR"/>
          <w14:ligatures w14:val="none"/>
        </w:rPr>
      </w:pPr>
      <w:r w:rsidRPr="00FA2E43">
        <w:rPr>
          <w:rFonts w:ascii="Times New Roman" w:eastAsia="Times New Roman" w:hAnsi="Times New Roman" w:cs="Times New Roman"/>
          <w:b/>
          <w:bCs/>
          <w:color w:val="000000"/>
          <w:kern w:val="0"/>
          <w:lang w:eastAsia="pt-BR"/>
          <w14:ligatures w14:val="none"/>
        </w:rPr>
        <w:t>Previsibilidade:</w:t>
      </w:r>
      <w:r w:rsidRPr="00FA2E43">
        <w:rPr>
          <w:rFonts w:ascii="Times New Roman" w:eastAsia="Times New Roman" w:hAnsi="Times New Roman" w:cs="Times New Roman"/>
          <w:color w:val="000000"/>
          <w:kern w:val="0"/>
          <w:lang w:eastAsia="pt-BR"/>
          <w14:ligatures w14:val="none"/>
        </w:rPr>
        <w:t> As partes têm clareza sobre quais serviços serão liberalizados, facilitando o planejamento estratégico das autoridades reguladoras e das empresas nacionais.</w:t>
      </w:r>
    </w:p>
    <w:p w14:paraId="4355634A" w14:textId="77777777" w:rsidR="00FA2E43" w:rsidRPr="00FA2E43" w:rsidRDefault="00FA2E43" w:rsidP="00FA2E43">
      <w:pPr>
        <w:numPr>
          <w:ilvl w:val="0"/>
          <w:numId w:val="1"/>
        </w:numPr>
        <w:spacing w:before="100" w:beforeAutospacing="1" w:after="100" w:afterAutospacing="1"/>
        <w:rPr>
          <w:rFonts w:ascii="Times New Roman" w:eastAsia="Times New Roman" w:hAnsi="Times New Roman" w:cs="Times New Roman"/>
          <w:color w:val="000000"/>
          <w:kern w:val="0"/>
          <w:lang w:eastAsia="pt-BR"/>
          <w14:ligatures w14:val="none"/>
        </w:rPr>
      </w:pPr>
      <w:r w:rsidRPr="00FA2E43">
        <w:rPr>
          <w:rFonts w:ascii="Times New Roman" w:eastAsia="Times New Roman" w:hAnsi="Times New Roman" w:cs="Times New Roman"/>
          <w:b/>
          <w:bCs/>
          <w:color w:val="000000"/>
          <w:kern w:val="0"/>
          <w:lang w:eastAsia="pt-BR"/>
          <w14:ligatures w14:val="none"/>
        </w:rPr>
        <w:t>Flexibilidade para países em desenvolvimento:</w:t>
      </w:r>
      <w:r w:rsidRPr="00FA2E43">
        <w:rPr>
          <w:rFonts w:ascii="Times New Roman" w:eastAsia="Times New Roman" w:hAnsi="Times New Roman" w:cs="Times New Roman"/>
          <w:color w:val="000000"/>
          <w:kern w:val="0"/>
          <w:lang w:eastAsia="pt-BR"/>
          <w14:ligatures w14:val="none"/>
        </w:rPr>
        <w:t> Permite uma abertura gradual e seletiva, respeitando o estágio de desenvolvimento econômico e a capacidade regulatória local.</w:t>
      </w:r>
    </w:p>
    <w:p w14:paraId="3DCEF330" w14:textId="77777777" w:rsidR="00FA2E43" w:rsidRPr="00FA2E43" w:rsidRDefault="00FA2E43" w:rsidP="00FA2E43">
      <w:pPr>
        <w:spacing w:before="100" w:beforeAutospacing="1" w:after="100" w:afterAutospacing="1"/>
        <w:outlineLvl w:val="2"/>
        <w:rPr>
          <w:rFonts w:ascii="Times New Roman" w:eastAsia="Times New Roman" w:hAnsi="Times New Roman" w:cs="Times New Roman"/>
          <w:b/>
          <w:bCs/>
          <w:color w:val="000000"/>
          <w:kern w:val="0"/>
          <w:sz w:val="27"/>
          <w:szCs w:val="27"/>
          <w:lang w:eastAsia="pt-BR"/>
          <w14:ligatures w14:val="none"/>
        </w:rPr>
      </w:pPr>
      <w:r w:rsidRPr="00FA2E43">
        <w:rPr>
          <w:rFonts w:ascii="Times New Roman" w:eastAsia="Times New Roman" w:hAnsi="Times New Roman" w:cs="Times New Roman"/>
          <w:b/>
          <w:bCs/>
          <w:color w:val="000000"/>
          <w:kern w:val="0"/>
          <w:sz w:val="27"/>
          <w:szCs w:val="27"/>
          <w:lang w:eastAsia="pt-BR"/>
          <w14:ligatures w14:val="none"/>
        </w:rPr>
        <w:t>3.3 Desvantagens</w:t>
      </w:r>
    </w:p>
    <w:p w14:paraId="47544218" w14:textId="77777777" w:rsidR="00FA2E43" w:rsidRPr="00FA2E43" w:rsidRDefault="00FA2E43" w:rsidP="00FA2E43">
      <w:pPr>
        <w:spacing w:before="100" w:beforeAutospacing="1" w:after="100" w:afterAutospacing="1"/>
        <w:rPr>
          <w:rFonts w:ascii="Times New Roman" w:eastAsia="Times New Roman" w:hAnsi="Times New Roman" w:cs="Times New Roman"/>
          <w:color w:val="000000"/>
          <w:kern w:val="0"/>
          <w:lang w:eastAsia="pt-BR"/>
          <w14:ligatures w14:val="none"/>
        </w:rPr>
      </w:pPr>
      <w:r w:rsidRPr="00FA2E43">
        <w:rPr>
          <w:rFonts w:ascii="Times New Roman" w:eastAsia="Times New Roman" w:hAnsi="Times New Roman" w:cs="Times New Roman"/>
          <w:color w:val="000000"/>
          <w:kern w:val="0"/>
          <w:lang w:eastAsia="pt-BR"/>
          <w14:ligatures w14:val="none"/>
        </w:rPr>
        <w:t>Contudo, a lista positiva também apresenta limitações:</w:t>
      </w:r>
    </w:p>
    <w:p w14:paraId="06785B67" w14:textId="77777777" w:rsidR="00FA2E43" w:rsidRPr="00FA2E43" w:rsidRDefault="00FA2E43" w:rsidP="00FA2E43">
      <w:pPr>
        <w:numPr>
          <w:ilvl w:val="0"/>
          <w:numId w:val="2"/>
        </w:numPr>
        <w:spacing w:before="100" w:beforeAutospacing="1" w:after="100" w:afterAutospacing="1"/>
        <w:rPr>
          <w:rFonts w:ascii="Times New Roman" w:eastAsia="Times New Roman" w:hAnsi="Times New Roman" w:cs="Times New Roman"/>
          <w:color w:val="000000"/>
          <w:kern w:val="0"/>
          <w:lang w:eastAsia="pt-BR"/>
          <w14:ligatures w14:val="none"/>
        </w:rPr>
      </w:pPr>
      <w:r w:rsidRPr="00FA2E43">
        <w:rPr>
          <w:rFonts w:ascii="Times New Roman" w:eastAsia="Times New Roman" w:hAnsi="Times New Roman" w:cs="Times New Roman"/>
          <w:b/>
          <w:bCs/>
          <w:color w:val="000000"/>
          <w:kern w:val="0"/>
          <w:lang w:eastAsia="pt-BR"/>
          <w14:ligatures w14:val="none"/>
        </w:rPr>
        <w:t>Abrangência restrita:</w:t>
      </w:r>
      <w:r w:rsidRPr="00FA2E43">
        <w:rPr>
          <w:rFonts w:ascii="Times New Roman" w:eastAsia="Times New Roman" w:hAnsi="Times New Roman" w:cs="Times New Roman"/>
          <w:color w:val="000000"/>
          <w:kern w:val="0"/>
          <w:lang w:eastAsia="pt-BR"/>
          <w14:ligatures w14:val="none"/>
        </w:rPr>
        <w:t> A não inclusão de determinados setores, muitas vezes por inércia ou falta de consenso interno, pode limitar o alcance econômico dos acordos.</w:t>
      </w:r>
    </w:p>
    <w:p w14:paraId="5257393C" w14:textId="77777777" w:rsidR="00FA2E43" w:rsidRPr="00FA2E43" w:rsidRDefault="00FA2E43" w:rsidP="00FA2E43">
      <w:pPr>
        <w:numPr>
          <w:ilvl w:val="0"/>
          <w:numId w:val="2"/>
        </w:numPr>
        <w:spacing w:before="100" w:beforeAutospacing="1" w:after="100" w:afterAutospacing="1"/>
        <w:rPr>
          <w:rFonts w:ascii="Times New Roman" w:eastAsia="Times New Roman" w:hAnsi="Times New Roman" w:cs="Times New Roman"/>
          <w:color w:val="000000"/>
          <w:kern w:val="0"/>
          <w:lang w:eastAsia="pt-BR"/>
          <w14:ligatures w14:val="none"/>
        </w:rPr>
      </w:pPr>
      <w:r w:rsidRPr="00FA2E43">
        <w:rPr>
          <w:rFonts w:ascii="Times New Roman" w:eastAsia="Times New Roman" w:hAnsi="Times New Roman" w:cs="Times New Roman"/>
          <w:b/>
          <w:bCs/>
          <w:color w:val="000000"/>
          <w:kern w:val="0"/>
          <w:lang w:eastAsia="pt-BR"/>
          <w14:ligatures w14:val="none"/>
        </w:rPr>
        <w:lastRenderedPageBreak/>
        <w:t>Obsolescência normativa:</w:t>
      </w:r>
      <w:r w:rsidRPr="00FA2E43">
        <w:rPr>
          <w:rFonts w:ascii="Times New Roman" w:eastAsia="Times New Roman" w:hAnsi="Times New Roman" w:cs="Times New Roman"/>
          <w:color w:val="000000"/>
          <w:kern w:val="0"/>
          <w:lang w:eastAsia="pt-BR"/>
          <w14:ligatures w14:val="none"/>
        </w:rPr>
        <w:t> Diante da constante evolução dos serviços digitais, setores novos podem não ser contemplados no momento da assinatura do acordo, exigindo renegociações demoradas e politicamente custosas.</w:t>
      </w:r>
    </w:p>
    <w:p w14:paraId="773BA330" w14:textId="77777777" w:rsidR="00FA2E43" w:rsidRPr="00FA2E43" w:rsidRDefault="00FA2E43" w:rsidP="00FA2E43">
      <w:pPr>
        <w:numPr>
          <w:ilvl w:val="0"/>
          <w:numId w:val="2"/>
        </w:numPr>
        <w:spacing w:before="100" w:beforeAutospacing="1" w:after="100" w:afterAutospacing="1"/>
        <w:rPr>
          <w:rFonts w:ascii="Times New Roman" w:eastAsia="Times New Roman" w:hAnsi="Times New Roman" w:cs="Times New Roman"/>
          <w:color w:val="000000"/>
          <w:kern w:val="0"/>
          <w:lang w:eastAsia="pt-BR"/>
          <w14:ligatures w14:val="none"/>
        </w:rPr>
      </w:pPr>
      <w:r w:rsidRPr="00FA2E43">
        <w:rPr>
          <w:rFonts w:ascii="Times New Roman" w:eastAsia="Times New Roman" w:hAnsi="Times New Roman" w:cs="Times New Roman"/>
          <w:b/>
          <w:bCs/>
          <w:color w:val="000000"/>
          <w:kern w:val="0"/>
          <w:lang w:eastAsia="pt-BR"/>
          <w14:ligatures w14:val="none"/>
        </w:rPr>
        <w:t>Assimetria nas relações comerciais:</w:t>
      </w:r>
      <w:r w:rsidRPr="00FA2E43">
        <w:rPr>
          <w:rFonts w:ascii="Times New Roman" w:eastAsia="Times New Roman" w:hAnsi="Times New Roman" w:cs="Times New Roman"/>
          <w:color w:val="000000"/>
          <w:kern w:val="0"/>
          <w:lang w:eastAsia="pt-BR"/>
          <w14:ligatures w14:val="none"/>
        </w:rPr>
        <w:t> Países que oferecem listas mais restritas podem enfrentar retaliações ou menor acesso a mercados em acordos bilaterais.</w:t>
      </w:r>
    </w:p>
    <w:p w14:paraId="45F053F6" w14:textId="73DEA201" w:rsidR="00FA2E43" w:rsidRPr="00FA2E43" w:rsidRDefault="00FA2E43" w:rsidP="00FA2E43">
      <w:pPr>
        <w:rPr>
          <w:rFonts w:ascii="Times New Roman" w:eastAsia="Times New Roman" w:hAnsi="Times New Roman" w:cs="Times New Roman"/>
          <w:kern w:val="0"/>
          <w:lang w:eastAsia="pt-BR"/>
          <w14:ligatures w14:val="none"/>
        </w:rPr>
      </w:pPr>
    </w:p>
    <w:p w14:paraId="2FD1D105" w14:textId="144FD179" w:rsidR="00FA2E43" w:rsidRPr="00FA2E43" w:rsidRDefault="00FA2E43" w:rsidP="00FA2E43">
      <w:pPr>
        <w:spacing w:before="100" w:beforeAutospacing="1" w:after="100" w:afterAutospacing="1"/>
        <w:outlineLvl w:val="1"/>
        <w:rPr>
          <w:rFonts w:ascii="Times New Roman" w:eastAsia="Times New Roman" w:hAnsi="Times New Roman" w:cs="Times New Roman"/>
          <w:b/>
          <w:bCs/>
          <w:color w:val="000000"/>
          <w:kern w:val="0"/>
          <w:sz w:val="32"/>
          <w:szCs w:val="32"/>
          <w:lang w:eastAsia="pt-BR"/>
          <w14:ligatures w14:val="none"/>
        </w:rPr>
      </w:pPr>
      <w:r w:rsidRPr="00FA2E43">
        <w:rPr>
          <w:rFonts w:ascii="Times New Roman" w:eastAsia="Times New Roman" w:hAnsi="Times New Roman" w:cs="Times New Roman"/>
          <w:b/>
          <w:bCs/>
          <w:color w:val="000000"/>
          <w:kern w:val="0"/>
          <w:sz w:val="32"/>
          <w:szCs w:val="32"/>
          <w:lang w:eastAsia="pt-BR"/>
          <w14:ligatures w14:val="none"/>
        </w:rPr>
        <w:t>4. A LISTA NEGATIVA</w:t>
      </w:r>
    </w:p>
    <w:p w14:paraId="1F4C7FB0" w14:textId="77777777" w:rsidR="00FA2E43" w:rsidRPr="00FA2E43" w:rsidRDefault="00FA2E43" w:rsidP="00FA2E43">
      <w:pPr>
        <w:spacing w:before="100" w:beforeAutospacing="1" w:after="100" w:afterAutospacing="1"/>
        <w:outlineLvl w:val="2"/>
        <w:rPr>
          <w:rFonts w:ascii="Times New Roman" w:eastAsia="Times New Roman" w:hAnsi="Times New Roman" w:cs="Times New Roman"/>
          <w:b/>
          <w:bCs/>
          <w:color w:val="000000"/>
          <w:kern w:val="0"/>
          <w:sz w:val="27"/>
          <w:szCs w:val="27"/>
          <w:lang w:eastAsia="pt-BR"/>
          <w14:ligatures w14:val="none"/>
        </w:rPr>
      </w:pPr>
      <w:r w:rsidRPr="00FA2E43">
        <w:rPr>
          <w:rFonts w:ascii="Times New Roman" w:eastAsia="Times New Roman" w:hAnsi="Times New Roman" w:cs="Times New Roman"/>
          <w:b/>
          <w:bCs/>
          <w:color w:val="000000"/>
          <w:kern w:val="0"/>
          <w:sz w:val="27"/>
          <w:szCs w:val="27"/>
          <w:lang w:eastAsia="pt-BR"/>
          <w14:ligatures w14:val="none"/>
        </w:rPr>
        <w:t>4.1 Características</w:t>
      </w:r>
    </w:p>
    <w:p w14:paraId="54CB58BB" w14:textId="77777777" w:rsidR="00FA2E43" w:rsidRPr="00FA2E43" w:rsidRDefault="00FA2E43" w:rsidP="00FA2E43">
      <w:pPr>
        <w:spacing w:before="100" w:beforeAutospacing="1" w:after="100" w:afterAutospacing="1"/>
        <w:rPr>
          <w:rFonts w:ascii="Times New Roman" w:eastAsia="Times New Roman" w:hAnsi="Times New Roman" w:cs="Times New Roman"/>
          <w:color w:val="000000"/>
          <w:kern w:val="0"/>
          <w:lang w:eastAsia="pt-BR"/>
          <w14:ligatures w14:val="none"/>
        </w:rPr>
      </w:pPr>
      <w:r w:rsidRPr="00FA2E43">
        <w:rPr>
          <w:rFonts w:ascii="Times New Roman" w:eastAsia="Times New Roman" w:hAnsi="Times New Roman" w:cs="Times New Roman"/>
          <w:color w:val="000000"/>
          <w:kern w:val="0"/>
          <w:lang w:eastAsia="pt-BR"/>
          <w14:ligatures w14:val="none"/>
        </w:rPr>
        <w:t xml:space="preserve">O modelo de lista negativa inverte a lógica da lista positiva. Nele, todos os serviços são considerados liberalizados à partida, com exceção daqueles que forem listados como reservas. Essa abordagem tem sido adotada em tratados mais recentes, como o Acordo Abrangente e Progressivo para a Parceria </w:t>
      </w:r>
      <w:proofErr w:type="spellStart"/>
      <w:r w:rsidRPr="00FA2E43">
        <w:rPr>
          <w:rFonts w:ascii="Times New Roman" w:eastAsia="Times New Roman" w:hAnsi="Times New Roman" w:cs="Times New Roman"/>
          <w:color w:val="000000"/>
          <w:kern w:val="0"/>
          <w:lang w:eastAsia="pt-BR"/>
          <w14:ligatures w14:val="none"/>
        </w:rPr>
        <w:t>Transpacífica</w:t>
      </w:r>
      <w:proofErr w:type="spellEnd"/>
      <w:r w:rsidRPr="00FA2E43">
        <w:rPr>
          <w:rFonts w:ascii="Times New Roman" w:eastAsia="Times New Roman" w:hAnsi="Times New Roman" w:cs="Times New Roman"/>
          <w:color w:val="000000"/>
          <w:kern w:val="0"/>
          <w:lang w:eastAsia="pt-BR"/>
          <w14:ligatures w14:val="none"/>
        </w:rPr>
        <w:t xml:space="preserve"> (CPTPP) e acordos da União Europeia com países latino-americanos.</w:t>
      </w:r>
    </w:p>
    <w:p w14:paraId="1817D6F3" w14:textId="77777777" w:rsidR="00FA2E43" w:rsidRPr="00FA2E43" w:rsidRDefault="00FA2E43" w:rsidP="00FA2E43">
      <w:pPr>
        <w:spacing w:before="100" w:beforeAutospacing="1" w:after="100" w:afterAutospacing="1"/>
        <w:outlineLvl w:val="2"/>
        <w:rPr>
          <w:rFonts w:ascii="Times New Roman" w:eastAsia="Times New Roman" w:hAnsi="Times New Roman" w:cs="Times New Roman"/>
          <w:b/>
          <w:bCs/>
          <w:color w:val="000000"/>
          <w:kern w:val="0"/>
          <w:sz w:val="27"/>
          <w:szCs w:val="27"/>
          <w:lang w:eastAsia="pt-BR"/>
          <w14:ligatures w14:val="none"/>
        </w:rPr>
      </w:pPr>
      <w:r w:rsidRPr="00FA2E43">
        <w:rPr>
          <w:rFonts w:ascii="Times New Roman" w:eastAsia="Times New Roman" w:hAnsi="Times New Roman" w:cs="Times New Roman"/>
          <w:b/>
          <w:bCs/>
          <w:color w:val="000000"/>
          <w:kern w:val="0"/>
          <w:sz w:val="27"/>
          <w:szCs w:val="27"/>
          <w:lang w:eastAsia="pt-BR"/>
          <w14:ligatures w14:val="none"/>
        </w:rPr>
        <w:t>4.2 Vantagens</w:t>
      </w:r>
    </w:p>
    <w:p w14:paraId="659DFA06" w14:textId="77777777" w:rsidR="00FA2E43" w:rsidRPr="00FA2E43" w:rsidRDefault="00FA2E43" w:rsidP="00FA2E43">
      <w:pPr>
        <w:spacing w:before="100" w:beforeAutospacing="1" w:after="100" w:afterAutospacing="1"/>
        <w:rPr>
          <w:rFonts w:ascii="Times New Roman" w:eastAsia="Times New Roman" w:hAnsi="Times New Roman" w:cs="Times New Roman"/>
          <w:color w:val="000000"/>
          <w:kern w:val="0"/>
          <w:lang w:eastAsia="pt-BR"/>
          <w14:ligatures w14:val="none"/>
        </w:rPr>
      </w:pPr>
      <w:r w:rsidRPr="00FA2E43">
        <w:rPr>
          <w:rFonts w:ascii="Times New Roman" w:eastAsia="Times New Roman" w:hAnsi="Times New Roman" w:cs="Times New Roman"/>
          <w:color w:val="000000"/>
          <w:kern w:val="0"/>
          <w:lang w:eastAsia="pt-BR"/>
          <w14:ligatures w14:val="none"/>
        </w:rPr>
        <w:t>O modelo de lista negativa oferece os seguintes benefícios:</w:t>
      </w:r>
    </w:p>
    <w:p w14:paraId="788D9889" w14:textId="77777777" w:rsidR="00FA2E43" w:rsidRPr="00FA2E43" w:rsidRDefault="00FA2E43" w:rsidP="00FA2E43">
      <w:pPr>
        <w:numPr>
          <w:ilvl w:val="0"/>
          <w:numId w:val="3"/>
        </w:numPr>
        <w:spacing w:before="100" w:beforeAutospacing="1" w:after="100" w:afterAutospacing="1"/>
        <w:rPr>
          <w:rFonts w:ascii="Times New Roman" w:eastAsia="Times New Roman" w:hAnsi="Times New Roman" w:cs="Times New Roman"/>
          <w:color w:val="000000"/>
          <w:kern w:val="0"/>
          <w:lang w:eastAsia="pt-BR"/>
          <w14:ligatures w14:val="none"/>
        </w:rPr>
      </w:pPr>
      <w:r w:rsidRPr="00FA2E43">
        <w:rPr>
          <w:rFonts w:ascii="Times New Roman" w:eastAsia="Times New Roman" w:hAnsi="Times New Roman" w:cs="Times New Roman"/>
          <w:b/>
          <w:bCs/>
          <w:color w:val="000000"/>
          <w:kern w:val="0"/>
          <w:lang w:eastAsia="pt-BR"/>
          <w14:ligatures w14:val="none"/>
        </w:rPr>
        <w:t>Abrangência econômica ampla:</w:t>
      </w:r>
      <w:r w:rsidRPr="00FA2E43">
        <w:rPr>
          <w:rFonts w:ascii="Times New Roman" w:eastAsia="Times New Roman" w:hAnsi="Times New Roman" w:cs="Times New Roman"/>
          <w:color w:val="000000"/>
          <w:kern w:val="0"/>
          <w:lang w:eastAsia="pt-BR"/>
          <w14:ligatures w14:val="none"/>
        </w:rPr>
        <w:t> A liberalização de todos os setores não excluídos estimula fluxos de investimento e integração produtiva internacional.</w:t>
      </w:r>
    </w:p>
    <w:p w14:paraId="6B21B03C" w14:textId="77777777" w:rsidR="00FA2E43" w:rsidRPr="00FA2E43" w:rsidRDefault="00FA2E43" w:rsidP="00FA2E43">
      <w:pPr>
        <w:numPr>
          <w:ilvl w:val="0"/>
          <w:numId w:val="3"/>
        </w:numPr>
        <w:spacing w:before="100" w:beforeAutospacing="1" w:after="100" w:afterAutospacing="1"/>
        <w:rPr>
          <w:rFonts w:ascii="Times New Roman" w:eastAsia="Times New Roman" w:hAnsi="Times New Roman" w:cs="Times New Roman"/>
          <w:color w:val="000000"/>
          <w:kern w:val="0"/>
          <w:lang w:eastAsia="pt-BR"/>
          <w14:ligatures w14:val="none"/>
        </w:rPr>
      </w:pPr>
      <w:r w:rsidRPr="00FA2E43">
        <w:rPr>
          <w:rFonts w:ascii="Times New Roman" w:eastAsia="Times New Roman" w:hAnsi="Times New Roman" w:cs="Times New Roman"/>
          <w:b/>
          <w:bCs/>
          <w:color w:val="000000"/>
          <w:kern w:val="0"/>
          <w:lang w:eastAsia="pt-BR"/>
          <w14:ligatures w14:val="none"/>
        </w:rPr>
        <w:t>Adaptabilidade tecnológica:</w:t>
      </w:r>
      <w:r w:rsidRPr="00FA2E43">
        <w:rPr>
          <w:rFonts w:ascii="Times New Roman" w:eastAsia="Times New Roman" w:hAnsi="Times New Roman" w:cs="Times New Roman"/>
          <w:color w:val="000000"/>
          <w:kern w:val="0"/>
          <w:lang w:eastAsia="pt-BR"/>
          <w14:ligatures w14:val="none"/>
        </w:rPr>
        <w:t> Novos serviços ou modalidades de prestação (como os serviços digitais baseados em nuvem) são automaticamente abrangidos, evitando a necessidade de renegociação.</w:t>
      </w:r>
    </w:p>
    <w:p w14:paraId="0672E05E" w14:textId="77777777" w:rsidR="00FA2E43" w:rsidRPr="00FA2E43" w:rsidRDefault="00FA2E43" w:rsidP="00FA2E43">
      <w:pPr>
        <w:numPr>
          <w:ilvl w:val="0"/>
          <w:numId w:val="3"/>
        </w:numPr>
        <w:spacing w:before="100" w:beforeAutospacing="1" w:after="100" w:afterAutospacing="1"/>
        <w:rPr>
          <w:rFonts w:ascii="Times New Roman" w:eastAsia="Times New Roman" w:hAnsi="Times New Roman" w:cs="Times New Roman"/>
          <w:color w:val="000000"/>
          <w:kern w:val="0"/>
          <w:lang w:eastAsia="pt-BR"/>
          <w14:ligatures w14:val="none"/>
        </w:rPr>
      </w:pPr>
      <w:r w:rsidRPr="00FA2E43">
        <w:rPr>
          <w:rFonts w:ascii="Times New Roman" w:eastAsia="Times New Roman" w:hAnsi="Times New Roman" w:cs="Times New Roman"/>
          <w:b/>
          <w:bCs/>
          <w:color w:val="000000"/>
          <w:kern w:val="0"/>
          <w:lang w:eastAsia="pt-BR"/>
          <w14:ligatures w14:val="none"/>
        </w:rPr>
        <w:t>Redução de incertezas para investidores:</w:t>
      </w:r>
      <w:r w:rsidRPr="00FA2E43">
        <w:rPr>
          <w:rFonts w:ascii="Times New Roman" w:eastAsia="Times New Roman" w:hAnsi="Times New Roman" w:cs="Times New Roman"/>
          <w:color w:val="000000"/>
          <w:kern w:val="0"/>
          <w:lang w:eastAsia="pt-BR"/>
          <w14:ligatures w14:val="none"/>
        </w:rPr>
        <w:t> A previsibilidade jurídica e a segurança contratual são ampliadas, o que pode atrair maior volume de capital estrangeiro.</w:t>
      </w:r>
    </w:p>
    <w:p w14:paraId="00161F4A" w14:textId="77777777" w:rsidR="00FA2E43" w:rsidRPr="00FA2E43" w:rsidRDefault="00FA2E43" w:rsidP="00FA2E43">
      <w:pPr>
        <w:spacing w:before="100" w:beforeAutospacing="1" w:after="100" w:afterAutospacing="1"/>
        <w:outlineLvl w:val="2"/>
        <w:rPr>
          <w:rFonts w:ascii="Times New Roman" w:eastAsia="Times New Roman" w:hAnsi="Times New Roman" w:cs="Times New Roman"/>
          <w:b/>
          <w:bCs/>
          <w:color w:val="000000"/>
          <w:kern w:val="0"/>
          <w:sz w:val="27"/>
          <w:szCs w:val="27"/>
          <w:lang w:eastAsia="pt-BR"/>
          <w14:ligatures w14:val="none"/>
        </w:rPr>
      </w:pPr>
      <w:r w:rsidRPr="00FA2E43">
        <w:rPr>
          <w:rFonts w:ascii="Times New Roman" w:eastAsia="Times New Roman" w:hAnsi="Times New Roman" w:cs="Times New Roman"/>
          <w:b/>
          <w:bCs/>
          <w:color w:val="000000"/>
          <w:kern w:val="0"/>
          <w:sz w:val="27"/>
          <w:szCs w:val="27"/>
          <w:lang w:eastAsia="pt-BR"/>
          <w14:ligatures w14:val="none"/>
        </w:rPr>
        <w:t>4.3 Desvantagens</w:t>
      </w:r>
    </w:p>
    <w:p w14:paraId="6BBB02A4" w14:textId="77777777" w:rsidR="00FA2E43" w:rsidRPr="00FA2E43" w:rsidRDefault="00FA2E43" w:rsidP="00FA2E43">
      <w:pPr>
        <w:spacing w:before="100" w:beforeAutospacing="1" w:after="100" w:afterAutospacing="1"/>
        <w:rPr>
          <w:rFonts w:ascii="Times New Roman" w:eastAsia="Times New Roman" w:hAnsi="Times New Roman" w:cs="Times New Roman"/>
          <w:color w:val="000000"/>
          <w:kern w:val="0"/>
          <w:lang w:eastAsia="pt-BR"/>
          <w14:ligatures w14:val="none"/>
        </w:rPr>
      </w:pPr>
      <w:r w:rsidRPr="00FA2E43">
        <w:rPr>
          <w:rFonts w:ascii="Times New Roman" w:eastAsia="Times New Roman" w:hAnsi="Times New Roman" w:cs="Times New Roman"/>
          <w:color w:val="000000"/>
          <w:kern w:val="0"/>
          <w:lang w:eastAsia="pt-BR"/>
          <w14:ligatures w14:val="none"/>
        </w:rPr>
        <w:t>Todavia, o modelo traz riscos consideráveis, especialmente para países em desenvolvimento:</w:t>
      </w:r>
    </w:p>
    <w:p w14:paraId="00614698" w14:textId="77777777" w:rsidR="00FA2E43" w:rsidRPr="00FA2E43" w:rsidRDefault="00FA2E43" w:rsidP="00FA2E43">
      <w:pPr>
        <w:numPr>
          <w:ilvl w:val="0"/>
          <w:numId w:val="4"/>
        </w:numPr>
        <w:spacing w:before="100" w:beforeAutospacing="1" w:after="100" w:afterAutospacing="1"/>
        <w:rPr>
          <w:rFonts w:ascii="Times New Roman" w:eastAsia="Times New Roman" w:hAnsi="Times New Roman" w:cs="Times New Roman"/>
          <w:color w:val="000000"/>
          <w:kern w:val="0"/>
          <w:lang w:eastAsia="pt-BR"/>
          <w14:ligatures w14:val="none"/>
        </w:rPr>
      </w:pPr>
      <w:r w:rsidRPr="00FA2E43">
        <w:rPr>
          <w:rFonts w:ascii="Times New Roman" w:eastAsia="Times New Roman" w:hAnsi="Times New Roman" w:cs="Times New Roman"/>
          <w:b/>
          <w:bCs/>
          <w:color w:val="000000"/>
          <w:kern w:val="0"/>
          <w:lang w:eastAsia="pt-BR"/>
          <w14:ligatures w14:val="none"/>
        </w:rPr>
        <w:t>Vulnerabilidade regulatória:</w:t>
      </w:r>
      <w:r w:rsidRPr="00FA2E43">
        <w:rPr>
          <w:rFonts w:ascii="Times New Roman" w:eastAsia="Times New Roman" w:hAnsi="Times New Roman" w:cs="Times New Roman"/>
          <w:color w:val="000000"/>
          <w:kern w:val="0"/>
          <w:lang w:eastAsia="pt-BR"/>
          <w14:ligatures w14:val="none"/>
        </w:rPr>
        <w:t> A exigência de listar todas as reservas de antemão requer alta capacidade técnica e jurídica do Estado, o que pode ser inviável em administrações com limitações institucionais.</w:t>
      </w:r>
    </w:p>
    <w:p w14:paraId="2EDDDD75" w14:textId="77777777" w:rsidR="00FA2E43" w:rsidRPr="00FA2E43" w:rsidRDefault="00FA2E43" w:rsidP="00FA2E43">
      <w:pPr>
        <w:numPr>
          <w:ilvl w:val="0"/>
          <w:numId w:val="4"/>
        </w:numPr>
        <w:spacing w:before="100" w:beforeAutospacing="1" w:after="100" w:afterAutospacing="1"/>
        <w:rPr>
          <w:rFonts w:ascii="Times New Roman" w:eastAsia="Times New Roman" w:hAnsi="Times New Roman" w:cs="Times New Roman"/>
          <w:color w:val="000000"/>
          <w:kern w:val="0"/>
          <w:lang w:eastAsia="pt-BR"/>
          <w14:ligatures w14:val="none"/>
        </w:rPr>
      </w:pPr>
      <w:r w:rsidRPr="00FA2E43">
        <w:rPr>
          <w:rFonts w:ascii="Times New Roman" w:eastAsia="Times New Roman" w:hAnsi="Times New Roman" w:cs="Times New Roman"/>
          <w:b/>
          <w:bCs/>
          <w:color w:val="000000"/>
          <w:kern w:val="0"/>
          <w:lang w:eastAsia="pt-BR"/>
          <w14:ligatures w14:val="none"/>
        </w:rPr>
        <w:t>Risco de judicialização:</w:t>
      </w:r>
      <w:r w:rsidRPr="00FA2E43">
        <w:rPr>
          <w:rFonts w:ascii="Times New Roman" w:eastAsia="Times New Roman" w:hAnsi="Times New Roman" w:cs="Times New Roman"/>
          <w:color w:val="000000"/>
          <w:kern w:val="0"/>
          <w:lang w:eastAsia="pt-BR"/>
          <w14:ligatures w14:val="none"/>
        </w:rPr>
        <w:t> Medidas regulatórias não previstas nas reservas podem ser contestadas judicialmente por investidores estrangeiros, em especial em sistemas que adotam mecanismos de solução de controvérsias Estado-investidor.</w:t>
      </w:r>
    </w:p>
    <w:p w14:paraId="108599BD" w14:textId="77777777" w:rsidR="00FA2E43" w:rsidRPr="00FA2E43" w:rsidRDefault="00FA2E43" w:rsidP="00FA2E43">
      <w:pPr>
        <w:numPr>
          <w:ilvl w:val="0"/>
          <w:numId w:val="4"/>
        </w:numPr>
        <w:spacing w:before="100" w:beforeAutospacing="1" w:after="100" w:afterAutospacing="1"/>
        <w:rPr>
          <w:rFonts w:ascii="Times New Roman" w:eastAsia="Times New Roman" w:hAnsi="Times New Roman" w:cs="Times New Roman"/>
          <w:color w:val="000000"/>
          <w:kern w:val="0"/>
          <w:lang w:eastAsia="pt-BR"/>
          <w14:ligatures w14:val="none"/>
        </w:rPr>
      </w:pPr>
      <w:r w:rsidRPr="00FA2E43">
        <w:rPr>
          <w:rFonts w:ascii="Times New Roman" w:eastAsia="Times New Roman" w:hAnsi="Times New Roman" w:cs="Times New Roman"/>
          <w:b/>
          <w:bCs/>
          <w:color w:val="000000"/>
          <w:kern w:val="0"/>
          <w:lang w:eastAsia="pt-BR"/>
          <w14:ligatures w14:val="none"/>
        </w:rPr>
        <w:t>Impacto em políticas públicas:</w:t>
      </w:r>
      <w:r w:rsidRPr="00FA2E43">
        <w:rPr>
          <w:rFonts w:ascii="Times New Roman" w:eastAsia="Times New Roman" w:hAnsi="Times New Roman" w:cs="Times New Roman"/>
          <w:color w:val="000000"/>
          <w:kern w:val="0"/>
          <w:lang w:eastAsia="pt-BR"/>
          <w14:ligatures w14:val="none"/>
        </w:rPr>
        <w:t> O modelo pode comprometer a autonomia dos países na implementação de políticas sociais e industriais, dado o receio de descumprimento de compromissos pactuados.</w:t>
      </w:r>
    </w:p>
    <w:p w14:paraId="7067AD6A" w14:textId="4C870BDB" w:rsidR="00FA2E43" w:rsidRPr="00FA2E43" w:rsidRDefault="00FA2E43" w:rsidP="00FA2E43">
      <w:pPr>
        <w:rPr>
          <w:rFonts w:ascii="Times New Roman" w:eastAsia="Times New Roman" w:hAnsi="Times New Roman" w:cs="Times New Roman"/>
          <w:kern w:val="0"/>
          <w:lang w:eastAsia="pt-BR"/>
          <w14:ligatures w14:val="none"/>
        </w:rPr>
      </w:pPr>
    </w:p>
    <w:p w14:paraId="5474BFD5" w14:textId="77777777" w:rsidR="00FA2E43" w:rsidRPr="00FA2E43" w:rsidRDefault="00FA2E43" w:rsidP="00FA2E43">
      <w:pPr>
        <w:spacing w:before="100" w:beforeAutospacing="1" w:after="100" w:afterAutospacing="1"/>
        <w:outlineLvl w:val="1"/>
        <w:rPr>
          <w:rFonts w:ascii="Times New Roman" w:eastAsia="Times New Roman" w:hAnsi="Times New Roman" w:cs="Times New Roman"/>
          <w:b/>
          <w:bCs/>
          <w:color w:val="000000"/>
          <w:kern w:val="0"/>
          <w:sz w:val="32"/>
          <w:szCs w:val="32"/>
          <w:lang w:eastAsia="pt-BR"/>
          <w14:ligatures w14:val="none"/>
        </w:rPr>
      </w:pPr>
      <w:r w:rsidRPr="00FA2E43">
        <w:rPr>
          <w:rFonts w:ascii="Times New Roman" w:eastAsia="Times New Roman" w:hAnsi="Times New Roman" w:cs="Times New Roman"/>
          <w:b/>
          <w:bCs/>
          <w:color w:val="000000"/>
          <w:kern w:val="0"/>
          <w:sz w:val="32"/>
          <w:szCs w:val="32"/>
          <w:lang w:eastAsia="pt-BR"/>
          <w14:ligatures w14:val="none"/>
        </w:rPr>
        <w:t>5. QUAL MODELO É MAIS ADEQUADO AO BRASIL?</w:t>
      </w:r>
    </w:p>
    <w:p w14:paraId="1DF01FAE" w14:textId="77777777" w:rsidR="00FA2E43" w:rsidRPr="00FA2E43" w:rsidRDefault="00FA2E43" w:rsidP="00FA2E43">
      <w:pPr>
        <w:spacing w:before="100" w:beforeAutospacing="1" w:after="100" w:afterAutospacing="1"/>
        <w:outlineLvl w:val="2"/>
        <w:rPr>
          <w:rFonts w:ascii="Times New Roman" w:eastAsia="Times New Roman" w:hAnsi="Times New Roman" w:cs="Times New Roman"/>
          <w:b/>
          <w:bCs/>
          <w:color w:val="000000"/>
          <w:kern w:val="0"/>
          <w:sz w:val="27"/>
          <w:szCs w:val="27"/>
          <w:lang w:eastAsia="pt-BR"/>
          <w14:ligatures w14:val="none"/>
        </w:rPr>
      </w:pPr>
      <w:r w:rsidRPr="00FA2E43">
        <w:rPr>
          <w:rFonts w:ascii="Times New Roman" w:eastAsia="Times New Roman" w:hAnsi="Times New Roman" w:cs="Times New Roman"/>
          <w:b/>
          <w:bCs/>
          <w:color w:val="000000"/>
          <w:kern w:val="0"/>
          <w:sz w:val="27"/>
          <w:szCs w:val="27"/>
          <w:lang w:eastAsia="pt-BR"/>
          <w14:ligatures w14:val="none"/>
        </w:rPr>
        <w:lastRenderedPageBreak/>
        <w:t>5.1 Características da Economia Brasileira</w:t>
      </w:r>
    </w:p>
    <w:p w14:paraId="1FFC0CC3" w14:textId="77777777" w:rsidR="00FA2E43" w:rsidRPr="00FA2E43" w:rsidRDefault="00FA2E43" w:rsidP="00FA2E43">
      <w:pPr>
        <w:spacing w:before="100" w:beforeAutospacing="1" w:after="100" w:afterAutospacing="1"/>
        <w:rPr>
          <w:rFonts w:ascii="Times New Roman" w:eastAsia="Times New Roman" w:hAnsi="Times New Roman" w:cs="Times New Roman"/>
          <w:color w:val="000000"/>
          <w:kern w:val="0"/>
          <w:lang w:eastAsia="pt-BR"/>
          <w14:ligatures w14:val="none"/>
        </w:rPr>
      </w:pPr>
      <w:r w:rsidRPr="00FA2E43">
        <w:rPr>
          <w:rFonts w:ascii="Times New Roman" w:eastAsia="Times New Roman" w:hAnsi="Times New Roman" w:cs="Times New Roman"/>
          <w:color w:val="000000"/>
          <w:kern w:val="0"/>
          <w:lang w:eastAsia="pt-BR"/>
          <w14:ligatures w14:val="none"/>
        </w:rPr>
        <w:t>O Brasil é uma economia diversificada, mas ainda marcada por desigualdades estruturais, fragilidades institucionais e forte dependência de setores estratégicos regulados pelo Estado. Serviços como saúde, educação, transporte público e serviços financeiros desempenham papel central tanto na política social quanto na estabilidade econômica.</w:t>
      </w:r>
    </w:p>
    <w:p w14:paraId="2382514F" w14:textId="77777777" w:rsidR="00FA2E43" w:rsidRPr="00FA2E43" w:rsidRDefault="00FA2E43" w:rsidP="00FA2E43">
      <w:pPr>
        <w:spacing w:before="100" w:beforeAutospacing="1" w:after="100" w:afterAutospacing="1"/>
        <w:outlineLvl w:val="2"/>
        <w:rPr>
          <w:rFonts w:ascii="Times New Roman" w:eastAsia="Times New Roman" w:hAnsi="Times New Roman" w:cs="Times New Roman"/>
          <w:b/>
          <w:bCs/>
          <w:color w:val="000000"/>
          <w:kern w:val="0"/>
          <w:sz w:val="27"/>
          <w:szCs w:val="27"/>
          <w:lang w:eastAsia="pt-BR"/>
          <w14:ligatures w14:val="none"/>
        </w:rPr>
      </w:pPr>
      <w:r w:rsidRPr="00FA2E43">
        <w:rPr>
          <w:rFonts w:ascii="Times New Roman" w:eastAsia="Times New Roman" w:hAnsi="Times New Roman" w:cs="Times New Roman"/>
          <w:b/>
          <w:bCs/>
          <w:color w:val="000000"/>
          <w:kern w:val="0"/>
          <w:sz w:val="27"/>
          <w:szCs w:val="27"/>
          <w:lang w:eastAsia="pt-BR"/>
          <w14:ligatures w14:val="none"/>
        </w:rPr>
        <w:t>5.2 Argumentos em Favor da Lista Positiva</w:t>
      </w:r>
    </w:p>
    <w:p w14:paraId="59760D94" w14:textId="77777777" w:rsidR="00FA2E43" w:rsidRPr="00FA2E43" w:rsidRDefault="00FA2E43" w:rsidP="00FA2E43">
      <w:pPr>
        <w:spacing w:before="100" w:beforeAutospacing="1" w:after="100" w:afterAutospacing="1"/>
        <w:rPr>
          <w:rFonts w:ascii="Times New Roman" w:eastAsia="Times New Roman" w:hAnsi="Times New Roman" w:cs="Times New Roman"/>
          <w:color w:val="000000"/>
          <w:kern w:val="0"/>
          <w:lang w:eastAsia="pt-BR"/>
          <w14:ligatures w14:val="none"/>
        </w:rPr>
      </w:pPr>
      <w:r w:rsidRPr="00FA2E43">
        <w:rPr>
          <w:rFonts w:ascii="Times New Roman" w:eastAsia="Times New Roman" w:hAnsi="Times New Roman" w:cs="Times New Roman"/>
          <w:color w:val="000000"/>
          <w:kern w:val="0"/>
          <w:lang w:eastAsia="pt-BR"/>
          <w14:ligatures w14:val="none"/>
        </w:rPr>
        <w:t>Diante desse contexto, a lista positiva apresenta-se como o modelo mais alinhado com os interesses do Brasil:</w:t>
      </w:r>
    </w:p>
    <w:p w14:paraId="20F3C45A" w14:textId="77777777" w:rsidR="00FA2E43" w:rsidRPr="00FA2E43" w:rsidRDefault="00FA2E43" w:rsidP="00FA2E43">
      <w:pPr>
        <w:numPr>
          <w:ilvl w:val="0"/>
          <w:numId w:val="5"/>
        </w:numPr>
        <w:spacing w:before="100" w:beforeAutospacing="1" w:after="100" w:afterAutospacing="1"/>
        <w:rPr>
          <w:rFonts w:ascii="Times New Roman" w:eastAsia="Times New Roman" w:hAnsi="Times New Roman" w:cs="Times New Roman"/>
          <w:color w:val="000000"/>
          <w:kern w:val="0"/>
          <w:lang w:eastAsia="pt-BR"/>
          <w14:ligatures w14:val="none"/>
        </w:rPr>
      </w:pPr>
      <w:r w:rsidRPr="00FA2E43">
        <w:rPr>
          <w:rFonts w:ascii="Times New Roman" w:eastAsia="Times New Roman" w:hAnsi="Times New Roman" w:cs="Times New Roman"/>
          <w:b/>
          <w:bCs/>
          <w:color w:val="000000"/>
          <w:kern w:val="0"/>
          <w:lang w:eastAsia="pt-BR"/>
          <w14:ligatures w14:val="none"/>
        </w:rPr>
        <w:t>Preservação da política pública:</w:t>
      </w:r>
      <w:r w:rsidRPr="00FA2E43">
        <w:rPr>
          <w:rFonts w:ascii="Times New Roman" w:eastAsia="Times New Roman" w:hAnsi="Times New Roman" w:cs="Times New Roman"/>
          <w:color w:val="000000"/>
          <w:kern w:val="0"/>
          <w:lang w:eastAsia="pt-BR"/>
          <w14:ligatures w14:val="none"/>
        </w:rPr>
        <w:t> A manutenção de programas como o Sistema Único de Saúde (SUS) e o Fundo de Financiamento Estudantil (FIES) poderia ser comprometida caso a liberalização fosse generalizada e vinculante.</w:t>
      </w:r>
    </w:p>
    <w:p w14:paraId="42C08584" w14:textId="77777777" w:rsidR="00FA2E43" w:rsidRPr="00FA2E43" w:rsidRDefault="00FA2E43" w:rsidP="00FA2E43">
      <w:pPr>
        <w:numPr>
          <w:ilvl w:val="0"/>
          <w:numId w:val="5"/>
        </w:numPr>
        <w:spacing w:before="100" w:beforeAutospacing="1" w:after="100" w:afterAutospacing="1"/>
        <w:rPr>
          <w:rFonts w:ascii="Times New Roman" w:eastAsia="Times New Roman" w:hAnsi="Times New Roman" w:cs="Times New Roman"/>
          <w:color w:val="000000"/>
          <w:kern w:val="0"/>
          <w:lang w:eastAsia="pt-BR"/>
          <w14:ligatures w14:val="none"/>
        </w:rPr>
      </w:pPr>
      <w:r w:rsidRPr="00FA2E43">
        <w:rPr>
          <w:rFonts w:ascii="Times New Roman" w:eastAsia="Times New Roman" w:hAnsi="Times New Roman" w:cs="Times New Roman"/>
          <w:b/>
          <w:bCs/>
          <w:color w:val="000000"/>
          <w:kern w:val="0"/>
          <w:lang w:eastAsia="pt-BR"/>
          <w14:ligatures w14:val="none"/>
        </w:rPr>
        <w:t>Capacidade técnica limitada:</w:t>
      </w:r>
      <w:r w:rsidRPr="00FA2E43">
        <w:rPr>
          <w:rFonts w:ascii="Times New Roman" w:eastAsia="Times New Roman" w:hAnsi="Times New Roman" w:cs="Times New Roman"/>
          <w:color w:val="000000"/>
          <w:kern w:val="0"/>
          <w:lang w:eastAsia="pt-BR"/>
          <w14:ligatures w14:val="none"/>
        </w:rPr>
        <w:t> A elaboração de reservas específicas em um modelo de lista negativa exigiria esforços coordenados de diversas agências reguladoras, o que, na prática, enfrenta desafios administrativos relevantes.</w:t>
      </w:r>
    </w:p>
    <w:p w14:paraId="6ECEE41B" w14:textId="77777777" w:rsidR="00FA2E43" w:rsidRPr="00FA2E43" w:rsidRDefault="00FA2E43" w:rsidP="00FA2E43">
      <w:pPr>
        <w:numPr>
          <w:ilvl w:val="0"/>
          <w:numId w:val="5"/>
        </w:numPr>
        <w:spacing w:before="100" w:beforeAutospacing="1" w:after="100" w:afterAutospacing="1"/>
        <w:rPr>
          <w:rFonts w:ascii="Times New Roman" w:eastAsia="Times New Roman" w:hAnsi="Times New Roman" w:cs="Times New Roman"/>
          <w:color w:val="000000"/>
          <w:kern w:val="0"/>
          <w:lang w:eastAsia="pt-BR"/>
          <w14:ligatures w14:val="none"/>
        </w:rPr>
      </w:pPr>
      <w:r w:rsidRPr="00FA2E43">
        <w:rPr>
          <w:rFonts w:ascii="Times New Roman" w:eastAsia="Times New Roman" w:hAnsi="Times New Roman" w:cs="Times New Roman"/>
          <w:b/>
          <w:bCs/>
          <w:color w:val="000000"/>
          <w:kern w:val="0"/>
          <w:lang w:eastAsia="pt-BR"/>
          <w14:ligatures w14:val="none"/>
        </w:rPr>
        <w:t>Experiências internacionais correlatas:</w:t>
      </w:r>
      <w:r w:rsidRPr="00FA2E43">
        <w:rPr>
          <w:rFonts w:ascii="Times New Roman" w:eastAsia="Times New Roman" w:hAnsi="Times New Roman" w:cs="Times New Roman"/>
          <w:color w:val="000000"/>
          <w:kern w:val="0"/>
          <w:lang w:eastAsia="pt-BR"/>
          <w14:ligatures w14:val="none"/>
        </w:rPr>
        <w:t> Países com perfil semelhante ao brasileiro, como Índia, Indonésia e África do Sul, continuam optando pela lista positiva, buscando preservar sua margem de manobra regulatória.</w:t>
      </w:r>
    </w:p>
    <w:p w14:paraId="1211C0C5" w14:textId="77777777" w:rsidR="00FA2E43" w:rsidRPr="00FA2E43" w:rsidRDefault="00FA2E43" w:rsidP="00FA2E43">
      <w:pPr>
        <w:spacing w:before="100" w:beforeAutospacing="1" w:after="100" w:afterAutospacing="1"/>
        <w:outlineLvl w:val="2"/>
        <w:rPr>
          <w:rFonts w:ascii="Times New Roman" w:eastAsia="Times New Roman" w:hAnsi="Times New Roman" w:cs="Times New Roman"/>
          <w:b/>
          <w:bCs/>
          <w:color w:val="000000"/>
          <w:kern w:val="0"/>
          <w:sz w:val="27"/>
          <w:szCs w:val="27"/>
          <w:lang w:eastAsia="pt-BR"/>
          <w14:ligatures w14:val="none"/>
        </w:rPr>
      </w:pPr>
      <w:r w:rsidRPr="00FA2E43">
        <w:rPr>
          <w:rFonts w:ascii="Times New Roman" w:eastAsia="Times New Roman" w:hAnsi="Times New Roman" w:cs="Times New Roman"/>
          <w:b/>
          <w:bCs/>
          <w:color w:val="000000"/>
          <w:kern w:val="0"/>
          <w:sz w:val="27"/>
          <w:szCs w:val="27"/>
          <w:lang w:eastAsia="pt-BR"/>
          <w14:ligatures w14:val="none"/>
        </w:rPr>
        <w:t>5.3 Consideração de uma Abordagem Híbrida</w:t>
      </w:r>
    </w:p>
    <w:p w14:paraId="4E1CFAB1" w14:textId="77777777" w:rsidR="00FA2E43" w:rsidRPr="00FA2E43" w:rsidRDefault="00FA2E43" w:rsidP="00FA2E43">
      <w:pPr>
        <w:spacing w:before="100" w:beforeAutospacing="1" w:after="100" w:afterAutospacing="1"/>
        <w:rPr>
          <w:rFonts w:ascii="Times New Roman" w:eastAsia="Times New Roman" w:hAnsi="Times New Roman" w:cs="Times New Roman"/>
          <w:color w:val="000000"/>
          <w:kern w:val="0"/>
          <w:lang w:eastAsia="pt-BR"/>
          <w14:ligatures w14:val="none"/>
        </w:rPr>
      </w:pPr>
      <w:r w:rsidRPr="00FA2E43">
        <w:rPr>
          <w:rFonts w:ascii="Times New Roman" w:eastAsia="Times New Roman" w:hAnsi="Times New Roman" w:cs="Times New Roman"/>
          <w:color w:val="000000"/>
          <w:kern w:val="0"/>
          <w:lang w:eastAsia="pt-BR"/>
          <w14:ligatures w14:val="none"/>
        </w:rPr>
        <w:t>Entretanto, é possível explorar um modelo intermediário que combine os dois métodos. Para setores estratégicos e sensíveis, como saúde e educação, o Brasil pode adotar a lista positiva. Já para setores de rápido crescimento e alta demanda por investimentos, como comércio eletrônico, logística e tecnologia da informação, a lista negativa pode oferecer vantagens competitivas.</w:t>
      </w:r>
    </w:p>
    <w:p w14:paraId="48CA29D3" w14:textId="77777777" w:rsidR="00FA2E43" w:rsidRPr="00FA2E43" w:rsidRDefault="00FA2E43" w:rsidP="00FA2E43">
      <w:pPr>
        <w:spacing w:before="100" w:beforeAutospacing="1" w:after="100" w:afterAutospacing="1"/>
        <w:rPr>
          <w:rFonts w:ascii="Times New Roman" w:eastAsia="Times New Roman" w:hAnsi="Times New Roman" w:cs="Times New Roman"/>
          <w:color w:val="000000"/>
          <w:kern w:val="0"/>
          <w:lang w:eastAsia="pt-BR"/>
          <w14:ligatures w14:val="none"/>
        </w:rPr>
      </w:pPr>
      <w:r w:rsidRPr="00FA2E43">
        <w:rPr>
          <w:rFonts w:ascii="Times New Roman" w:eastAsia="Times New Roman" w:hAnsi="Times New Roman" w:cs="Times New Roman"/>
          <w:color w:val="000000"/>
          <w:kern w:val="0"/>
          <w:lang w:eastAsia="pt-BR"/>
          <w14:ligatures w14:val="none"/>
        </w:rPr>
        <w:t>Essa abordagem exige clareza de prioridades nacionais e mecanismos de monitoramento contínuo, bem como cláusulas de revisão periódica nos acordos.</w:t>
      </w:r>
    </w:p>
    <w:p w14:paraId="0EB34F1C" w14:textId="53ACD5BB" w:rsidR="00FA2E43" w:rsidRPr="00FA2E43" w:rsidRDefault="00FA2E43" w:rsidP="00FA2E43">
      <w:pPr>
        <w:rPr>
          <w:rFonts w:ascii="Times New Roman" w:eastAsia="Times New Roman" w:hAnsi="Times New Roman" w:cs="Times New Roman"/>
          <w:kern w:val="0"/>
          <w:lang w:eastAsia="pt-BR"/>
          <w14:ligatures w14:val="none"/>
        </w:rPr>
      </w:pPr>
    </w:p>
    <w:p w14:paraId="0FEE9547" w14:textId="77777777" w:rsidR="00FA2E43" w:rsidRPr="00FA2E43" w:rsidRDefault="00FA2E43" w:rsidP="00FA2E43">
      <w:pPr>
        <w:spacing w:before="100" w:beforeAutospacing="1" w:after="100" w:afterAutospacing="1"/>
        <w:outlineLvl w:val="1"/>
        <w:rPr>
          <w:rFonts w:ascii="Times New Roman" w:eastAsia="Times New Roman" w:hAnsi="Times New Roman" w:cs="Times New Roman"/>
          <w:b/>
          <w:bCs/>
          <w:color w:val="000000"/>
          <w:kern w:val="0"/>
          <w:sz w:val="32"/>
          <w:szCs w:val="32"/>
          <w:lang w:eastAsia="pt-BR"/>
          <w14:ligatures w14:val="none"/>
        </w:rPr>
      </w:pPr>
      <w:r w:rsidRPr="00FA2E43">
        <w:rPr>
          <w:rFonts w:ascii="Times New Roman" w:eastAsia="Times New Roman" w:hAnsi="Times New Roman" w:cs="Times New Roman"/>
          <w:b/>
          <w:bCs/>
          <w:color w:val="000000"/>
          <w:kern w:val="0"/>
          <w:sz w:val="32"/>
          <w:szCs w:val="32"/>
          <w:lang w:eastAsia="pt-BR"/>
          <w14:ligatures w14:val="none"/>
        </w:rPr>
        <w:t>6. CONSIDERAÇÕES FINAIS</w:t>
      </w:r>
    </w:p>
    <w:p w14:paraId="4EE18FCC" w14:textId="77777777" w:rsidR="00FA2E43" w:rsidRPr="00FA2E43" w:rsidRDefault="00FA2E43" w:rsidP="00FA2E43">
      <w:pPr>
        <w:spacing w:before="100" w:beforeAutospacing="1" w:after="100" w:afterAutospacing="1"/>
        <w:rPr>
          <w:rFonts w:ascii="Times New Roman" w:eastAsia="Times New Roman" w:hAnsi="Times New Roman" w:cs="Times New Roman"/>
          <w:color w:val="000000"/>
          <w:kern w:val="0"/>
          <w:lang w:eastAsia="pt-BR"/>
          <w14:ligatures w14:val="none"/>
        </w:rPr>
      </w:pPr>
      <w:r w:rsidRPr="00FA2E43">
        <w:rPr>
          <w:rFonts w:ascii="Times New Roman" w:eastAsia="Times New Roman" w:hAnsi="Times New Roman" w:cs="Times New Roman"/>
          <w:color w:val="000000"/>
          <w:kern w:val="0"/>
          <w:lang w:eastAsia="pt-BR"/>
          <w14:ligatures w14:val="none"/>
        </w:rPr>
        <w:t>A adoção de um modelo de liberalização de serviços não deve ser apenas uma escolha técnica, mas uma decisão política com implicações profundas para o futuro do país. O modelo de lista positiva, embora mais restritivo em termos de liberalização, oferece maior proteção à soberania regulatória e às políticas públicas de inclusão.</w:t>
      </w:r>
    </w:p>
    <w:p w14:paraId="3E565821" w14:textId="77777777" w:rsidR="00FA2E43" w:rsidRPr="00FA2E43" w:rsidRDefault="00FA2E43" w:rsidP="00FA2E43">
      <w:pPr>
        <w:spacing w:before="100" w:beforeAutospacing="1" w:after="100" w:afterAutospacing="1"/>
        <w:rPr>
          <w:rFonts w:ascii="Times New Roman" w:eastAsia="Times New Roman" w:hAnsi="Times New Roman" w:cs="Times New Roman"/>
          <w:color w:val="000000"/>
          <w:kern w:val="0"/>
          <w:lang w:eastAsia="pt-BR"/>
          <w14:ligatures w14:val="none"/>
        </w:rPr>
      </w:pPr>
      <w:r w:rsidRPr="00FA2E43">
        <w:rPr>
          <w:rFonts w:ascii="Times New Roman" w:eastAsia="Times New Roman" w:hAnsi="Times New Roman" w:cs="Times New Roman"/>
          <w:color w:val="000000"/>
          <w:kern w:val="0"/>
          <w:lang w:eastAsia="pt-BR"/>
          <w14:ligatures w14:val="none"/>
        </w:rPr>
        <w:t>Em um cenário de desigualdade social e desafios fiscais como o brasileiro, é fundamental preservar instrumentos de ação estatal que permitam a correção de falhas de mercado e a proteção de direitos fundamentais.</w:t>
      </w:r>
    </w:p>
    <w:p w14:paraId="117FCDB9" w14:textId="77777777" w:rsidR="00FA2E43" w:rsidRPr="00FA2E43" w:rsidRDefault="00FA2E43" w:rsidP="00FA2E43">
      <w:pPr>
        <w:spacing w:before="100" w:beforeAutospacing="1" w:after="100" w:afterAutospacing="1"/>
        <w:rPr>
          <w:rFonts w:ascii="Times New Roman" w:eastAsia="Times New Roman" w:hAnsi="Times New Roman" w:cs="Times New Roman"/>
          <w:color w:val="000000"/>
          <w:kern w:val="0"/>
          <w:lang w:eastAsia="pt-BR"/>
          <w14:ligatures w14:val="none"/>
        </w:rPr>
      </w:pPr>
      <w:r w:rsidRPr="00FA2E43">
        <w:rPr>
          <w:rFonts w:ascii="Times New Roman" w:eastAsia="Times New Roman" w:hAnsi="Times New Roman" w:cs="Times New Roman"/>
          <w:color w:val="000000"/>
          <w:kern w:val="0"/>
          <w:lang w:eastAsia="pt-BR"/>
          <w14:ligatures w14:val="none"/>
        </w:rPr>
        <w:t xml:space="preserve">Ainda assim, a crescente pressão internacional por acordos mais ambiciosos demanda que o Brasil esteja preparado para negociar, de forma estratégica, eventuais </w:t>
      </w:r>
      <w:r w:rsidRPr="00FA2E43">
        <w:rPr>
          <w:rFonts w:ascii="Times New Roman" w:eastAsia="Times New Roman" w:hAnsi="Times New Roman" w:cs="Times New Roman"/>
          <w:color w:val="000000"/>
          <w:kern w:val="0"/>
          <w:lang w:eastAsia="pt-BR"/>
          <w14:ligatures w14:val="none"/>
        </w:rPr>
        <w:lastRenderedPageBreak/>
        <w:t>flexibilizações. Para isso, é essencial fortalecer as capacidades institucionais dos órgãos reguladores e construir um consenso nacional em torno dos setores prioritários para o desenvolvimento sustentável.</w:t>
      </w:r>
    </w:p>
    <w:p w14:paraId="6F03DC9D" w14:textId="0FD3327C" w:rsidR="00FA2E43" w:rsidRPr="00FA2E43" w:rsidRDefault="00FA2E43" w:rsidP="00FA2E43">
      <w:pPr>
        <w:rPr>
          <w:rFonts w:ascii="Times New Roman" w:eastAsia="Times New Roman" w:hAnsi="Times New Roman" w:cs="Times New Roman"/>
          <w:kern w:val="0"/>
          <w:lang w:eastAsia="pt-BR"/>
          <w14:ligatures w14:val="none"/>
        </w:rPr>
      </w:pPr>
    </w:p>
    <w:p w14:paraId="02336BE6" w14:textId="77777777" w:rsidR="00FA2E43" w:rsidRPr="00FA2E43" w:rsidRDefault="00FA2E43" w:rsidP="00FA2E43">
      <w:pPr>
        <w:spacing w:before="100" w:beforeAutospacing="1" w:after="100" w:afterAutospacing="1"/>
        <w:outlineLvl w:val="1"/>
        <w:rPr>
          <w:rFonts w:ascii="Times New Roman" w:eastAsia="Times New Roman" w:hAnsi="Times New Roman" w:cs="Times New Roman"/>
          <w:b/>
          <w:bCs/>
          <w:color w:val="000000"/>
          <w:kern w:val="0"/>
          <w:sz w:val="32"/>
          <w:szCs w:val="32"/>
          <w:lang w:val="en-US" w:eastAsia="pt-BR"/>
          <w14:ligatures w14:val="none"/>
        </w:rPr>
      </w:pPr>
      <w:r w:rsidRPr="00FA2E43">
        <w:rPr>
          <w:rFonts w:ascii="Times New Roman" w:eastAsia="Times New Roman" w:hAnsi="Times New Roman" w:cs="Times New Roman"/>
          <w:b/>
          <w:bCs/>
          <w:color w:val="000000"/>
          <w:kern w:val="0"/>
          <w:sz w:val="32"/>
          <w:szCs w:val="32"/>
          <w:lang w:val="en-US" w:eastAsia="pt-BR"/>
          <w14:ligatures w14:val="none"/>
        </w:rPr>
        <w:t>REFERÊNCIAS</w:t>
      </w:r>
    </w:p>
    <w:p w14:paraId="09BF0996" w14:textId="77777777" w:rsidR="00FA2E43" w:rsidRPr="00FA2E43" w:rsidRDefault="00FA2E43" w:rsidP="00FA2E43">
      <w:pPr>
        <w:spacing w:before="100" w:beforeAutospacing="1" w:after="100" w:afterAutospacing="1"/>
        <w:rPr>
          <w:rFonts w:ascii="Times New Roman" w:eastAsia="Times New Roman" w:hAnsi="Times New Roman" w:cs="Times New Roman"/>
          <w:color w:val="000000"/>
          <w:kern w:val="0"/>
          <w:lang w:eastAsia="pt-BR"/>
          <w14:ligatures w14:val="none"/>
        </w:rPr>
      </w:pPr>
      <w:r w:rsidRPr="00FA2E43">
        <w:rPr>
          <w:rFonts w:ascii="Times New Roman" w:eastAsia="Times New Roman" w:hAnsi="Times New Roman" w:cs="Times New Roman"/>
          <w:color w:val="000000"/>
          <w:kern w:val="0"/>
          <w:lang w:val="en-US" w:eastAsia="pt-BR"/>
          <w14:ligatures w14:val="none"/>
        </w:rPr>
        <w:t>BANCO MUNDIAL. </w:t>
      </w:r>
      <w:r w:rsidRPr="00FA2E43">
        <w:rPr>
          <w:rFonts w:ascii="Times New Roman" w:eastAsia="Times New Roman" w:hAnsi="Times New Roman" w:cs="Times New Roman"/>
          <w:i/>
          <w:iCs/>
          <w:color w:val="000000"/>
          <w:kern w:val="0"/>
          <w:lang w:val="en-US" w:eastAsia="pt-BR"/>
          <w14:ligatures w14:val="none"/>
        </w:rPr>
        <w:t>Services Trade Reform: Making it Happen</w:t>
      </w:r>
      <w:r w:rsidRPr="00FA2E43">
        <w:rPr>
          <w:rFonts w:ascii="Times New Roman" w:eastAsia="Times New Roman" w:hAnsi="Times New Roman" w:cs="Times New Roman"/>
          <w:color w:val="000000"/>
          <w:kern w:val="0"/>
          <w:lang w:val="en-US" w:eastAsia="pt-BR"/>
          <w14:ligatures w14:val="none"/>
        </w:rPr>
        <w:t xml:space="preserve">. </w:t>
      </w:r>
      <w:r w:rsidRPr="00FA2E43">
        <w:rPr>
          <w:rFonts w:ascii="Times New Roman" w:eastAsia="Times New Roman" w:hAnsi="Times New Roman" w:cs="Times New Roman"/>
          <w:color w:val="000000"/>
          <w:kern w:val="0"/>
          <w:lang w:eastAsia="pt-BR"/>
          <w14:ligatures w14:val="none"/>
        </w:rPr>
        <w:t>Washington, DC: World Bank, 2021.</w:t>
      </w:r>
    </w:p>
    <w:p w14:paraId="00DF675C" w14:textId="77777777" w:rsidR="00FA2E43" w:rsidRPr="00FA2E43" w:rsidRDefault="00FA2E43" w:rsidP="00FA2E43">
      <w:pPr>
        <w:spacing w:before="100" w:beforeAutospacing="1" w:after="100" w:afterAutospacing="1"/>
        <w:rPr>
          <w:rFonts w:ascii="Times New Roman" w:eastAsia="Times New Roman" w:hAnsi="Times New Roman" w:cs="Times New Roman"/>
          <w:color w:val="000000"/>
          <w:kern w:val="0"/>
          <w:lang w:eastAsia="pt-BR"/>
          <w14:ligatures w14:val="none"/>
        </w:rPr>
      </w:pPr>
      <w:r w:rsidRPr="00FA2E43">
        <w:rPr>
          <w:rFonts w:ascii="Times New Roman" w:eastAsia="Times New Roman" w:hAnsi="Times New Roman" w:cs="Times New Roman"/>
          <w:color w:val="000000"/>
          <w:kern w:val="0"/>
          <w:lang w:eastAsia="pt-BR"/>
          <w14:ligatures w14:val="none"/>
        </w:rPr>
        <w:t>OMC – Organização Mundial do Comércio. </w:t>
      </w:r>
      <w:r w:rsidRPr="00FA2E43">
        <w:rPr>
          <w:rFonts w:ascii="Times New Roman" w:eastAsia="Times New Roman" w:hAnsi="Times New Roman" w:cs="Times New Roman"/>
          <w:i/>
          <w:iCs/>
          <w:color w:val="000000"/>
          <w:kern w:val="0"/>
          <w:lang w:val="en-US" w:eastAsia="pt-BR"/>
          <w14:ligatures w14:val="none"/>
        </w:rPr>
        <w:t>General Agreement on Trade in Services (GATS)</w:t>
      </w:r>
      <w:r w:rsidRPr="00FA2E43">
        <w:rPr>
          <w:rFonts w:ascii="Times New Roman" w:eastAsia="Times New Roman" w:hAnsi="Times New Roman" w:cs="Times New Roman"/>
          <w:color w:val="000000"/>
          <w:kern w:val="0"/>
          <w:lang w:val="en-US" w:eastAsia="pt-BR"/>
          <w14:ligatures w14:val="none"/>
        </w:rPr>
        <w:t xml:space="preserve">. </w:t>
      </w:r>
      <w:r w:rsidRPr="00FA2E43">
        <w:rPr>
          <w:rFonts w:ascii="Times New Roman" w:eastAsia="Times New Roman" w:hAnsi="Times New Roman" w:cs="Times New Roman"/>
          <w:color w:val="000000"/>
          <w:kern w:val="0"/>
          <w:lang w:eastAsia="pt-BR"/>
          <w14:ligatures w14:val="none"/>
        </w:rPr>
        <w:t>Genebra: OMC, 2020.</w:t>
      </w:r>
    </w:p>
    <w:p w14:paraId="158CF0CF" w14:textId="77777777" w:rsidR="00FA2E43" w:rsidRPr="00FA2E43" w:rsidRDefault="00FA2E43" w:rsidP="00FA2E43">
      <w:pPr>
        <w:spacing w:before="100" w:beforeAutospacing="1" w:after="100" w:afterAutospacing="1"/>
        <w:rPr>
          <w:rFonts w:ascii="Times New Roman" w:eastAsia="Times New Roman" w:hAnsi="Times New Roman" w:cs="Times New Roman"/>
          <w:color w:val="000000"/>
          <w:kern w:val="0"/>
          <w:lang w:val="en-US" w:eastAsia="pt-BR"/>
          <w14:ligatures w14:val="none"/>
        </w:rPr>
      </w:pPr>
      <w:r w:rsidRPr="00FA2E43">
        <w:rPr>
          <w:rFonts w:ascii="Times New Roman" w:eastAsia="Times New Roman" w:hAnsi="Times New Roman" w:cs="Times New Roman"/>
          <w:color w:val="000000"/>
          <w:kern w:val="0"/>
          <w:lang w:eastAsia="pt-BR"/>
          <w14:ligatures w14:val="none"/>
        </w:rPr>
        <w:t>UNCTAD – Conferência das Nações Unidas sobre Comércio e Desenvolvimento. </w:t>
      </w:r>
      <w:r w:rsidRPr="00FA2E43">
        <w:rPr>
          <w:rFonts w:ascii="Times New Roman" w:eastAsia="Times New Roman" w:hAnsi="Times New Roman" w:cs="Times New Roman"/>
          <w:i/>
          <w:iCs/>
          <w:color w:val="000000"/>
          <w:kern w:val="0"/>
          <w:lang w:val="en-US" w:eastAsia="pt-BR"/>
          <w14:ligatures w14:val="none"/>
        </w:rPr>
        <w:t>Trade in Services and Development Implications</w:t>
      </w:r>
      <w:r w:rsidRPr="00FA2E43">
        <w:rPr>
          <w:rFonts w:ascii="Times New Roman" w:eastAsia="Times New Roman" w:hAnsi="Times New Roman" w:cs="Times New Roman"/>
          <w:color w:val="000000"/>
          <w:kern w:val="0"/>
          <w:lang w:val="en-US" w:eastAsia="pt-BR"/>
          <w14:ligatures w14:val="none"/>
        </w:rPr>
        <w:t xml:space="preserve">. Nova York: </w:t>
      </w:r>
      <w:proofErr w:type="spellStart"/>
      <w:r w:rsidRPr="00FA2E43">
        <w:rPr>
          <w:rFonts w:ascii="Times New Roman" w:eastAsia="Times New Roman" w:hAnsi="Times New Roman" w:cs="Times New Roman"/>
          <w:color w:val="000000"/>
          <w:kern w:val="0"/>
          <w:lang w:val="en-US" w:eastAsia="pt-BR"/>
          <w14:ligatures w14:val="none"/>
        </w:rPr>
        <w:t>Nações</w:t>
      </w:r>
      <w:proofErr w:type="spellEnd"/>
      <w:r w:rsidRPr="00FA2E43">
        <w:rPr>
          <w:rFonts w:ascii="Times New Roman" w:eastAsia="Times New Roman" w:hAnsi="Times New Roman" w:cs="Times New Roman"/>
          <w:color w:val="000000"/>
          <w:kern w:val="0"/>
          <w:lang w:val="en-US" w:eastAsia="pt-BR"/>
          <w14:ligatures w14:val="none"/>
        </w:rPr>
        <w:t xml:space="preserve"> Unidas, 2019.</w:t>
      </w:r>
    </w:p>
    <w:p w14:paraId="5AFEE8DA" w14:textId="77777777" w:rsidR="00FA2E43" w:rsidRPr="00FA2E43" w:rsidRDefault="00FA2E43" w:rsidP="00FA2E43">
      <w:pPr>
        <w:spacing w:before="100" w:beforeAutospacing="1" w:after="100" w:afterAutospacing="1"/>
        <w:rPr>
          <w:rFonts w:ascii="Times New Roman" w:eastAsia="Times New Roman" w:hAnsi="Times New Roman" w:cs="Times New Roman"/>
          <w:color w:val="000000"/>
          <w:kern w:val="0"/>
          <w:lang w:eastAsia="pt-BR"/>
          <w14:ligatures w14:val="none"/>
        </w:rPr>
      </w:pPr>
      <w:r w:rsidRPr="00FA2E43">
        <w:rPr>
          <w:rFonts w:ascii="Times New Roman" w:eastAsia="Times New Roman" w:hAnsi="Times New Roman" w:cs="Times New Roman"/>
          <w:color w:val="000000"/>
          <w:kern w:val="0"/>
          <w:lang w:val="en-US" w:eastAsia="pt-BR"/>
          <w14:ligatures w14:val="none"/>
        </w:rPr>
        <w:t>KESTENBAUM, R. </w:t>
      </w:r>
      <w:r w:rsidRPr="00FA2E43">
        <w:rPr>
          <w:rFonts w:ascii="Times New Roman" w:eastAsia="Times New Roman" w:hAnsi="Times New Roman" w:cs="Times New Roman"/>
          <w:i/>
          <w:iCs/>
          <w:color w:val="000000"/>
          <w:kern w:val="0"/>
          <w:lang w:val="en-US" w:eastAsia="pt-BR"/>
          <w14:ligatures w14:val="none"/>
        </w:rPr>
        <w:t>Positive vs Negative Listing Approaches in Trade in Services</w:t>
      </w:r>
      <w:r w:rsidRPr="00FA2E43">
        <w:rPr>
          <w:rFonts w:ascii="Times New Roman" w:eastAsia="Times New Roman" w:hAnsi="Times New Roman" w:cs="Times New Roman"/>
          <w:color w:val="000000"/>
          <w:kern w:val="0"/>
          <w:lang w:val="en-US" w:eastAsia="pt-BR"/>
          <w14:ligatures w14:val="none"/>
        </w:rPr>
        <w:t xml:space="preserve">. </w:t>
      </w:r>
      <w:r w:rsidRPr="00FA2E43">
        <w:rPr>
          <w:rFonts w:ascii="Times New Roman" w:eastAsia="Times New Roman" w:hAnsi="Times New Roman" w:cs="Times New Roman"/>
          <w:color w:val="000000"/>
          <w:kern w:val="0"/>
          <w:lang w:eastAsia="pt-BR"/>
          <w14:ligatures w14:val="none"/>
        </w:rPr>
        <w:t xml:space="preserve">Geneva: </w:t>
      </w:r>
      <w:proofErr w:type="spellStart"/>
      <w:r w:rsidRPr="00FA2E43">
        <w:rPr>
          <w:rFonts w:ascii="Times New Roman" w:eastAsia="Times New Roman" w:hAnsi="Times New Roman" w:cs="Times New Roman"/>
          <w:color w:val="000000"/>
          <w:kern w:val="0"/>
          <w:lang w:eastAsia="pt-BR"/>
          <w14:ligatures w14:val="none"/>
        </w:rPr>
        <w:t>International</w:t>
      </w:r>
      <w:proofErr w:type="spellEnd"/>
      <w:r w:rsidRPr="00FA2E43">
        <w:rPr>
          <w:rFonts w:ascii="Times New Roman" w:eastAsia="Times New Roman" w:hAnsi="Times New Roman" w:cs="Times New Roman"/>
          <w:color w:val="000000"/>
          <w:kern w:val="0"/>
          <w:lang w:eastAsia="pt-BR"/>
          <w14:ligatures w14:val="none"/>
        </w:rPr>
        <w:t xml:space="preserve"> Centre </w:t>
      </w:r>
      <w:proofErr w:type="gramStart"/>
      <w:r w:rsidRPr="00FA2E43">
        <w:rPr>
          <w:rFonts w:ascii="Times New Roman" w:eastAsia="Times New Roman" w:hAnsi="Times New Roman" w:cs="Times New Roman"/>
          <w:color w:val="000000"/>
          <w:kern w:val="0"/>
          <w:lang w:eastAsia="pt-BR"/>
          <w14:ligatures w14:val="none"/>
        </w:rPr>
        <w:t>for Trade</w:t>
      </w:r>
      <w:proofErr w:type="gramEnd"/>
      <w:r w:rsidRPr="00FA2E43">
        <w:rPr>
          <w:rFonts w:ascii="Times New Roman" w:eastAsia="Times New Roman" w:hAnsi="Times New Roman" w:cs="Times New Roman"/>
          <w:color w:val="000000"/>
          <w:kern w:val="0"/>
          <w:lang w:eastAsia="pt-BR"/>
          <w14:ligatures w14:val="none"/>
        </w:rPr>
        <w:t xml:space="preserve"> </w:t>
      </w:r>
      <w:proofErr w:type="spellStart"/>
      <w:r w:rsidRPr="00FA2E43">
        <w:rPr>
          <w:rFonts w:ascii="Times New Roman" w:eastAsia="Times New Roman" w:hAnsi="Times New Roman" w:cs="Times New Roman"/>
          <w:color w:val="000000"/>
          <w:kern w:val="0"/>
          <w:lang w:eastAsia="pt-BR"/>
          <w14:ligatures w14:val="none"/>
        </w:rPr>
        <w:t>and</w:t>
      </w:r>
      <w:proofErr w:type="spellEnd"/>
      <w:r w:rsidRPr="00FA2E43">
        <w:rPr>
          <w:rFonts w:ascii="Times New Roman" w:eastAsia="Times New Roman" w:hAnsi="Times New Roman" w:cs="Times New Roman"/>
          <w:color w:val="000000"/>
          <w:kern w:val="0"/>
          <w:lang w:eastAsia="pt-BR"/>
          <w14:ligatures w14:val="none"/>
        </w:rPr>
        <w:t xml:space="preserve"> </w:t>
      </w:r>
      <w:proofErr w:type="spellStart"/>
      <w:r w:rsidRPr="00FA2E43">
        <w:rPr>
          <w:rFonts w:ascii="Times New Roman" w:eastAsia="Times New Roman" w:hAnsi="Times New Roman" w:cs="Times New Roman"/>
          <w:color w:val="000000"/>
          <w:kern w:val="0"/>
          <w:lang w:eastAsia="pt-BR"/>
          <w14:ligatures w14:val="none"/>
        </w:rPr>
        <w:t>Sustainable</w:t>
      </w:r>
      <w:proofErr w:type="spellEnd"/>
      <w:r w:rsidRPr="00FA2E43">
        <w:rPr>
          <w:rFonts w:ascii="Times New Roman" w:eastAsia="Times New Roman" w:hAnsi="Times New Roman" w:cs="Times New Roman"/>
          <w:color w:val="000000"/>
          <w:kern w:val="0"/>
          <w:lang w:eastAsia="pt-BR"/>
          <w14:ligatures w14:val="none"/>
        </w:rPr>
        <w:t xml:space="preserve"> </w:t>
      </w:r>
      <w:proofErr w:type="spellStart"/>
      <w:r w:rsidRPr="00FA2E43">
        <w:rPr>
          <w:rFonts w:ascii="Times New Roman" w:eastAsia="Times New Roman" w:hAnsi="Times New Roman" w:cs="Times New Roman"/>
          <w:color w:val="000000"/>
          <w:kern w:val="0"/>
          <w:lang w:eastAsia="pt-BR"/>
          <w14:ligatures w14:val="none"/>
        </w:rPr>
        <w:t>Development</w:t>
      </w:r>
      <w:proofErr w:type="spellEnd"/>
      <w:r w:rsidRPr="00FA2E43">
        <w:rPr>
          <w:rFonts w:ascii="Times New Roman" w:eastAsia="Times New Roman" w:hAnsi="Times New Roman" w:cs="Times New Roman"/>
          <w:color w:val="000000"/>
          <w:kern w:val="0"/>
          <w:lang w:eastAsia="pt-BR"/>
          <w14:ligatures w14:val="none"/>
        </w:rPr>
        <w:t>, 2018.</w:t>
      </w:r>
    </w:p>
    <w:p w14:paraId="0F235DB1" w14:textId="6E35FEBE" w:rsidR="00FF3143" w:rsidRPr="00FA2E43" w:rsidRDefault="00FA2E43" w:rsidP="00FA2E43">
      <w:pPr>
        <w:spacing w:before="100" w:beforeAutospacing="1" w:after="100" w:afterAutospacing="1"/>
        <w:rPr>
          <w:rFonts w:ascii="Times New Roman" w:eastAsia="Times New Roman" w:hAnsi="Times New Roman" w:cs="Times New Roman"/>
          <w:color w:val="000000"/>
          <w:kern w:val="0"/>
          <w:lang w:eastAsia="pt-BR"/>
          <w14:ligatures w14:val="none"/>
        </w:rPr>
      </w:pPr>
      <w:r w:rsidRPr="00FA2E43">
        <w:rPr>
          <w:rFonts w:ascii="Times New Roman" w:eastAsia="Times New Roman" w:hAnsi="Times New Roman" w:cs="Times New Roman"/>
          <w:color w:val="000000"/>
          <w:kern w:val="0"/>
          <w:lang w:eastAsia="pt-BR"/>
          <w14:ligatures w14:val="none"/>
        </w:rPr>
        <w:t>GONÇALVES, R.; SANTOS, L. </w:t>
      </w:r>
      <w:r w:rsidRPr="00FA2E43">
        <w:rPr>
          <w:rFonts w:ascii="Times New Roman" w:eastAsia="Times New Roman" w:hAnsi="Times New Roman" w:cs="Times New Roman"/>
          <w:i/>
          <w:iCs/>
          <w:color w:val="000000"/>
          <w:kern w:val="0"/>
          <w:lang w:eastAsia="pt-BR"/>
          <w14:ligatures w14:val="none"/>
        </w:rPr>
        <w:t>Acordos Comerciais e Regulação de Serviços: Desafios para o Brasil</w:t>
      </w:r>
      <w:r w:rsidRPr="00FA2E43">
        <w:rPr>
          <w:rFonts w:ascii="Times New Roman" w:eastAsia="Times New Roman" w:hAnsi="Times New Roman" w:cs="Times New Roman"/>
          <w:color w:val="000000"/>
          <w:kern w:val="0"/>
          <w:lang w:eastAsia="pt-BR"/>
          <w14:ligatures w14:val="none"/>
        </w:rPr>
        <w:t>. Revista de Economia Contemporânea, v. 23, n. 3, 2019.</w:t>
      </w:r>
    </w:p>
    <w:sectPr w:rsidR="00FF3143" w:rsidRPr="00FA2E4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Lato">
    <w:panose1 w:val="020F0502020204030203"/>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22E80"/>
    <w:multiLevelType w:val="multilevel"/>
    <w:tmpl w:val="4C7A4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C733BA"/>
    <w:multiLevelType w:val="multilevel"/>
    <w:tmpl w:val="320C6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645F32"/>
    <w:multiLevelType w:val="multilevel"/>
    <w:tmpl w:val="B79A4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3E628B"/>
    <w:multiLevelType w:val="multilevel"/>
    <w:tmpl w:val="57D60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F24232"/>
    <w:multiLevelType w:val="multilevel"/>
    <w:tmpl w:val="67743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1215366">
    <w:abstractNumId w:val="3"/>
  </w:num>
  <w:num w:numId="2" w16cid:durableId="625504179">
    <w:abstractNumId w:val="1"/>
  </w:num>
  <w:num w:numId="3" w16cid:durableId="118887095">
    <w:abstractNumId w:val="4"/>
  </w:num>
  <w:num w:numId="4" w16cid:durableId="69886822">
    <w:abstractNumId w:val="2"/>
  </w:num>
  <w:num w:numId="5" w16cid:durableId="10135317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E43"/>
    <w:rsid w:val="003102A3"/>
    <w:rsid w:val="00567E82"/>
    <w:rsid w:val="007D3B19"/>
    <w:rsid w:val="00D856BC"/>
    <w:rsid w:val="00FA2E43"/>
    <w:rsid w:val="00FF314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F63C3"/>
  <w15:chartTrackingRefBased/>
  <w15:docId w15:val="{1DCB042C-BF06-2040-B7AD-2FC35584A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FA2E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FA2E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FA2E4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FA2E4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FA2E4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FA2E43"/>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FA2E43"/>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FA2E43"/>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FA2E43"/>
    <w:pPr>
      <w:keepNext/>
      <w:keepLines/>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FA2E43"/>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FA2E43"/>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FA2E43"/>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FA2E43"/>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FA2E43"/>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FA2E43"/>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FA2E43"/>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FA2E43"/>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FA2E43"/>
    <w:rPr>
      <w:rFonts w:eastAsiaTheme="majorEastAsia" w:cstheme="majorBidi"/>
      <w:color w:val="272727" w:themeColor="text1" w:themeTint="D8"/>
    </w:rPr>
  </w:style>
  <w:style w:type="paragraph" w:styleId="Ttulo">
    <w:name w:val="Title"/>
    <w:basedOn w:val="Normal"/>
    <w:next w:val="Normal"/>
    <w:link w:val="TtuloChar"/>
    <w:uiPriority w:val="10"/>
    <w:qFormat/>
    <w:rsid w:val="00FA2E43"/>
    <w:pPr>
      <w:spacing w:after="80"/>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FA2E4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FA2E43"/>
    <w:pPr>
      <w:numPr>
        <w:ilvl w:val="1"/>
      </w:numPr>
      <w:spacing w:after="160"/>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FA2E43"/>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FA2E43"/>
    <w:pPr>
      <w:spacing w:before="160" w:after="160"/>
      <w:jc w:val="center"/>
    </w:pPr>
    <w:rPr>
      <w:i/>
      <w:iCs/>
      <w:color w:val="404040" w:themeColor="text1" w:themeTint="BF"/>
    </w:rPr>
  </w:style>
  <w:style w:type="character" w:customStyle="1" w:styleId="CitaoChar">
    <w:name w:val="Citação Char"/>
    <w:basedOn w:val="Fontepargpadro"/>
    <w:link w:val="Citao"/>
    <w:uiPriority w:val="29"/>
    <w:rsid w:val="00FA2E43"/>
    <w:rPr>
      <w:i/>
      <w:iCs/>
      <w:color w:val="404040" w:themeColor="text1" w:themeTint="BF"/>
    </w:rPr>
  </w:style>
  <w:style w:type="paragraph" w:styleId="PargrafodaLista">
    <w:name w:val="List Paragraph"/>
    <w:basedOn w:val="Normal"/>
    <w:uiPriority w:val="34"/>
    <w:qFormat/>
    <w:rsid w:val="00FA2E43"/>
    <w:pPr>
      <w:ind w:left="720"/>
      <w:contextualSpacing/>
    </w:pPr>
  </w:style>
  <w:style w:type="character" w:styleId="nfaseIntensa">
    <w:name w:val="Intense Emphasis"/>
    <w:basedOn w:val="Fontepargpadro"/>
    <w:uiPriority w:val="21"/>
    <w:qFormat/>
    <w:rsid w:val="00FA2E43"/>
    <w:rPr>
      <w:i/>
      <w:iCs/>
      <w:color w:val="0F4761" w:themeColor="accent1" w:themeShade="BF"/>
    </w:rPr>
  </w:style>
  <w:style w:type="paragraph" w:styleId="CitaoIntensa">
    <w:name w:val="Intense Quote"/>
    <w:basedOn w:val="Normal"/>
    <w:next w:val="Normal"/>
    <w:link w:val="CitaoIntensaChar"/>
    <w:uiPriority w:val="30"/>
    <w:qFormat/>
    <w:rsid w:val="00FA2E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FA2E43"/>
    <w:rPr>
      <w:i/>
      <w:iCs/>
      <w:color w:val="0F4761" w:themeColor="accent1" w:themeShade="BF"/>
    </w:rPr>
  </w:style>
  <w:style w:type="character" w:styleId="RefernciaIntensa">
    <w:name w:val="Intense Reference"/>
    <w:basedOn w:val="Fontepargpadro"/>
    <w:uiPriority w:val="32"/>
    <w:qFormat/>
    <w:rsid w:val="00FA2E43"/>
    <w:rPr>
      <w:b/>
      <w:bCs/>
      <w:smallCaps/>
      <w:color w:val="0F4761" w:themeColor="accent1" w:themeShade="BF"/>
      <w:spacing w:val="5"/>
    </w:rPr>
  </w:style>
  <w:style w:type="paragraph" w:styleId="NormalWeb">
    <w:name w:val="Normal (Web)"/>
    <w:basedOn w:val="Normal"/>
    <w:uiPriority w:val="99"/>
    <w:semiHidden/>
    <w:unhideWhenUsed/>
    <w:rsid w:val="00FA2E43"/>
    <w:pPr>
      <w:spacing w:before="100" w:beforeAutospacing="1" w:after="100" w:afterAutospacing="1"/>
    </w:pPr>
    <w:rPr>
      <w:rFonts w:ascii="Times New Roman" w:eastAsia="Times New Roman" w:hAnsi="Times New Roman" w:cs="Times New Roman"/>
      <w:kern w:val="0"/>
      <w:lang w:eastAsia="pt-BR"/>
      <w14:ligatures w14:val="none"/>
    </w:rPr>
  </w:style>
  <w:style w:type="character" w:styleId="Forte">
    <w:name w:val="Strong"/>
    <w:basedOn w:val="Fontepargpadro"/>
    <w:uiPriority w:val="22"/>
    <w:qFormat/>
    <w:rsid w:val="00FA2E43"/>
    <w:rPr>
      <w:b/>
      <w:bCs/>
    </w:rPr>
  </w:style>
  <w:style w:type="character" w:customStyle="1" w:styleId="apple-converted-space">
    <w:name w:val="apple-converted-space"/>
    <w:basedOn w:val="Fontepargpadro"/>
    <w:rsid w:val="00FA2E43"/>
  </w:style>
  <w:style w:type="character" w:styleId="nfase">
    <w:name w:val="Emphasis"/>
    <w:basedOn w:val="Fontepargpadro"/>
    <w:uiPriority w:val="20"/>
    <w:qFormat/>
    <w:rsid w:val="00FA2E43"/>
    <w:rPr>
      <w:i/>
      <w:iCs/>
    </w:rPr>
  </w:style>
  <w:style w:type="character" w:styleId="CdigoHTML">
    <w:name w:val="HTML Code"/>
    <w:basedOn w:val="Fontepargpadro"/>
    <w:uiPriority w:val="99"/>
    <w:semiHidden/>
    <w:unhideWhenUsed/>
    <w:rsid w:val="00FA2E4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2466058">
      <w:bodyDiv w:val="1"/>
      <w:marLeft w:val="0"/>
      <w:marRight w:val="0"/>
      <w:marTop w:val="0"/>
      <w:marBottom w:val="0"/>
      <w:divBdr>
        <w:top w:val="none" w:sz="0" w:space="0" w:color="auto"/>
        <w:left w:val="none" w:sz="0" w:space="0" w:color="auto"/>
        <w:bottom w:val="none" w:sz="0" w:space="0" w:color="auto"/>
        <w:right w:val="none" w:sz="0" w:space="0" w:color="auto"/>
      </w:divBdr>
    </w:div>
    <w:div w:id="3921955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5</Pages>
  <Words>1517</Words>
  <Characters>8198</Characters>
  <Application>Microsoft Office Word</Application>
  <DocSecurity>0</DocSecurity>
  <Lines>68</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henrichs</dc:creator>
  <cp:keywords/>
  <dc:description/>
  <cp:lastModifiedBy>Pedro henrichs</cp:lastModifiedBy>
  <cp:revision>1</cp:revision>
  <cp:lastPrinted>2025-06-02T01:32:00Z</cp:lastPrinted>
  <dcterms:created xsi:type="dcterms:W3CDTF">2025-06-01T23:36:00Z</dcterms:created>
  <dcterms:modified xsi:type="dcterms:W3CDTF">2025-06-02T01:32:00Z</dcterms:modified>
</cp:coreProperties>
</file>