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AB7EB" w14:textId="65C2AB11" w:rsidR="003323E4" w:rsidRDefault="003323E4" w:rsidP="003323E4">
      <w:r>
        <w:t>A Participação Social no Mercosul: Avanços, Limitações e Perspectivas Democráticas</w:t>
      </w:r>
    </w:p>
    <w:p w14:paraId="11B9CA1C" w14:textId="77777777" w:rsidR="00135342" w:rsidRDefault="00135342" w:rsidP="003323E4"/>
    <w:p w14:paraId="3CD86205" w14:textId="661A8D81" w:rsidR="00135342" w:rsidRDefault="00135342" w:rsidP="003323E4">
      <w:r>
        <w:t>Pedro P. Henrichs N.</w:t>
      </w:r>
    </w:p>
    <w:p w14:paraId="167E8E89" w14:textId="77777777" w:rsidR="003323E4" w:rsidRDefault="003323E4" w:rsidP="003323E4"/>
    <w:p w14:paraId="102EE148" w14:textId="48AC68F5" w:rsidR="003323E4" w:rsidRPr="00135342" w:rsidRDefault="003323E4" w:rsidP="003323E4">
      <w:pPr>
        <w:rPr>
          <w:b/>
          <w:bCs/>
        </w:rPr>
      </w:pPr>
      <w:r w:rsidRPr="00135342">
        <w:rPr>
          <w:b/>
          <w:bCs/>
        </w:rPr>
        <w:t>Introdução</w:t>
      </w:r>
    </w:p>
    <w:p w14:paraId="718553E1" w14:textId="77777777" w:rsidR="003323E4" w:rsidRDefault="003323E4" w:rsidP="003323E4"/>
    <w:p w14:paraId="22EFDEF1" w14:textId="77777777" w:rsidR="003323E4" w:rsidRDefault="003323E4" w:rsidP="003323E4">
      <w:r>
        <w:t>O Mercosul, criado em 1991 pelo Tratado de Assunção, representa um dos mais ambiciosos projetos de integração regional na América do Sul. Desde sua origem, o bloco enfrenta o desafio de conciliar sua estrutura intergovernamental com a crescente demanda por participação social em seus processos decisórios. O artigo "A participação em organizações internacionais: uma análise da experiência de empresários e trabalhadores no Mercosul (1995-2019)" oferece uma análise detalhada dessa dinâmica no Subgrupo de Trabalho nº 10 (SGT 10), revelando padrões importantes sobre a efetividade da participação social no bloco.</w:t>
      </w:r>
    </w:p>
    <w:p w14:paraId="6748954C" w14:textId="77777777" w:rsidR="003323E4" w:rsidRDefault="003323E4" w:rsidP="003323E4"/>
    <w:p w14:paraId="669464F7" w14:textId="77777777" w:rsidR="003323E4" w:rsidRDefault="003323E4" w:rsidP="003323E4">
      <w:r>
        <w:t>Este ensaio ampliado busca aprofundar a análise do artigo original, contextualizando seus achados dentro do debate teórico sobre democracia e governança global, comparando a experiência do Mercosul com outros processos de integração regional, e propondo caminhos para fortalecer a participação social. A análise se estrutura em quatro partes principais: (1) o marco teórico sobre participação em organizações internacionais; (2) os resultados empíricos do estudo sobre o SGT 10; (3) uma comparação com outros blocos regionais; e (4) recomendações para aprimorar a participação social no Mercosul.</w:t>
      </w:r>
    </w:p>
    <w:p w14:paraId="65F24832" w14:textId="77777777" w:rsidR="003323E4" w:rsidRDefault="003323E4" w:rsidP="003323E4"/>
    <w:p w14:paraId="1AC898A8" w14:textId="485D9281" w:rsidR="003323E4" w:rsidRPr="00135342" w:rsidRDefault="003323E4" w:rsidP="003323E4">
      <w:pPr>
        <w:rPr>
          <w:b/>
          <w:bCs/>
        </w:rPr>
      </w:pPr>
      <w:r w:rsidRPr="00135342">
        <w:rPr>
          <w:b/>
          <w:bCs/>
        </w:rPr>
        <w:t>Marco Teórico: Participação e Legitimidade em Organizações Internacionais</w:t>
      </w:r>
    </w:p>
    <w:p w14:paraId="1C952D7D" w14:textId="77777777" w:rsidR="003323E4" w:rsidRDefault="003323E4" w:rsidP="003323E4"/>
    <w:p w14:paraId="21FEE0B0" w14:textId="77777777" w:rsidR="003323E4" w:rsidRDefault="003323E4" w:rsidP="003323E4">
      <w:r>
        <w:t>A questão da participação social em organizações internacionais ganhou relevância acadêmica e política nas últimas décadas, à medida que essas instituições passaram a exercer maior influência sobre políticas nacionais. Robert Dahl (2005) argumenta que a legitimidade democrática depende fundamentalmente da capacidade dos cidadãos de influenciar decisões que afetam suas vidas. No contexto das organizações internacionais, onde não existe um "governo global" eleito, esse princípio se torna ainda mais desafiador.</w:t>
      </w:r>
    </w:p>
    <w:p w14:paraId="49FE9654" w14:textId="77777777" w:rsidR="003323E4" w:rsidRDefault="003323E4" w:rsidP="003323E4"/>
    <w:p w14:paraId="46D9FEEA" w14:textId="77777777" w:rsidR="003323E4" w:rsidRDefault="003323E4" w:rsidP="003323E4">
      <w:r>
        <w:t>Graham Smith (2009) oferece um marco analítico útil ao distinguir entre dois componentes essenciais da participação:</w:t>
      </w:r>
    </w:p>
    <w:p w14:paraId="34152E27" w14:textId="6E036752" w:rsidR="003323E4" w:rsidRDefault="003323E4" w:rsidP="003323E4">
      <w:r>
        <w:t>1. Presença: o acesso físico aos espaços decisórios;</w:t>
      </w:r>
    </w:p>
    <w:p w14:paraId="2B984B29" w14:textId="0E83DF44" w:rsidR="003323E4" w:rsidRDefault="003323E4" w:rsidP="003323E4">
      <w:r>
        <w:t>2. Voz: a capacidade real de influenciar agendas e resultados.</w:t>
      </w:r>
    </w:p>
    <w:p w14:paraId="0C883831" w14:textId="77777777" w:rsidR="003323E4" w:rsidRDefault="003323E4" w:rsidP="003323E4"/>
    <w:p w14:paraId="60E0708A" w14:textId="77777777" w:rsidR="003323E4" w:rsidRDefault="003323E4" w:rsidP="003323E4">
      <w:r>
        <w:t>No caso do Mercosul, a presença de atores sociais foi formalmente reconhecida desde o Protocolo de Ouro Preto (1994), que criou o Foro Consultivo Econômico e Social (FCES). No entanto, como demonstra o artigo analisado, essa presença não se traduziu automaticamente em voz efetiva, devido ao caráter estritamente consultivo desses espaços e à natureza intergovernamental do bloco (</w:t>
      </w:r>
      <w:proofErr w:type="spellStart"/>
      <w:r>
        <w:t>Malamud</w:t>
      </w:r>
      <w:proofErr w:type="spellEnd"/>
      <w:r>
        <w:t>, 2011).</w:t>
      </w:r>
    </w:p>
    <w:p w14:paraId="1D4A3594" w14:textId="77777777" w:rsidR="003323E4" w:rsidRDefault="003323E4" w:rsidP="003323E4"/>
    <w:p w14:paraId="42F62144" w14:textId="77777777" w:rsidR="003323E4" w:rsidRDefault="003323E4" w:rsidP="003323E4">
      <w:r>
        <w:lastRenderedPageBreak/>
        <w:t>A literatura sobre "déficit democrático" nas organizações internacionais (</w:t>
      </w:r>
      <w:proofErr w:type="spellStart"/>
      <w:r>
        <w:t>Keohane</w:t>
      </w:r>
      <w:proofErr w:type="spellEnd"/>
      <w:r>
        <w:t xml:space="preserve"> &amp; Macedo, 2009) ajuda a entender essa limitação. Quando as decisões são tomadas predominantemente por representantes governamentais, sem mecanismos robustos de participação social, cria-se uma desconexão entre as instituições regionais e as populações que elas afetam. Esse problema se agrava no Mercosul pela assimetria entre seus membros e pela volatilidade política da região.</w:t>
      </w:r>
    </w:p>
    <w:p w14:paraId="776717E0" w14:textId="77777777" w:rsidR="003323E4" w:rsidRDefault="003323E4" w:rsidP="003323E4"/>
    <w:p w14:paraId="490BD4FA" w14:textId="48CA400C" w:rsidR="003323E4" w:rsidRDefault="003323E4" w:rsidP="003323E4">
      <w:r>
        <w:t>Análise dos Resultados Empíricos no SGT 10</w:t>
      </w:r>
    </w:p>
    <w:p w14:paraId="65F6442C" w14:textId="77777777" w:rsidR="003323E4" w:rsidRDefault="003323E4" w:rsidP="003323E4"/>
    <w:p w14:paraId="33A24585" w14:textId="77777777" w:rsidR="003323E4" w:rsidRDefault="003323E4" w:rsidP="003323E4">
      <w:r>
        <w:t>O estudo original revela dois achados principais sobre a participação social no SGT 10 entre 1995 e 2019: uma redução gradual na presença dos atores sociais e uma maior permeabilidade da agenda às demandas dos trabalhadores em comparação com as dos empresários.</w:t>
      </w:r>
    </w:p>
    <w:p w14:paraId="7351CA9E" w14:textId="77777777" w:rsidR="003323E4" w:rsidRDefault="003323E4" w:rsidP="003323E4"/>
    <w:p w14:paraId="23D6FE4B" w14:textId="1207D664" w:rsidR="003323E4" w:rsidRDefault="003323E4" w:rsidP="003323E4">
      <w:r>
        <w:t>A Redução da Participação Social</w:t>
      </w:r>
    </w:p>
    <w:p w14:paraId="09E6567F" w14:textId="77777777" w:rsidR="003323E4" w:rsidRDefault="003323E4" w:rsidP="003323E4"/>
    <w:p w14:paraId="6490F20B" w14:textId="77777777" w:rsidR="003323E4" w:rsidRDefault="003323E4" w:rsidP="003323E4">
      <w:r>
        <w:t>Os dados mostram uma queda acentuada na participação: de uma média de 11 organizações por reunião no período 1995-1999 para apenas 4 em 2015-2019. Essa redução pode ser explicada por três fatores principais:</w:t>
      </w:r>
    </w:p>
    <w:p w14:paraId="27A27AC5" w14:textId="77777777" w:rsidR="003323E4" w:rsidRDefault="003323E4" w:rsidP="003323E4"/>
    <w:p w14:paraId="1F4CAB30" w14:textId="51B87F7C" w:rsidR="003323E4" w:rsidRDefault="003323E4" w:rsidP="003323E4">
      <w:r>
        <w:t>Mudanças Políticas: A ascensão de governos conservadores na Argentina (Macri) e no Brasil (Temer) a partir de 2015 levou ao desmonte de políticas sociais e ao esvaziamento de fóruns participativos. A Cúpula Social de 2017, por exemplo, foi cancelada sob a justificativa de "revisão de prioridades" (</w:t>
      </w:r>
      <w:proofErr w:type="spellStart"/>
      <w:r>
        <w:t>Ramanzini</w:t>
      </w:r>
      <w:proofErr w:type="spellEnd"/>
      <w:r>
        <w:t xml:space="preserve"> Junior &amp; Luciano, 2021).</w:t>
      </w:r>
    </w:p>
    <w:p w14:paraId="5B501F30" w14:textId="77777777" w:rsidR="003323E4" w:rsidRDefault="003323E4" w:rsidP="003323E4"/>
    <w:p w14:paraId="2BC94A9B" w14:textId="2DFFAAFD" w:rsidR="003323E4" w:rsidRDefault="003323E4" w:rsidP="003323E4">
      <w:r>
        <w:t>Fragilidade Institucional: A Resolução 53/2019, que regulamentou a participação do setor privado, manteve o caráter não vinculante das consultas, desincentivando o engajamento contínuo. Como observado por Mariano (2015), a participação social no Mercosul sempre esteve à mercê da vontade política dos governos nacionais.</w:t>
      </w:r>
    </w:p>
    <w:p w14:paraId="643FF1CD" w14:textId="77777777" w:rsidR="003323E4" w:rsidRDefault="003323E4" w:rsidP="003323E4"/>
    <w:p w14:paraId="042C28FB" w14:textId="444F77D0" w:rsidR="003323E4" w:rsidRDefault="003323E4" w:rsidP="003323E4">
      <w:r>
        <w:t>Estratégias dos Atores: Algumas organizações, como a Confederação Nacional da Indústria (CNI) do Brasil, passaram a priorizar canais bilaterais de influência junto aos governos nacionais em vez da participação nos fóruns regionais (CNI, 2019).</w:t>
      </w:r>
    </w:p>
    <w:p w14:paraId="2D2CE10E" w14:textId="77777777" w:rsidR="003323E4" w:rsidRDefault="003323E4" w:rsidP="003323E4"/>
    <w:p w14:paraId="2DC28E95" w14:textId="37B4407A" w:rsidR="003323E4" w:rsidRDefault="003323E4" w:rsidP="003323E4">
      <w:r>
        <w:t>A Maior Influência dos Trabalhadores</w:t>
      </w:r>
    </w:p>
    <w:p w14:paraId="1BE4C252" w14:textId="77777777" w:rsidR="003323E4" w:rsidRDefault="003323E4" w:rsidP="003323E4"/>
    <w:p w14:paraId="31FF959D" w14:textId="77777777" w:rsidR="003323E4" w:rsidRDefault="003323E4" w:rsidP="003323E4">
      <w:r>
        <w:t>O estudo revela que 71% das propostas dos sindicatos foram aprovadas no SGT 10, contra apenas 29% das empresariais. Essa disparidade pode ser explicada por:</w:t>
      </w:r>
    </w:p>
    <w:p w14:paraId="351B6900" w14:textId="77777777" w:rsidR="003323E4" w:rsidRDefault="003323E4" w:rsidP="003323E4"/>
    <w:p w14:paraId="7797EAFB" w14:textId="191A60F7" w:rsidR="003323E4" w:rsidRDefault="003323E4" w:rsidP="003323E4">
      <w:r>
        <w:t xml:space="preserve">Alinhamento com a Missão do SGT 10: Temas como direitos trabalhistas e combate ao trabalho infantil já eram prioridades do subgrupo, facilitando a aceitação de propostas sindicais. A "Carta de Direitos Fundamentais dos </w:t>
      </w:r>
      <w:r>
        <w:lastRenderedPageBreak/>
        <w:t>Trabalhadores do Mercosul", proposta pela CGTRA em 1998, é um exemplo emblemático (Mercosul, 2015b).</w:t>
      </w:r>
    </w:p>
    <w:p w14:paraId="1A1E920D" w14:textId="77777777" w:rsidR="003323E4" w:rsidRDefault="003323E4" w:rsidP="003323E4"/>
    <w:p w14:paraId="21D5C1BC" w14:textId="240692A3" w:rsidR="003323E4" w:rsidRDefault="003323E4" w:rsidP="003323E4">
      <w:r>
        <w:t>Estratégias de Atuação: Enquanto a Central Única dos Trabalhadores (CUT) adotou uma postura propositiva (60% das intervenções foram propostas), a Confederação Nacional da Indústria (CNI) focou em obstrução ou abstenção (62% dos casos).</w:t>
      </w:r>
    </w:p>
    <w:p w14:paraId="207607F0" w14:textId="77777777" w:rsidR="003323E4" w:rsidRDefault="003323E4" w:rsidP="003323E4"/>
    <w:p w14:paraId="6B1B5654" w14:textId="2B3445D1" w:rsidR="003323E4" w:rsidRDefault="003323E4" w:rsidP="003323E4">
      <w:r>
        <w:t>Capacidade Organizacional: Sindicatos argentinos, como a CGTRA, mantiveram uma participação mais intensa e consistente que seus pares brasileiros, sugerindo diferenças na capacidade de mobilização e recursos.</w:t>
      </w:r>
    </w:p>
    <w:p w14:paraId="12CBD40C" w14:textId="77777777" w:rsidR="003323E4" w:rsidRDefault="003323E4" w:rsidP="003323E4"/>
    <w:p w14:paraId="309289AE" w14:textId="0F672B29" w:rsidR="003323E4" w:rsidRDefault="003323E4" w:rsidP="003323E4">
      <w:r>
        <w:t>Comparação com Outros Blocos Regionais</w:t>
      </w:r>
    </w:p>
    <w:p w14:paraId="00B8B055" w14:textId="77777777" w:rsidR="003323E4" w:rsidRDefault="003323E4" w:rsidP="003323E4"/>
    <w:p w14:paraId="4851515E" w14:textId="03EF7B45" w:rsidR="003323E4" w:rsidRDefault="003323E4" w:rsidP="003323E4">
      <w:r>
        <w:t>Mercosul vs. União Europeia</w:t>
      </w:r>
    </w:p>
    <w:p w14:paraId="72AB6E98" w14:textId="77777777" w:rsidR="003323E4" w:rsidRDefault="003323E4" w:rsidP="003323E4"/>
    <w:p w14:paraId="35BEB4A8" w14:textId="77777777" w:rsidR="003323E4" w:rsidRDefault="003323E4" w:rsidP="003323E4">
      <w:r>
        <w:t>A UE desenvolveu mecanismos mais robustos de participação social, como o Comitê Econômico e Social Europeu (CESE), que tem funções consultivas vinculantes em várias políticas. Em contraste, o FCES do Mercosul permanece como um espaço de recomendações não obrigatórias (</w:t>
      </w:r>
      <w:proofErr w:type="spellStart"/>
      <w:r>
        <w:t>Nanz</w:t>
      </w:r>
      <w:proofErr w:type="spellEnd"/>
      <w:r>
        <w:t xml:space="preserve"> &amp; </w:t>
      </w:r>
      <w:proofErr w:type="spellStart"/>
      <w:r>
        <w:t>Steffek</w:t>
      </w:r>
      <w:proofErr w:type="spellEnd"/>
      <w:r>
        <w:t>, 2004). Essa diferença institucional explica em parte por que a participação social tem sido mais efetiva na UE.</w:t>
      </w:r>
    </w:p>
    <w:p w14:paraId="70255909" w14:textId="77777777" w:rsidR="003323E4" w:rsidRDefault="003323E4" w:rsidP="003323E4"/>
    <w:p w14:paraId="63D59D76" w14:textId="0928EBC8" w:rsidR="003323E4" w:rsidRDefault="003323E4" w:rsidP="003323E4">
      <w:r>
        <w:t>Mercosul vs. Unasul</w:t>
      </w:r>
    </w:p>
    <w:p w14:paraId="1506A6FD" w14:textId="77777777" w:rsidR="003323E4" w:rsidRDefault="003323E4" w:rsidP="003323E4"/>
    <w:p w14:paraId="3B40F9B3" w14:textId="77777777" w:rsidR="003323E4" w:rsidRDefault="003323E4" w:rsidP="003323E4">
      <w:r>
        <w:t>A Unasul, embora extinta em 2019, chegou a incluir conselhos sociais com participação direta de movimentos indígenas e sindicais. No entanto, como no Mercosul, a falta de institucionalização desses espaços os tornou vulneráveis a mudanças políticas (</w:t>
      </w:r>
      <w:proofErr w:type="spellStart"/>
      <w:r>
        <w:t>Briceño</w:t>
      </w:r>
      <w:proofErr w:type="spellEnd"/>
      <w:r>
        <w:t>-Ruiz, 2018). Essa experiência reforça a importância de criar estruturas participativas com maior independência em relação aos ciclos políticos nacionais.</w:t>
      </w:r>
    </w:p>
    <w:p w14:paraId="46B80DEF" w14:textId="77777777" w:rsidR="003323E4" w:rsidRDefault="003323E4" w:rsidP="003323E4"/>
    <w:p w14:paraId="1DFB75B9" w14:textId="01EA1301" w:rsidR="003323E4" w:rsidRDefault="003323E4" w:rsidP="003323E4">
      <w:r>
        <w:t>Recomendações para Fortalecer a Participação Social</w:t>
      </w:r>
    </w:p>
    <w:p w14:paraId="52E00343" w14:textId="77777777" w:rsidR="003323E4" w:rsidRDefault="003323E4" w:rsidP="003323E4"/>
    <w:p w14:paraId="76E9FEFF" w14:textId="77777777" w:rsidR="003323E4" w:rsidRDefault="003323E4" w:rsidP="003323E4">
      <w:r>
        <w:t>Com base na análise apresentada, propõem-se quatro medidas para aprimorar a participação social no Mercosul:</w:t>
      </w:r>
    </w:p>
    <w:p w14:paraId="09E87ECA" w14:textId="77777777" w:rsidR="003323E4" w:rsidRDefault="003323E4" w:rsidP="003323E4"/>
    <w:p w14:paraId="3754D27E" w14:textId="0BE7BB73" w:rsidR="003323E4" w:rsidRDefault="003323E4" w:rsidP="003323E4">
      <w:r>
        <w:t>Institucionalização de Mecanismos Vinculantes</w:t>
      </w:r>
    </w:p>
    <w:p w14:paraId="4C1BEDB6" w14:textId="68B54525" w:rsidR="003323E4" w:rsidRDefault="003323E4" w:rsidP="003323E4">
      <w:r>
        <w:t xml:space="preserve">Transformar o FCES em um órgão de </w:t>
      </w:r>
      <w:proofErr w:type="spellStart"/>
      <w:r>
        <w:t>co-decisão</w:t>
      </w:r>
      <w:proofErr w:type="spellEnd"/>
      <w:r>
        <w:t xml:space="preserve"> em matérias sociais e trabalhistas.</w:t>
      </w:r>
    </w:p>
    <w:p w14:paraId="667B32F6" w14:textId="0D2A8605" w:rsidR="003323E4" w:rsidRDefault="003323E4" w:rsidP="003323E4">
      <w:r>
        <w:t>Criar um Observatório Social independente para monitorar a implementação de políticas.</w:t>
      </w:r>
    </w:p>
    <w:p w14:paraId="1F5EEB06" w14:textId="77777777" w:rsidR="003323E4" w:rsidRDefault="003323E4" w:rsidP="003323E4"/>
    <w:p w14:paraId="176B0EFD" w14:textId="565B9596" w:rsidR="003323E4" w:rsidRDefault="003323E4" w:rsidP="003323E4">
      <w:r>
        <w:t>Transparência e Acesso à Informação</w:t>
      </w:r>
    </w:p>
    <w:p w14:paraId="012AB02B" w14:textId="5CC86940" w:rsidR="003323E4" w:rsidRDefault="003323E4" w:rsidP="003323E4">
      <w:r>
        <w:t>Publicar relatórios anuais sobre o impacto das propostas sociais nas decisões do bloco.</w:t>
      </w:r>
    </w:p>
    <w:p w14:paraId="5DB51432" w14:textId="6F32A615" w:rsidR="003323E4" w:rsidRDefault="003323E4" w:rsidP="003323E4">
      <w:r>
        <w:t xml:space="preserve"> Implementar plataformas digitais para consultas públicas, seguindo exemplos como o da OMC.</w:t>
      </w:r>
    </w:p>
    <w:p w14:paraId="06D4B350" w14:textId="77777777" w:rsidR="003323E4" w:rsidRDefault="003323E4" w:rsidP="003323E4"/>
    <w:p w14:paraId="28EFA748" w14:textId="3C58AFCE" w:rsidR="003323E4" w:rsidRDefault="003323E4" w:rsidP="003323E4">
      <w:r>
        <w:t>Diálogo Estruturado entre Atores</w:t>
      </w:r>
    </w:p>
    <w:p w14:paraId="0CF136DF" w14:textId="51ED94C5" w:rsidR="003323E4" w:rsidRDefault="003323E4" w:rsidP="003323E4">
      <w:r>
        <w:t>Estabelecer mesas de diálogo tripartites permanentes (governos, empresários, trabalhadores).</w:t>
      </w:r>
    </w:p>
    <w:p w14:paraId="1CD2C7F4" w14:textId="639478DD" w:rsidR="003323E4" w:rsidRDefault="003323E4" w:rsidP="003323E4">
      <w:r>
        <w:t>Criar um fundo regional para capacitação de organizações sociais menores.</w:t>
      </w:r>
    </w:p>
    <w:p w14:paraId="5D4DA54B" w14:textId="77777777" w:rsidR="003323E4" w:rsidRDefault="003323E4" w:rsidP="003323E4"/>
    <w:p w14:paraId="06CB1D4B" w14:textId="22712548" w:rsidR="003323E4" w:rsidRDefault="003323E4" w:rsidP="003323E4">
      <w:r>
        <w:t>Resiliência Institucional</w:t>
      </w:r>
    </w:p>
    <w:p w14:paraId="392F8111" w14:textId="69AFFB38" w:rsidR="003323E4" w:rsidRDefault="003323E4" w:rsidP="003323E4">
      <w:r>
        <w:t>Desenvolver mecanismos de participação menos vulneráveis a mudanças políticas nacionais.</w:t>
      </w:r>
    </w:p>
    <w:p w14:paraId="6E773334" w14:textId="60C6A4F2" w:rsidR="003323E4" w:rsidRDefault="003323E4" w:rsidP="003323E4">
      <w:r>
        <w:t>Incluir cláusulas de participação social em todos os novos acordos do bloco.</w:t>
      </w:r>
    </w:p>
    <w:p w14:paraId="6DF43D69" w14:textId="77777777" w:rsidR="003323E4" w:rsidRDefault="003323E4" w:rsidP="003323E4"/>
    <w:p w14:paraId="4DE4D829" w14:textId="3FE3ABFA" w:rsidR="003323E4" w:rsidRDefault="003323E4" w:rsidP="003323E4">
      <w:r>
        <w:t>Conclusão</w:t>
      </w:r>
    </w:p>
    <w:p w14:paraId="5F456FD7" w14:textId="77777777" w:rsidR="003323E4" w:rsidRDefault="003323E4" w:rsidP="003323E4"/>
    <w:p w14:paraId="05E067DF" w14:textId="77777777" w:rsidR="003323E4" w:rsidRDefault="003323E4" w:rsidP="003323E4">
      <w:r>
        <w:t>A análise do artigo original, ampliada por esta reflexão, revela que o Mercosul enfrenta um duplo desafio: precisa superar tanto a redução quantitativa da participação social quanto as limitações qualitativas dessa participação. Os dados do SGT 10 mostram que, mesmo em um contexto desfavorável, os atores sociais podem influenciar agendas quando possuem estratégias claras e se alinham com os mandatos institucionais.</w:t>
      </w:r>
    </w:p>
    <w:p w14:paraId="0CFD848C" w14:textId="77777777" w:rsidR="003323E4" w:rsidRDefault="003323E4" w:rsidP="003323E4"/>
    <w:p w14:paraId="74D29A9D" w14:textId="77777777" w:rsidR="003323E4" w:rsidRDefault="003323E4" w:rsidP="003323E4">
      <w:r>
        <w:t xml:space="preserve">A comparação com outras experiências regionais sugere que o Mercosul está atrás em mecanismos de inclusão democrática, mas também aponta caminhos possíveis. Como destacam </w:t>
      </w:r>
      <w:proofErr w:type="spellStart"/>
      <w:r>
        <w:t>Tallberg</w:t>
      </w:r>
      <w:proofErr w:type="spellEnd"/>
      <w:r>
        <w:t xml:space="preserve"> e </w:t>
      </w:r>
      <w:proofErr w:type="spellStart"/>
      <w:r>
        <w:t>Zürn</w:t>
      </w:r>
      <w:proofErr w:type="spellEnd"/>
      <w:r>
        <w:t xml:space="preserve"> (2019), a legitimidade das organizações internacionais no século XXI dependerá cada vez mais de sua capacidade de converter participação em influência real. Para o Mercosul, isso significará não apenas manter espaços de diálogo, mas dotá-los de poder efetivo.</w:t>
      </w:r>
    </w:p>
    <w:p w14:paraId="4E827C3C" w14:textId="77777777" w:rsidR="003323E4" w:rsidRDefault="003323E4" w:rsidP="003323E4"/>
    <w:p w14:paraId="7EE4E5BB" w14:textId="77777777" w:rsidR="003323E4" w:rsidRDefault="003323E4" w:rsidP="003323E4">
      <w:r>
        <w:t>A atual conjuntura política na América do Sul, com a volta de governos de esquerda em vários países, oferece uma oportunidade para avançar nessa agenda. No entanto, como demonstra a história do bloco, mudanças duradouras exigirão reformas institucionais profundas que transcendam os ciclos políticos nacionais. O desafio é grande, mas o preço da inação - em termos de legitimidade e eficácia - pode ser maior ainda.</w:t>
      </w:r>
    </w:p>
    <w:p w14:paraId="2E4E3244" w14:textId="77777777" w:rsidR="003323E4" w:rsidRDefault="003323E4" w:rsidP="003323E4"/>
    <w:p w14:paraId="08EB33CC" w14:textId="0B02EF74" w:rsidR="003323E4" w:rsidRDefault="003323E4" w:rsidP="003323E4">
      <w:r>
        <w:t>Referências Bibliográficas</w:t>
      </w:r>
    </w:p>
    <w:p w14:paraId="422ECB76" w14:textId="77777777" w:rsidR="003323E4" w:rsidRDefault="003323E4" w:rsidP="003323E4"/>
    <w:p w14:paraId="18404A1B" w14:textId="77777777" w:rsidR="003323E4" w:rsidRDefault="003323E4" w:rsidP="003323E4">
      <w:r>
        <w:t xml:space="preserve">- </w:t>
      </w:r>
      <w:proofErr w:type="spellStart"/>
      <w:r>
        <w:t>Briceño</w:t>
      </w:r>
      <w:proofErr w:type="spellEnd"/>
      <w:r>
        <w:t xml:space="preserve">-Ruiz, J. (2018). </w:t>
      </w:r>
      <w:r w:rsidRPr="003323E4">
        <w:rPr>
          <w:lang w:val="en-US"/>
        </w:rPr>
        <w:t xml:space="preserve">"Times of change in Latin American regionalism". </w:t>
      </w:r>
      <w:r>
        <w:t>Contexto Internacional.</w:t>
      </w:r>
    </w:p>
    <w:p w14:paraId="7567B849" w14:textId="77777777" w:rsidR="003323E4" w:rsidRDefault="003323E4" w:rsidP="003323E4">
      <w:r>
        <w:t>- Dahl, R. (2005). Poliarquia: participação e oposição. São Paulo: Edusp.</w:t>
      </w:r>
    </w:p>
    <w:p w14:paraId="2715B77D" w14:textId="77777777" w:rsidR="003323E4" w:rsidRDefault="003323E4" w:rsidP="003323E4">
      <w:r w:rsidRPr="003323E4">
        <w:rPr>
          <w:lang w:val="en-US"/>
        </w:rPr>
        <w:t xml:space="preserve">- Keohane, R.; Macedo, S. (2009). "Democracy-enhancing multilateralism". </w:t>
      </w:r>
      <w:proofErr w:type="spellStart"/>
      <w:r>
        <w:t>International</w:t>
      </w:r>
      <w:proofErr w:type="spellEnd"/>
      <w:r>
        <w:t xml:space="preserve"> </w:t>
      </w:r>
      <w:proofErr w:type="spellStart"/>
      <w:r>
        <w:t>Organization</w:t>
      </w:r>
      <w:proofErr w:type="spellEnd"/>
      <w:r>
        <w:t>.</w:t>
      </w:r>
    </w:p>
    <w:p w14:paraId="072D10B4" w14:textId="77777777" w:rsidR="003323E4" w:rsidRDefault="003323E4" w:rsidP="003323E4">
      <w:r>
        <w:t xml:space="preserve">- </w:t>
      </w:r>
      <w:proofErr w:type="spellStart"/>
      <w:r>
        <w:t>Malamud</w:t>
      </w:r>
      <w:proofErr w:type="spellEnd"/>
      <w:r>
        <w:t xml:space="preserve">, A. (2011). "Conceptos, </w:t>
      </w:r>
      <w:proofErr w:type="spellStart"/>
      <w:r>
        <w:t>teorías</w:t>
      </w:r>
      <w:proofErr w:type="spellEnd"/>
      <w:r>
        <w:t xml:space="preserve"> y debates sobre </w:t>
      </w:r>
      <w:proofErr w:type="spellStart"/>
      <w:r>
        <w:t>la</w:t>
      </w:r>
      <w:proofErr w:type="spellEnd"/>
      <w:r>
        <w:t xml:space="preserve"> </w:t>
      </w:r>
      <w:proofErr w:type="spellStart"/>
      <w:r>
        <w:t>integración</w:t>
      </w:r>
      <w:proofErr w:type="spellEnd"/>
      <w:r>
        <w:t xml:space="preserve"> regional". </w:t>
      </w:r>
      <w:proofErr w:type="spellStart"/>
      <w:r>
        <w:t>Norteamérica</w:t>
      </w:r>
      <w:proofErr w:type="spellEnd"/>
      <w:r>
        <w:t>.</w:t>
      </w:r>
    </w:p>
    <w:p w14:paraId="66E67825" w14:textId="77777777" w:rsidR="003323E4" w:rsidRDefault="003323E4" w:rsidP="003323E4">
      <w:r>
        <w:t>- Mariano, K. P. (2015). Regionalismo na América do Sul. São Paulo: Editora UNESP.</w:t>
      </w:r>
    </w:p>
    <w:p w14:paraId="329C0A78" w14:textId="77777777" w:rsidR="003323E4" w:rsidRPr="003323E4" w:rsidRDefault="003323E4" w:rsidP="003323E4">
      <w:pPr>
        <w:rPr>
          <w:lang w:val="en-US"/>
        </w:rPr>
      </w:pPr>
      <w:r w:rsidRPr="003323E4">
        <w:rPr>
          <w:lang w:val="en-US"/>
        </w:rPr>
        <w:t>- Nanz, P.; Steffek, J. (2004). "Global governance, participation and the public sphere". Government and Opposition.</w:t>
      </w:r>
    </w:p>
    <w:p w14:paraId="274A6E12" w14:textId="77777777" w:rsidR="003323E4" w:rsidRPr="003323E4" w:rsidRDefault="003323E4" w:rsidP="003323E4">
      <w:pPr>
        <w:rPr>
          <w:lang w:val="en-US"/>
        </w:rPr>
      </w:pPr>
      <w:r w:rsidRPr="003323E4">
        <w:rPr>
          <w:lang w:val="en-US"/>
        </w:rPr>
        <w:lastRenderedPageBreak/>
        <w:t xml:space="preserve">- </w:t>
      </w:r>
      <w:proofErr w:type="spellStart"/>
      <w:r w:rsidRPr="003323E4">
        <w:rPr>
          <w:lang w:val="en-US"/>
        </w:rPr>
        <w:t>Ramanzini</w:t>
      </w:r>
      <w:proofErr w:type="spellEnd"/>
      <w:r w:rsidRPr="003323E4">
        <w:rPr>
          <w:lang w:val="en-US"/>
        </w:rPr>
        <w:t xml:space="preserve"> Junior, H.; Luciano, B. T. (2021). "Regional (dis)integration beyond governments". International Area Studies Review.</w:t>
      </w:r>
    </w:p>
    <w:p w14:paraId="6D6D5F29" w14:textId="77777777" w:rsidR="003323E4" w:rsidRDefault="003323E4" w:rsidP="003323E4">
      <w:r w:rsidRPr="003323E4">
        <w:rPr>
          <w:lang w:val="en-US"/>
        </w:rPr>
        <w:t xml:space="preserve">- </w:t>
      </w:r>
      <w:proofErr w:type="spellStart"/>
      <w:r w:rsidRPr="003323E4">
        <w:rPr>
          <w:lang w:val="en-US"/>
        </w:rPr>
        <w:t>Tallberg</w:t>
      </w:r>
      <w:proofErr w:type="spellEnd"/>
      <w:r w:rsidRPr="003323E4">
        <w:rPr>
          <w:lang w:val="en-US"/>
        </w:rPr>
        <w:t xml:space="preserve">, J.; </w:t>
      </w:r>
      <w:proofErr w:type="spellStart"/>
      <w:r w:rsidRPr="003323E4">
        <w:rPr>
          <w:lang w:val="en-US"/>
        </w:rPr>
        <w:t>Zürn</w:t>
      </w:r>
      <w:proofErr w:type="spellEnd"/>
      <w:r w:rsidRPr="003323E4">
        <w:rPr>
          <w:lang w:val="en-US"/>
        </w:rPr>
        <w:t xml:space="preserve">, M. (2019). "The legitimacy and legitimation of international organizations". </w:t>
      </w:r>
      <w:r>
        <w:t xml:space="preserve">The Review </w:t>
      </w:r>
      <w:proofErr w:type="spellStart"/>
      <w:r>
        <w:t>of</w:t>
      </w:r>
      <w:proofErr w:type="spellEnd"/>
      <w:r>
        <w:t xml:space="preserve"> </w:t>
      </w:r>
      <w:proofErr w:type="spellStart"/>
      <w:r>
        <w:t>International</w:t>
      </w:r>
      <w:proofErr w:type="spellEnd"/>
      <w:r>
        <w:t xml:space="preserve"> </w:t>
      </w:r>
      <w:proofErr w:type="spellStart"/>
      <w:r>
        <w:t>Organizations</w:t>
      </w:r>
      <w:proofErr w:type="spellEnd"/>
      <w:r>
        <w:t>.</w:t>
      </w:r>
    </w:p>
    <w:p w14:paraId="17E891B2" w14:textId="77777777" w:rsidR="003323E4" w:rsidRDefault="003323E4" w:rsidP="003323E4"/>
    <w:sectPr w:rsidR="003323E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3E4"/>
    <w:rsid w:val="00135342"/>
    <w:rsid w:val="003102A3"/>
    <w:rsid w:val="003323E4"/>
    <w:rsid w:val="00A225DC"/>
    <w:rsid w:val="00A3532E"/>
    <w:rsid w:val="00A4503A"/>
    <w:rsid w:val="00D856BC"/>
    <w:rsid w:val="00FF31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49352428"/>
  <w15:chartTrackingRefBased/>
  <w15:docId w15:val="{CCDC39F9-4EBA-C349-BE7B-D1AFC55B9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32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32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323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323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323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323E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323E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323E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323E4"/>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323E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323E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323E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323E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323E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323E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323E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323E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323E4"/>
    <w:rPr>
      <w:rFonts w:eastAsiaTheme="majorEastAsia" w:cstheme="majorBidi"/>
      <w:color w:val="272727" w:themeColor="text1" w:themeTint="D8"/>
    </w:rPr>
  </w:style>
  <w:style w:type="paragraph" w:styleId="Ttulo">
    <w:name w:val="Title"/>
    <w:basedOn w:val="Normal"/>
    <w:next w:val="Normal"/>
    <w:link w:val="TtuloChar"/>
    <w:uiPriority w:val="10"/>
    <w:qFormat/>
    <w:rsid w:val="003323E4"/>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323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323E4"/>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323E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323E4"/>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3323E4"/>
    <w:rPr>
      <w:i/>
      <w:iCs/>
      <w:color w:val="404040" w:themeColor="text1" w:themeTint="BF"/>
    </w:rPr>
  </w:style>
  <w:style w:type="paragraph" w:styleId="PargrafodaLista">
    <w:name w:val="List Paragraph"/>
    <w:basedOn w:val="Normal"/>
    <w:uiPriority w:val="34"/>
    <w:qFormat/>
    <w:rsid w:val="003323E4"/>
    <w:pPr>
      <w:ind w:left="720"/>
      <w:contextualSpacing/>
    </w:pPr>
  </w:style>
  <w:style w:type="character" w:styleId="nfaseIntensa">
    <w:name w:val="Intense Emphasis"/>
    <w:basedOn w:val="Fontepargpadro"/>
    <w:uiPriority w:val="21"/>
    <w:qFormat/>
    <w:rsid w:val="003323E4"/>
    <w:rPr>
      <w:i/>
      <w:iCs/>
      <w:color w:val="0F4761" w:themeColor="accent1" w:themeShade="BF"/>
    </w:rPr>
  </w:style>
  <w:style w:type="paragraph" w:styleId="CitaoIntensa">
    <w:name w:val="Intense Quote"/>
    <w:basedOn w:val="Normal"/>
    <w:next w:val="Normal"/>
    <w:link w:val="CitaoIntensaChar"/>
    <w:uiPriority w:val="30"/>
    <w:qFormat/>
    <w:rsid w:val="00332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323E4"/>
    <w:rPr>
      <w:i/>
      <w:iCs/>
      <w:color w:val="0F4761" w:themeColor="accent1" w:themeShade="BF"/>
    </w:rPr>
  </w:style>
  <w:style w:type="character" w:styleId="RefernciaIntensa">
    <w:name w:val="Intense Reference"/>
    <w:basedOn w:val="Fontepargpadro"/>
    <w:uiPriority w:val="32"/>
    <w:qFormat/>
    <w:rsid w:val="003323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1483</Words>
  <Characters>8010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henrichs</dc:creator>
  <cp:keywords/>
  <dc:description/>
  <cp:lastModifiedBy>Pedro henrichs</cp:lastModifiedBy>
  <cp:revision>2</cp:revision>
  <dcterms:created xsi:type="dcterms:W3CDTF">2025-05-02T00:37:00Z</dcterms:created>
  <dcterms:modified xsi:type="dcterms:W3CDTF">2025-05-02T00:37:00Z</dcterms:modified>
</cp:coreProperties>
</file>