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A3D61" w14:textId="4E36484B" w:rsidR="001B3920" w:rsidRPr="001B3920" w:rsidRDefault="001B3920" w:rsidP="001B3920">
      <w:pPr>
        <w:rPr>
          <w:rFonts w:ascii="Times New Roman" w:eastAsia="Times New Roman" w:hAnsi="Times New Roman" w:cs="Times New Roman"/>
          <w:kern w:val="0"/>
          <w:lang w:eastAsia="pt-BR"/>
          <w14:ligatures w14:val="none"/>
        </w:rPr>
      </w:pPr>
    </w:p>
    <w:p w14:paraId="520182DD" w14:textId="3851D410" w:rsidR="001B3920" w:rsidRPr="001B3920" w:rsidRDefault="001B3920" w:rsidP="001B3920">
      <w:pPr>
        <w:spacing w:before="100" w:beforeAutospacing="1" w:after="100" w:afterAutospacing="1"/>
        <w:outlineLvl w:val="0"/>
        <w:rPr>
          <w:rFonts w:ascii="Times New Roman" w:eastAsia="Times New Roman" w:hAnsi="Times New Roman" w:cs="Times New Roman"/>
          <w:b/>
          <w:bCs/>
          <w:color w:val="000000"/>
          <w:kern w:val="36"/>
          <w:sz w:val="48"/>
          <w:szCs w:val="48"/>
          <w:lang w:eastAsia="pt-BR"/>
          <w14:ligatures w14:val="none"/>
        </w:rPr>
      </w:pPr>
      <w:r w:rsidRPr="001B3920">
        <w:rPr>
          <w:rFonts w:ascii="Times New Roman" w:eastAsia="Times New Roman" w:hAnsi="Times New Roman" w:cs="Times New Roman"/>
          <w:b/>
          <w:bCs/>
          <w:color w:val="000000"/>
          <w:kern w:val="36"/>
          <w:sz w:val="48"/>
          <w:szCs w:val="48"/>
          <w:lang w:eastAsia="pt-BR"/>
          <w14:ligatures w14:val="none"/>
        </w:rPr>
        <w:t>Resenha Crítica: Análise das Implicações do Princípio do Tratamento Nacional (TN) no Setor de Saúde e nos Serviços Financeiros</w:t>
      </w:r>
    </w:p>
    <w:p w14:paraId="1F062850"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Resumo</w:t>
      </w:r>
    </w:p>
    <w:p w14:paraId="4A45383D"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O princípio do Tratamento Nacional (TN), previsto no Acordo Geral sobre Comércio de Serviços (GATS) da Organização Mundial do Comércio (OMC), estabelece que prestadores de serviços estrangeiros devem receber tratamento equivalente ao dos nacionais, após sua entrada legal no mercado. Este trabalho analisa criticamente as implicações da aplicação do TN em dois setores estratégicos para o Brasil: saúde e regulação de serviços financeiros. Em ambos os casos, avaliam-se riscos, benefícios e modos de prestação distintos, com base em experiências práticas e aspectos regulatórios. Ao final, apresenta-se uma proposta de posicionamento estratégico do Estado brasileiro.</w:t>
      </w:r>
    </w:p>
    <w:p w14:paraId="5C8B5852"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Palavras-chave</w:t>
      </w:r>
      <w:r w:rsidRPr="001B3920">
        <w:rPr>
          <w:rFonts w:ascii="Times New Roman" w:eastAsia="Times New Roman" w:hAnsi="Times New Roman" w:cs="Times New Roman"/>
          <w:color w:val="000000"/>
          <w:kern w:val="0"/>
          <w:lang w:eastAsia="pt-BR"/>
          <w14:ligatures w14:val="none"/>
        </w:rPr>
        <w:t>: Tratamento Nacional; GATS; Saúde; Sistema Financeiro; Regulação; OMC.</w:t>
      </w:r>
    </w:p>
    <w:p w14:paraId="68C82BA9" w14:textId="493D42BE" w:rsidR="001B3920" w:rsidRPr="001B3920" w:rsidRDefault="001B3920" w:rsidP="001B3920">
      <w:pPr>
        <w:rPr>
          <w:rFonts w:ascii="Times New Roman" w:eastAsia="Times New Roman" w:hAnsi="Times New Roman" w:cs="Times New Roman"/>
          <w:kern w:val="0"/>
          <w:lang w:eastAsia="pt-BR"/>
          <w14:ligatures w14:val="none"/>
        </w:rPr>
      </w:pPr>
    </w:p>
    <w:p w14:paraId="623FE57C"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1. Introdução</w:t>
      </w:r>
    </w:p>
    <w:p w14:paraId="48539FE3"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O Acordo Geral sobre Comércio de Serviços (GATS), firmado no âmbito da OMC em 1995, estabelece regras multilaterais para o comércio internacional de serviços. Entre seus princípios fundamentais está o Tratamento Nacional (TN), que obriga os países-membros a estenderem aos prestadores estrangeiros as mesmas condições legais e regulatórias oferecidas aos prestadores locais. A aplicação do TN deve, contudo, considerar especificidades setoriais e o impacto sobre políticas públicas nacionais, especialmente em setores sensíveis como saúde e finanças.</w:t>
      </w:r>
    </w:p>
    <w:p w14:paraId="4B299923"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 presente resenha crítica visa analisar as implicações da adoção do TN no Brasil, com foco em dois setores-chave: saúde e serviços financeiros. Cada um será examinado em três subsetores distintos e por diferentes modos de prestação, conforme a classificação do GATS. A análise articula os riscos, oportunidades e conflitos regulatórios decorrentes da equiparação de tratamento entre prestadores nacionais e estrangeiros.</w:t>
      </w:r>
    </w:p>
    <w:p w14:paraId="15E4AD1B" w14:textId="2EC7FCE2" w:rsidR="001B3920" w:rsidRPr="001B3920" w:rsidRDefault="001B3920" w:rsidP="001B3920">
      <w:pPr>
        <w:rPr>
          <w:rFonts w:ascii="Times New Roman" w:eastAsia="Times New Roman" w:hAnsi="Times New Roman" w:cs="Times New Roman"/>
          <w:kern w:val="0"/>
          <w:lang w:eastAsia="pt-BR"/>
          <w14:ligatures w14:val="none"/>
        </w:rPr>
      </w:pPr>
    </w:p>
    <w:p w14:paraId="00D1B30A"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2. Aplicação do Tratamento Nacional no Setor de Saúde</w:t>
      </w:r>
    </w:p>
    <w:p w14:paraId="07CE2C07"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lastRenderedPageBreak/>
        <w:t>2.1 Planos de Saúde (Modo 3 – Presença Comercial)</w:t>
      </w:r>
    </w:p>
    <w:p w14:paraId="0B7BAE29"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 xml:space="preserve">A entrada de grandes operadoras internacionais (como Allianz, </w:t>
      </w:r>
      <w:proofErr w:type="spellStart"/>
      <w:r w:rsidRPr="001B3920">
        <w:rPr>
          <w:rFonts w:ascii="Times New Roman" w:eastAsia="Times New Roman" w:hAnsi="Times New Roman" w:cs="Times New Roman"/>
          <w:color w:val="000000"/>
          <w:kern w:val="0"/>
          <w:lang w:eastAsia="pt-BR"/>
          <w14:ligatures w14:val="none"/>
        </w:rPr>
        <w:t>Bupa</w:t>
      </w:r>
      <w:proofErr w:type="spellEnd"/>
      <w:r w:rsidRPr="001B3920">
        <w:rPr>
          <w:rFonts w:ascii="Times New Roman" w:eastAsia="Times New Roman" w:hAnsi="Times New Roman" w:cs="Times New Roman"/>
          <w:color w:val="000000"/>
          <w:kern w:val="0"/>
          <w:lang w:eastAsia="pt-BR"/>
          <w14:ligatures w14:val="none"/>
        </w:rPr>
        <w:t xml:space="preserve"> e </w:t>
      </w:r>
      <w:proofErr w:type="spellStart"/>
      <w:r w:rsidRPr="001B3920">
        <w:rPr>
          <w:rFonts w:ascii="Times New Roman" w:eastAsia="Times New Roman" w:hAnsi="Times New Roman" w:cs="Times New Roman"/>
          <w:color w:val="000000"/>
          <w:kern w:val="0"/>
          <w:lang w:eastAsia="pt-BR"/>
          <w14:ligatures w14:val="none"/>
        </w:rPr>
        <w:t>UnitedHealth</w:t>
      </w:r>
      <w:proofErr w:type="spellEnd"/>
      <w:r w:rsidRPr="001B3920">
        <w:rPr>
          <w:rFonts w:ascii="Times New Roman" w:eastAsia="Times New Roman" w:hAnsi="Times New Roman" w:cs="Times New Roman"/>
          <w:color w:val="000000"/>
          <w:kern w:val="0"/>
          <w:lang w:eastAsia="pt-BR"/>
          <w14:ligatures w14:val="none"/>
        </w:rPr>
        <w:t>) representa um risco à concorrência e à sustentabilidade do SUS. O domínio de mercado por conglomerados estrangeiros tende à oligopolização e à elevação de preços. A ausência de contrapartidas pode favorecer a evasão fiscal e a marginalização de usuários com menor poder aquisitivo.</w:t>
      </w:r>
    </w:p>
    <w:p w14:paraId="22D520EB"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exigir contrapartidas sociais como a destinação de parte dos lucros ao financiamento do SUS, além de impor limites à concentração de mercado.</w:t>
      </w:r>
    </w:p>
    <w:p w14:paraId="655C942C" w14:textId="13408F59" w:rsidR="001B3920" w:rsidRPr="001B3920" w:rsidRDefault="001B3920" w:rsidP="001B3920">
      <w:pPr>
        <w:rPr>
          <w:rFonts w:ascii="Times New Roman" w:eastAsia="Times New Roman" w:hAnsi="Times New Roman" w:cs="Times New Roman"/>
          <w:kern w:val="0"/>
          <w:lang w:eastAsia="pt-BR"/>
          <w14:ligatures w14:val="none"/>
        </w:rPr>
      </w:pPr>
    </w:p>
    <w:p w14:paraId="2BAD5868"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t>2.2 Hospitais Privados (Modo 3 – Presença Comercial / Modo 2 – Consumo no exterior)</w:t>
      </w:r>
    </w:p>
    <w:p w14:paraId="342545AE"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 compra de hospitais por fundos de investimento estrangeiros pode resultar em padronização comercial da saúde, aumento de custos e redução da qualidade do serviço. Paralelamente, a busca por atendimento no exterior (Modo 2) por brasileiros de alta renda pode intensificar desigualdades e desviar recursos do sistema público.</w:t>
      </w:r>
    </w:p>
    <w:p w14:paraId="14EEEB05"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vincular a operação de grupos estrangeiros a exigências regulatórias e cotas de atendimento via SUS; estimular a internacionalização do SUS em regiões fronteiriças com regulação binacional.</w:t>
      </w:r>
    </w:p>
    <w:p w14:paraId="2CBAEB3F" w14:textId="7BF9C913" w:rsidR="001B3920" w:rsidRPr="001B3920" w:rsidRDefault="001B3920" w:rsidP="001B3920">
      <w:pPr>
        <w:rPr>
          <w:rFonts w:ascii="Times New Roman" w:eastAsia="Times New Roman" w:hAnsi="Times New Roman" w:cs="Times New Roman"/>
          <w:kern w:val="0"/>
          <w:lang w:eastAsia="pt-BR"/>
          <w14:ligatures w14:val="none"/>
        </w:rPr>
      </w:pPr>
    </w:p>
    <w:p w14:paraId="19DF8DDB"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t>2.3 Telemedicina e Plataformas Digitais (Modo 1 – Transfronteiriço)</w:t>
      </w:r>
    </w:p>
    <w:p w14:paraId="3051C65A"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 prestação de serviços de saúde à distância por empresas estrangeiras sem regulação nacional representa riscos à segurança sanitária e à qualidade do atendimento. Plataformas digitais baseadas fora do país podem escapar da fiscalização da ANVISA e do Conselho Federal de Medicina.</w:t>
      </w:r>
    </w:p>
    <w:p w14:paraId="4C334296"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exigir registro nacional e conformidade com normas técnicas para qualquer operação digital estrangeira, sob risco de bloqueio de serviços irregulares.</w:t>
      </w:r>
    </w:p>
    <w:p w14:paraId="658E50CD" w14:textId="562F9F29" w:rsidR="001B3920" w:rsidRPr="001B3920" w:rsidRDefault="001B3920" w:rsidP="001B3920">
      <w:pPr>
        <w:rPr>
          <w:rFonts w:ascii="Times New Roman" w:eastAsia="Times New Roman" w:hAnsi="Times New Roman" w:cs="Times New Roman"/>
          <w:kern w:val="0"/>
          <w:lang w:eastAsia="pt-BR"/>
          <w14:ligatures w14:val="none"/>
        </w:rPr>
      </w:pPr>
    </w:p>
    <w:p w14:paraId="1FBEC049"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3. Aplicação do Tratamento Nacional em Serviços Financeiros</w:t>
      </w:r>
    </w:p>
    <w:p w14:paraId="73E37500"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t>3.1 Bancos e Instituições de Crédito (Modo 3 – Presença Comercial)</w:t>
      </w:r>
    </w:p>
    <w:p w14:paraId="780C81F3" w14:textId="3051C755"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 xml:space="preserve">A entrada de bancos estrangeiros no Brasil, como Santander, já é realidade. Embora possa ampliar a concorrência e a oferta de crédito, a equiparação plena pode comprometer políticas públicas de desenvolvimento, como crédito subsidiado e programas sociais </w:t>
      </w:r>
      <w:proofErr w:type="spellStart"/>
      <w:r w:rsidRPr="001B3920">
        <w:rPr>
          <w:rFonts w:ascii="Times New Roman" w:eastAsia="Times New Roman" w:hAnsi="Times New Roman" w:cs="Times New Roman"/>
          <w:color w:val="000000"/>
          <w:kern w:val="0"/>
          <w:lang w:eastAsia="pt-BR"/>
          <w14:ligatures w14:val="none"/>
        </w:rPr>
        <w:t>bancarizados</w:t>
      </w:r>
      <w:proofErr w:type="spellEnd"/>
      <w:r w:rsidRPr="001B3920">
        <w:rPr>
          <w:rFonts w:ascii="Times New Roman" w:eastAsia="Times New Roman" w:hAnsi="Times New Roman" w:cs="Times New Roman"/>
          <w:color w:val="000000"/>
          <w:kern w:val="0"/>
          <w:lang w:eastAsia="pt-BR"/>
          <w14:ligatures w14:val="none"/>
        </w:rPr>
        <w:t>.</w:t>
      </w:r>
    </w:p>
    <w:p w14:paraId="12E23859"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lastRenderedPageBreak/>
        <w:t>Risco</w:t>
      </w:r>
      <w:r w:rsidRPr="001B3920">
        <w:rPr>
          <w:rFonts w:ascii="Times New Roman" w:eastAsia="Times New Roman" w:hAnsi="Times New Roman" w:cs="Times New Roman"/>
          <w:color w:val="000000"/>
          <w:kern w:val="0"/>
          <w:lang w:eastAsia="pt-BR"/>
          <w14:ligatures w14:val="none"/>
        </w:rPr>
        <w:t>: desregulação de tarifas e produtos financeiros, redução da capacidade do Estado de induzir o desenvolvimento.</w:t>
      </w:r>
    </w:p>
    <w:p w14:paraId="0B98658F"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manter exigências prudenciais diferenciadas e assegurar que instituições estrangeiras operem sob supervisão integral do Banco Central.</w:t>
      </w:r>
    </w:p>
    <w:p w14:paraId="707CCD67" w14:textId="6D19A5F7" w:rsidR="001B3920" w:rsidRPr="001B3920" w:rsidRDefault="001B3920" w:rsidP="001B3920">
      <w:pPr>
        <w:rPr>
          <w:rFonts w:ascii="Times New Roman" w:eastAsia="Times New Roman" w:hAnsi="Times New Roman" w:cs="Times New Roman"/>
          <w:kern w:val="0"/>
          <w:lang w:eastAsia="pt-BR"/>
          <w14:ligatures w14:val="none"/>
        </w:rPr>
      </w:pPr>
    </w:p>
    <w:p w14:paraId="7EE0D9EE"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t>3.2 Fintechs e Serviços Digitais de Pagamento (Modo 1 – Transfronteiriço / Modo 3)</w:t>
      </w:r>
    </w:p>
    <w:p w14:paraId="131586DC"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 xml:space="preserve">Empresas como </w:t>
      </w:r>
      <w:proofErr w:type="spellStart"/>
      <w:r w:rsidRPr="001B3920">
        <w:rPr>
          <w:rFonts w:ascii="Times New Roman" w:eastAsia="Times New Roman" w:hAnsi="Times New Roman" w:cs="Times New Roman"/>
          <w:color w:val="000000"/>
          <w:kern w:val="0"/>
          <w:lang w:eastAsia="pt-BR"/>
          <w14:ligatures w14:val="none"/>
        </w:rPr>
        <w:t>Stripe</w:t>
      </w:r>
      <w:proofErr w:type="spellEnd"/>
      <w:r w:rsidRPr="001B3920">
        <w:rPr>
          <w:rFonts w:ascii="Times New Roman" w:eastAsia="Times New Roman" w:hAnsi="Times New Roman" w:cs="Times New Roman"/>
          <w:color w:val="000000"/>
          <w:kern w:val="0"/>
          <w:lang w:eastAsia="pt-BR"/>
          <w14:ligatures w14:val="none"/>
        </w:rPr>
        <w:t xml:space="preserve">, Paypal e </w:t>
      </w:r>
      <w:proofErr w:type="spellStart"/>
      <w:r w:rsidRPr="001B3920">
        <w:rPr>
          <w:rFonts w:ascii="Times New Roman" w:eastAsia="Times New Roman" w:hAnsi="Times New Roman" w:cs="Times New Roman"/>
          <w:color w:val="000000"/>
          <w:kern w:val="0"/>
          <w:lang w:eastAsia="pt-BR"/>
          <w14:ligatures w14:val="none"/>
        </w:rPr>
        <w:t>Revolut</w:t>
      </w:r>
      <w:proofErr w:type="spellEnd"/>
      <w:r w:rsidRPr="001B3920">
        <w:rPr>
          <w:rFonts w:ascii="Times New Roman" w:eastAsia="Times New Roman" w:hAnsi="Times New Roman" w:cs="Times New Roman"/>
          <w:color w:val="000000"/>
          <w:kern w:val="0"/>
          <w:lang w:eastAsia="pt-BR"/>
          <w14:ligatures w14:val="none"/>
        </w:rPr>
        <w:t xml:space="preserve"> oferecem serviços digitais sem sede no país. A entrada irrestrita dessas plataformas pode reduzir a competitividade de empresas nacionais e dificultar o controle fiscal, monetário e regulatório.</w:t>
      </w:r>
    </w:p>
    <w:p w14:paraId="3BE36217"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Risco</w:t>
      </w:r>
      <w:r w:rsidRPr="001B3920">
        <w:rPr>
          <w:rFonts w:ascii="Times New Roman" w:eastAsia="Times New Roman" w:hAnsi="Times New Roman" w:cs="Times New Roman"/>
          <w:color w:val="000000"/>
          <w:kern w:val="0"/>
          <w:lang w:eastAsia="pt-BR"/>
          <w14:ligatures w14:val="none"/>
        </w:rPr>
        <w:t>: evasão fiscal, lavagem de dinheiro e instabilidade cambial.</w:t>
      </w:r>
    </w:p>
    <w:p w14:paraId="1D36E0BA"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obrigatoriedade de presença jurídica no Brasil e cumprimento das diretrizes do Banco Central e do COAF.</w:t>
      </w:r>
    </w:p>
    <w:p w14:paraId="5D580746" w14:textId="4DC080CA" w:rsidR="001B3920" w:rsidRPr="001B3920" w:rsidRDefault="001B3920" w:rsidP="001B3920">
      <w:pPr>
        <w:rPr>
          <w:rFonts w:ascii="Times New Roman" w:eastAsia="Times New Roman" w:hAnsi="Times New Roman" w:cs="Times New Roman"/>
          <w:kern w:val="0"/>
          <w:lang w:eastAsia="pt-BR"/>
          <w14:ligatures w14:val="none"/>
        </w:rPr>
      </w:pPr>
    </w:p>
    <w:p w14:paraId="151C021E" w14:textId="77777777" w:rsidR="001B3920" w:rsidRPr="001B3920" w:rsidRDefault="001B3920" w:rsidP="001B3920">
      <w:pPr>
        <w:spacing w:before="100" w:beforeAutospacing="1" w:after="100" w:afterAutospacing="1"/>
        <w:outlineLvl w:val="2"/>
        <w:rPr>
          <w:rFonts w:ascii="Times New Roman" w:eastAsia="Times New Roman" w:hAnsi="Times New Roman" w:cs="Times New Roman"/>
          <w:b/>
          <w:bCs/>
          <w:color w:val="000000"/>
          <w:kern w:val="0"/>
          <w:sz w:val="27"/>
          <w:szCs w:val="27"/>
          <w:lang w:eastAsia="pt-BR"/>
          <w14:ligatures w14:val="none"/>
        </w:rPr>
      </w:pPr>
      <w:r w:rsidRPr="001B3920">
        <w:rPr>
          <w:rFonts w:ascii="Times New Roman" w:eastAsia="Times New Roman" w:hAnsi="Times New Roman" w:cs="Times New Roman"/>
          <w:b/>
          <w:bCs/>
          <w:color w:val="000000"/>
          <w:kern w:val="0"/>
          <w:sz w:val="27"/>
          <w:szCs w:val="27"/>
          <w:lang w:eastAsia="pt-BR"/>
          <w14:ligatures w14:val="none"/>
        </w:rPr>
        <w:t xml:space="preserve">3.3 Seguros e </w:t>
      </w:r>
      <w:proofErr w:type="spellStart"/>
      <w:r w:rsidRPr="001B3920">
        <w:rPr>
          <w:rFonts w:ascii="Times New Roman" w:eastAsia="Times New Roman" w:hAnsi="Times New Roman" w:cs="Times New Roman"/>
          <w:b/>
          <w:bCs/>
          <w:color w:val="000000"/>
          <w:kern w:val="0"/>
          <w:sz w:val="27"/>
          <w:szCs w:val="27"/>
          <w:lang w:eastAsia="pt-BR"/>
          <w14:ligatures w14:val="none"/>
        </w:rPr>
        <w:t>Reseguros</w:t>
      </w:r>
      <w:proofErr w:type="spellEnd"/>
      <w:r w:rsidRPr="001B3920">
        <w:rPr>
          <w:rFonts w:ascii="Times New Roman" w:eastAsia="Times New Roman" w:hAnsi="Times New Roman" w:cs="Times New Roman"/>
          <w:b/>
          <w:bCs/>
          <w:color w:val="000000"/>
          <w:kern w:val="0"/>
          <w:sz w:val="27"/>
          <w:szCs w:val="27"/>
          <w:lang w:eastAsia="pt-BR"/>
          <w14:ligatures w14:val="none"/>
        </w:rPr>
        <w:t xml:space="preserve"> (Modo 4 – Movimento de Pessoas Físicas / Modo 3)</w:t>
      </w:r>
    </w:p>
    <w:p w14:paraId="6E89EBC6"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 atuação de seguradoras estrangeiras no Brasil exige regulação rigorosa para evitar a evasão de capitais e o enfraquecimento da proteção ao consumidor. A movimentação de especialistas estrangeiros (Modo 4) também deve seguir critérios técnicos, sob risco de substituição de competências locais.</w:t>
      </w:r>
    </w:p>
    <w:p w14:paraId="3C26F195"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Proposta</w:t>
      </w:r>
      <w:r w:rsidRPr="001B3920">
        <w:rPr>
          <w:rFonts w:ascii="Times New Roman" w:eastAsia="Times New Roman" w:hAnsi="Times New Roman" w:cs="Times New Roman"/>
          <w:color w:val="000000"/>
          <w:kern w:val="0"/>
          <w:lang w:eastAsia="pt-BR"/>
          <w14:ligatures w14:val="none"/>
        </w:rPr>
        <w:t>: limitar a participação estrangeira em setores estratégicos como o seguro agrícola e exigir reinvestimento local; manter exigências de revalidação profissional e idioma para especialistas estrangeiros.</w:t>
      </w:r>
    </w:p>
    <w:p w14:paraId="3D0EB520" w14:textId="28DF2583" w:rsidR="001B3920" w:rsidRPr="001B3920" w:rsidRDefault="001B3920" w:rsidP="001B3920">
      <w:pPr>
        <w:rPr>
          <w:rFonts w:ascii="Times New Roman" w:eastAsia="Times New Roman" w:hAnsi="Times New Roman" w:cs="Times New Roman"/>
          <w:kern w:val="0"/>
          <w:lang w:eastAsia="pt-BR"/>
          <w14:ligatures w14:val="none"/>
        </w:rPr>
      </w:pPr>
    </w:p>
    <w:p w14:paraId="784757DA"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4. Considerações Finais: Proposta de Posição Brasileira</w:t>
      </w:r>
    </w:p>
    <w:p w14:paraId="64022E1E"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 análise dos setores de saúde e serviços financeiros demonstra que a aplicação automática e irrestrita do princípio do Tratamento Nacional no Brasil pode produzir efeitos colaterais graves, como:</w:t>
      </w:r>
    </w:p>
    <w:p w14:paraId="42B032B4" w14:textId="77777777" w:rsidR="001B3920" w:rsidRPr="001B3920" w:rsidRDefault="001B3920" w:rsidP="001B3920">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Enfraquecimento da capacidade regulatória nacional;</w:t>
      </w:r>
    </w:p>
    <w:p w14:paraId="7C95FC41" w14:textId="77777777" w:rsidR="001B3920" w:rsidRPr="001B3920" w:rsidRDefault="001B3920" w:rsidP="001B3920">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Aumento de desigualdades no acesso a serviços essenciais;</w:t>
      </w:r>
    </w:p>
    <w:p w14:paraId="20FB33CA" w14:textId="77777777" w:rsidR="001B3920" w:rsidRPr="001B3920" w:rsidRDefault="001B3920" w:rsidP="001B3920">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Desnacionalização de setores estratégicos;</w:t>
      </w:r>
    </w:p>
    <w:p w14:paraId="5FFE8EB1" w14:textId="77777777" w:rsidR="001B3920" w:rsidRPr="001B3920" w:rsidRDefault="001B3920" w:rsidP="001B3920">
      <w:pPr>
        <w:numPr>
          <w:ilvl w:val="0"/>
          <w:numId w:val="1"/>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Riscos fiscais e cambiais não monitorados.</w:t>
      </w:r>
    </w:p>
    <w:p w14:paraId="43B512FD"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Diante disso, o Brasil deve adotar uma postura </w:t>
      </w:r>
      <w:r w:rsidRPr="001B3920">
        <w:rPr>
          <w:rFonts w:ascii="Times New Roman" w:eastAsia="Times New Roman" w:hAnsi="Times New Roman" w:cs="Times New Roman"/>
          <w:b/>
          <w:bCs/>
          <w:color w:val="000000"/>
          <w:kern w:val="0"/>
          <w:lang w:eastAsia="pt-BR"/>
          <w14:ligatures w14:val="none"/>
        </w:rPr>
        <w:t>estratégica e seletiva</w:t>
      </w:r>
      <w:r w:rsidRPr="001B3920">
        <w:rPr>
          <w:rFonts w:ascii="Times New Roman" w:eastAsia="Times New Roman" w:hAnsi="Times New Roman" w:cs="Times New Roman"/>
          <w:color w:val="000000"/>
          <w:kern w:val="0"/>
          <w:lang w:eastAsia="pt-BR"/>
          <w14:ligatures w14:val="none"/>
        </w:rPr>
        <w:t>, pautada por:</w:t>
      </w:r>
    </w:p>
    <w:p w14:paraId="14A642F6" w14:textId="77777777" w:rsidR="001B3920" w:rsidRPr="001B3920" w:rsidRDefault="001B3920" w:rsidP="001B3920">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lastRenderedPageBreak/>
        <w:t>Reservas específicas no GATS</w:t>
      </w:r>
      <w:r w:rsidRPr="001B3920">
        <w:rPr>
          <w:rFonts w:ascii="Times New Roman" w:eastAsia="Times New Roman" w:hAnsi="Times New Roman" w:cs="Times New Roman"/>
          <w:color w:val="000000"/>
          <w:kern w:val="0"/>
          <w:lang w:eastAsia="pt-BR"/>
          <w14:ligatures w14:val="none"/>
        </w:rPr>
        <w:t> para setores sensíveis, garantindo margem de manobra regulatória;</w:t>
      </w:r>
    </w:p>
    <w:p w14:paraId="4963A30B" w14:textId="77777777" w:rsidR="001B3920" w:rsidRPr="001B3920" w:rsidRDefault="001B3920" w:rsidP="001B3920">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Contrapartidas obrigatórias</w:t>
      </w:r>
      <w:r w:rsidRPr="001B3920">
        <w:rPr>
          <w:rFonts w:ascii="Times New Roman" w:eastAsia="Times New Roman" w:hAnsi="Times New Roman" w:cs="Times New Roman"/>
          <w:color w:val="000000"/>
          <w:kern w:val="0"/>
          <w:lang w:eastAsia="pt-BR"/>
          <w14:ligatures w14:val="none"/>
        </w:rPr>
        <w:t> para prestadores estrangeiros, vinculadas ao desenvolvimento nacional;</w:t>
      </w:r>
    </w:p>
    <w:p w14:paraId="0E72C85F" w14:textId="77777777" w:rsidR="001B3920" w:rsidRPr="001B3920" w:rsidRDefault="001B3920" w:rsidP="001B3920">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Fortalecimento das capacidades regulatórias internas</w:t>
      </w:r>
      <w:r w:rsidRPr="001B3920">
        <w:rPr>
          <w:rFonts w:ascii="Times New Roman" w:eastAsia="Times New Roman" w:hAnsi="Times New Roman" w:cs="Times New Roman"/>
          <w:color w:val="000000"/>
          <w:kern w:val="0"/>
          <w:lang w:eastAsia="pt-BR"/>
          <w14:ligatures w14:val="none"/>
        </w:rPr>
        <w:t> (ANVISA, CFM, BACEN, CVM);</w:t>
      </w:r>
    </w:p>
    <w:p w14:paraId="647DA326" w14:textId="77777777" w:rsidR="001B3920" w:rsidRPr="001B3920" w:rsidRDefault="001B3920" w:rsidP="001B3920">
      <w:pPr>
        <w:numPr>
          <w:ilvl w:val="0"/>
          <w:numId w:val="2"/>
        </w:num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b/>
          <w:bCs/>
          <w:color w:val="000000"/>
          <w:kern w:val="0"/>
          <w:lang w:eastAsia="pt-BR"/>
          <w14:ligatures w14:val="none"/>
        </w:rPr>
        <w:t>Promoção de parcerias estratégicas e transferência de tecnologia</w:t>
      </w:r>
      <w:r w:rsidRPr="001B3920">
        <w:rPr>
          <w:rFonts w:ascii="Times New Roman" w:eastAsia="Times New Roman" w:hAnsi="Times New Roman" w:cs="Times New Roman"/>
          <w:color w:val="000000"/>
          <w:kern w:val="0"/>
          <w:lang w:eastAsia="pt-BR"/>
          <w14:ligatures w14:val="none"/>
        </w:rPr>
        <w:t>, evitando a substituição de capacidades locais.</w:t>
      </w:r>
    </w:p>
    <w:p w14:paraId="42E8E350" w14:textId="0C4DFA05" w:rsidR="001B3920" w:rsidRPr="001B3920" w:rsidRDefault="001B3920" w:rsidP="001B3920">
      <w:pPr>
        <w:rPr>
          <w:rFonts w:ascii="Times New Roman" w:eastAsia="Times New Roman" w:hAnsi="Times New Roman" w:cs="Times New Roman"/>
          <w:kern w:val="0"/>
          <w:lang w:eastAsia="pt-BR"/>
          <w14:ligatures w14:val="none"/>
        </w:rPr>
      </w:pPr>
    </w:p>
    <w:p w14:paraId="7B654D39" w14:textId="77777777" w:rsidR="001B3920" w:rsidRPr="001B3920" w:rsidRDefault="001B3920" w:rsidP="001B392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B3920">
        <w:rPr>
          <w:rFonts w:ascii="Times New Roman" w:eastAsia="Times New Roman" w:hAnsi="Times New Roman" w:cs="Times New Roman"/>
          <w:b/>
          <w:bCs/>
          <w:color w:val="000000"/>
          <w:kern w:val="0"/>
          <w:sz w:val="36"/>
          <w:szCs w:val="36"/>
          <w:lang w:eastAsia="pt-BR"/>
          <w14:ligatures w14:val="none"/>
        </w:rPr>
        <w:t>Referências</w:t>
      </w:r>
    </w:p>
    <w:p w14:paraId="785089C0"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BRASIL. Constituição da República Federativa do Brasil de 1988. Diário Oficial da União, Brasília, DF, 5 out. 1988. Disponível em: </w:t>
      </w:r>
      <w:hyperlink r:id="rId5" w:history="1">
        <w:r w:rsidRPr="001B3920">
          <w:rPr>
            <w:rFonts w:ascii="Times New Roman" w:eastAsia="Times New Roman" w:hAnsi="Times New Roman" w:cs="Times New Roman"/>
            <w:color w:val="0000FF"/>
            <w:kern w:val="0"/>
            <w:u w:val="single"/>
            <w:lang w:eastAsia="pt-BR"/>
            <w14:ligatures w14:val="none"/>
          </w:rPr>
          <w:t>https://www.planalto.gov.br/ccivil_03/constituicao/constituicao.htm</w:t>
        </w:r>
      </w:hyperlink>
      <w:r w:rsidRPr="001B3920">
        <w:rPr>
          <w:rFonts w:ascii="Times New Roman" w:eastAsia="Times New Roman" w:hAnsi="Times New Roman" w:cs="Times New Roman"/>
          <w:color w:val="000000"/>
          <w:kern w:val="0"/>
          <w:lang w:eastAsia="pt-BR"/>
          <w14:ligatures w14:val="none"/>
        </w:rPr>
        <w:t>.</w:t>
      </w:r>
    </w:p>
    <w:p w14:paraId="44C1894E"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 xml:space="preserve">ORGANIZAÇÃO MUNDIAL DO COMÉRCIO. General </w:t>
      </w:r>
      <w:proofErr w:type="spellStart"/>
      <w:r w:rsidRPr="001B3920">
        <w:rPr>
          <w:rFonts w:ascii="Times New Roman" w:eastAsia="Times New Roman" w:hAnsi="Times New Roman" w:cs="Times New Roman"/>
          <w:color w:val="000000"/>
          <w:kern w:val="0"/>
          <w:lang w:eastAsia="pt-BR"/>
          <w14:ligatures w14:val="none"/>
        </w:rPr>
        <w:t>Agreement</w:t>
      </w:r>
      <w:proofErr w:type="spellEnd"/>
      <w:r w:rsidRPr="001B3920">
        <w:rPr>
          <w:rFonts w:ascii="Times New Roman" w:eastAsia="Times New Roman" w:hAnsi="Times New Roman" w:cs="Times New Roman"/>
          <w:color w:val="000000"/>
          <w:kern w:val="0"/>
          <w:lang w:eastAsia="pt-BR"/>
          <w14:ligatures w14:val="none"/>
        </w:rPr>
        <w:t xml:space="preserve"> </w:t>
      </w:r>
      <w:proofErr w:type="spellStart"/>
      <w:r w:rsidRPr="001B3920">
        <w:rPr>
          <w:rFonts w:ascii="Times New Roman" w:eastAsia="Times New Roman" w:hAnsi="Times New Roman" w:cs="Times New Roman"/>
          <w:color w:val="000000"/>
          <w:kern w:val="0"/>
          <w:lang w:eastAsia="pt-BR"/>
          <w14:ligatures w14:val="none"/>
        </w:rPr>
        <w:t>on</w:t>
      </w:r>
      <w:proofErr w:type="spellEnd"/>
      <w:r w:rsidRPr="001B3920">
        <w:rPr>
          <w:rFonts w:ascii="Times New Roman" w:eastAsia="Times New Roman" w:hAnsi="Times New Roman" w:cs="Times New Roman"/>
          <w:color w:val="000000"/>
          <w:kern w:val="0"/>
          <w:lang w:eastAsia="pt-BR"/>
          <w14:ligatures w14:val="none"/>
        </w:rPr>
        <w:t xml:space="preserve"> Trade in Services – GATS. Genebra, 1995. Disponível em: </w:t>
      </w:r>
      <w:hyperlink r:id="rId6" w:history="1">
        <w:r w:rsidRPr="001B3920">
          <w:rPr>
            <w:rFonts w:ascii="Times New Roman" w:eastAsia="Times New Roman" w:hAnsi="Times New Roman" w:cs="Times New Roman"/>
            <w:color w:val="0000FF"/>
            <w:kern w:val="0"/>
            <w:u w:val="single"/>
            <w:lang w:eastAsia="pt-BR"/>
            <w14:ligatures w14:val="none"/>
          </w:rPr>
          <w:t>https://www.wto.org/</w:t>
        </w:r>
        <w:proofErr w:type="spellStart"/>
        <w:r w:rsidRPr="001B3920">
          <w:rPr>
            <w:rFonts w:ascii="Times New Roman" w:eastAsia="Times New Roman" w:hAnsi="Times New Roman" w:cs="Times New Roman"/>
            <w:color w:val="0000FF"/>
            <w:kern w:val="0"/>
            <w:u w:val="single"/>
            <w:lang w:eastAsia="pt-BR"/>
            <w14:ligatures w14:val="none"/>
          </w:rPr>
          <w:t>english</w:t>
        </w:r>
        <w:proofErr w:type="spellEnd"/>
        <w:r w:rsidRPr="001B3920">
          <w:rPr>
            <w:rFonts w:ascii="Times New Roman" w:eastAsia="Times New Roman" w:hAnsi="Times New Roman" w:cs="Times New Roman"/>
            <w:color w:val="0000FF"/>
            <w:kern w:val="0"/>
            <w:u w:val="single"/>
            <w:lang w:eastAsia="pt-BR"/>
            <w14:ligatures w14:val="none"/>
          </w:rPr>
          <w:t>/</w:t>
        </w:r>
        <w:proofErr w:type="spellStart"/>
        <w:r w:rsidRPr="001B3920">
          <w:rPr>
            <w:rFonts w:ascii="Times New Roman" w:eastAsia="Times New Roman" w:hAnsi="Times New Roman" w:cs="Times New Roman"/>
            <w:color w:val="0000FF"/>
            <w:kern w:val="0"/>
            <w:u w:val="single"/>
            <w:lang w:eastAsia="pt-BR"/>
            <w14:ligatures w14:val="none"/>
          </w:rPr>
          <w:t>tratop_e</w:t>
        </w:r>
        <w:proofErr w:type="spellEnd"/>
        <w:r w:rsidRPr="001B3920">
          <w:rPr>
            <w:rFonts w:ascii="Times New Roman" w:eastAsia="Times New Roman" w:hAnsi="Times New Roman" w:cs="Times New Roman"/>
            <w:color w:val="0000FF"/>
            <w:kern w:val="0"/>
            <w:u w:val="single"/>
            <w:lang w:eastAsia="pt-BR"/>
            <w14:ligatures w14:val="none"/>
          </w:rPr>
          <w:t>/</w:t>
        </w:r>
        <w:proofErr w:type="spellStart"/>
        <w:r w:rsidRPr="001B3920">
          <w:rPr>
            <w:rFonts w:ascii="Times New Roman" w:eastAsia="Times New Roman" w:hAnsi="Times New Roman" w:cs="Times New Roman"/>
            <w:color w:val="0000FF"/>
            <w:kern w:val="0"/>
            <w:u w:val="single"/>
            <w:lang w:eastAsia="pt-BR"/>
            <w14:ligatures w14:val="none"/>
          </w:rPr>
          <w:t>serv_e</w:t>
        </w:r>
        <w:proofErr w:type="spellEnd"/>
        <w:r w:rsidRPr="001B3920">
          <w:rPr>
            <w:rFonts w:ascii="Times New Roman" w:eastAsia="Times New Roman" w:hAnsi="Times New Roman" w:cs="Times New Roman"/>
            <w:color w:val="0000FF"/>
            <w:kern w:val="0"/>
            <w:u w:val="single"/>
            <w:lang w:eastAsia="pt-BR"/>
            <w14:ligatures w14:val="none"/>
          </w:rPr>
          <w:t>/gatsqa_e.htm</w:t>
        </w:r>
      </w:hyperlink>
      <w:r w:rsidRPr="001B3920">
        <w:rPr>
          <w:rFonts w:ascii="Times New Roman" w:eastAsia="Times New Roman" w:hAnsi="Times New Roman" w:cs="Times New Roman"/>
          <w:color w:val="000000"/>
          <w:kern w:val="0"/>
          <w:lang w:eastAsia="pt-BR"/>
          <w14:ligatures w14:val="none"/>
        </w:rPr>
        <w:t>.</w:t>
      </w:r>
    </w:p>
    <w:p w14:paraId="4FBD473B"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 xml:space="preserve">PINHEIRO, </w:t>
      </w:r>
      <w:proofErr w:type="spellStart"/>
      <w:r w:rsidRPr="001B3920">
        <w:rPr>
          <w:rFonts w:ascii="Times New Roman" w:eastAsia="Times New Roman" w:hAnsi="Times New Roman" w:cs="Times New Roman"/>
          <w:color w:val="000000"/>
          <w:kern w:val="0"/>
          <w:lang w:eastAsia="pt-BR"/>
          <w14:ligatures w14:val="none"/>
        </w:rPr>
        <w:t>Roseni</w:t>
      </w:r>
      <w:proofErr w:type="spellEnd"/>
      <w:r w:rsidRPr="001B3920">
        <w:rPr>
          <w:rFonts w:ascii="Times New Roman" w:eastAsia="Times New Roman" w:hAnsi="Times New Roman" w:cs="Times New Roman"/>
          <w:color w:val="000000"/>
          <w:kern w:val="0"/>
          <w:lang w:eastAsia="pt-BR"/>
          <w14:ligatures w14:val="none"/>
        </w:rPr>
        <w:t>; TRAVASSOS, Claudia. O impacto da privatização e financeirização na saúde brasileira. </w:t>
      </w:r>
      <w:r w:rsidRPr="001B3920">
        <w:rPr>
          <w:rFonts w:ascii="Times New Roman" w:eastAsia="Times New Roman" w:hAnsi="Times New Roman" w:cs="Times New Roman"/>
          <w:i/>
          <w:iCs/>
          <w:color w:val="000000"/>
          <w:kern w:val="0"/>
          <w:lang w:eastAsia="pt-BR"/>
          <w14:ligatures w14:val="none"/>
        </w:rPr>
        <w:t>Revista Saúde em Debate</w:t>
      </w:r>
      <w:r w:rsidRPr="001B3920">
        <w:rPr>
          <w:rFonts w:ascii="Times New Roman" w:eastAsia="Times New Roman" w:hAnsi="Times New Roman" w:cs="Times New Roman"/>
          <w:color w:val="000000"/>
          <w:kern w:val="0"/>
          <w:lang w:eastAsia="pt-BR"/>
          <w14:ligatures w14:val="none"/>
        </w:rPr>
        <w:t>, Rio de Janeiro, v. 41, p. 85-95, 2017.</w:t>
      </w:r>
    </w:p>
    <w:p w14:paraId="2B6290BB"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BANCO CENTRAL DO BRASIL. Regulação de fintechs e instituições financeiras. Disponível em: </w:t>
      </w:r>
      <w:hyperlink r:id="rId7" w:history="1">
        <w:r w:rsidRPr="001B3920">
          <w:rPr>
            <w:rFonts w:ascii="Times New Roman" w:eastAsia="Times New Roman" w:hAnsi="Times New Roman" w:cs="Times New Roman"/>
            <w:color w:val="0000FF"/>
            <w:kern w:val="0"/>
            <w:u w:val="single"/>
            <w:lang w:eastAsia="pt-BR"/>
            <w14:ligatures w14:val="none"/>
          </w:rPr>
          <w:t>https://www.bcb.gov.br</w:t>
        </w:r>
      </w:hyperlink>
      <w:r w:rsidRPr="001B3920">
        <w:rPr>
          <w:rFonts w:ascii="Times New Roman" w:eastAsia="Times New Roman" w:hAnsi="Times New Roman" w:cs="Times New Roman"/>
          <w:color w:val="000000"/>
          <w:kern w:val="0"/>
          <w:lang w:eastAsia="pt-BR"/>
          <w14:ligatures w14:val="none"/>
        </w:rPr>
        <w:t>.</w:t>
      </w:r>
    </w:p>
    <w:p w14:paraId="7F5717CB"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SUPERINTENDÊNCIA DE SEGUROS PRIVADOS (SUSEP). Marco regulatório do mercado de seguros. Disponível em: </w:t>
      </w:r>
      <w:hyperlink r:id="rId8" w:history="1">
        <w:r w:rsidRPr="001B3920">
          <w:rPr>
            <w:rFonts w:ascii="Times New Roman" w:eastAsia="Times New Roman" w:hAnsi="Times New Roman" w:cs="Times New Roman"/>
            <w:color w:val="0000FF"/>
            <w:kern w:val="0"/>
            <w:u w:val="single"/>
            <w:lang w:eastAsia="pt-BR"/>
            <w14:ligatures w14:val="none"/>
          </w:rPr>
          <w:t>https://www.gov.br/</w:t>
        </w:r>
        <w:proofErr w:type="spellStart"/>
        <w:r w:rsidRPr="001B3920">
          <w:rPr>
            <w:rFonts w:ascii="Times New Roman" w:eastAsia="Times New Roman" w:hAnsi="Times New Roman" w:cs="Times New Roman"/>
            <w:color w:val="0000FF"/>
            <w:kern w:val="0"/>
            <w:u w:val="single"/>
            <w:lang w:eastAsia="pt-BR"/>
            <w14:ligatures w14:val="none"/>
          </w:rPr>
          <w:t>susep</w:t>
        </w:r>
        <w:proofErr w:type="spellEnd"/>
      </w:hyperlink>
      <w:r w:rsidRPr="001B3920">
        <w:rPr>
          <w:rFonts w:ascii="Times New Roman" w:eastAsia="Times New Roman" w:hAnsi="Times New Roman" w:cs="Times New Roman"/>
          <w:color w:val="000000"/>
          <w:kern w:val="0"/>
          <w:lang w:eastAsia="pt-BR"/>
          <w14:ligatures w14:val="none"/>
        </w:rPr>
        <w:t>.</w:t>
      </w:r>
    </w:p>
    <w:p w14:paraId="4B38B9FC"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AGÊNCIA NACIONAL DE SAÚDE SUPLEMENTAR (ANS). Disponível em: </w:t>
      </w:r>
      <w:hyperlink r:id="rId9" w:history="1">
        <w:r w:rsidRPr="001B3920">
          <w:rPr>
            <w:rFonts w:ascii="Times New Roman" w:eastAsia="Times New Roman" w:hAnsi="Times New Roman" w:cs="Times New Roman"/>
            <w:color w:val="0000FF"/>
            <w:kern w:val="0"/>
            <w:u w:val="single"/>
            <w:lang w:eastAsia="pt-BR"/>
            <w14:ligatures w14:val="none"/>
          </w:rPr>
          <w:t>https://www.gov.br/</w:t>
        </w:r>
        <w:proofErr w:type="spellStart"/>
        <w:r w:rsidRPr="001B3920">
          <w:rPr>
            <w:rFonts w:ascii="Times New Roman" w:eastAsia="Times New Roman" w:hAnsi="Times New Roman" w:cs="Times New Roman"/>
            <w:color w:val="0000FF"/>
            <w:kern w:val="0"/>
            <w:u w:val="single"/>
            <w:lang w:eastAsia="pt-BR"/>
            <w14:ligatures w14:val="none"/>
          </w:rPr>
          <w:t>ans</w:t>
        </w:r>
        <w:proofErr w:type="spellEnd"/>
        <w:r w:rsidRPr="001B3920">
          <w:rPr>
            <w:rFonts w:ascii="Times New Roman" w:eastAsia="Times New Roman" w:hAnsi="Times New Roman" w:cs="Times New Roman"/>
            <w:color w:val="0000FF"/>
            <w:kern w:val="0"/>
            <w:u w:val="single"/>
            <w:lang w:eastAsia="pt-BR"/>
            <w14:ligatures w14:val="none"/>
          </w:rPr>
          <w:t>/</w:t>
        </w:r>
        <w:proofErr w:type="spellStart"/>
        <w:r w:rsidRPr="001B3920">
          <w:rPr>
            <w:rFonts w:ascii="Times New Roman" w:eastAsia="Times New Roman" w:hAnsi="Times New Roman" w:cs="Times New Roman"/>
            <w:color w:val="0000FF"/>
            <w:kern w:val="0"/>
            <w:u w:val="single"/>
            <w:lang w:eastAsia="pt-BR"/>
            <w14:ligatures w14:val="none"/>
          </w:rPr>
          <w:t>pt</w:t>
        </w:r>
        <w:proofErr w:type="spellEnd"/>
        <w:r w:rsidRPr="001B3920">
          <w:rPr>
            <w:rFonts w:ascii="Times New Roman" w:eastAsia="Times New Roman" w:hAnsi="Times New Roman" w:cs="Times New Roman"/>
            <w:color w:val="0000FF"/>
            <w:kern w:val="0"/>
            <w:u w:val="single"/>
            <w:lang w:eastAsia="pt-BR"/>
            <w14:ligatures w14:val="none"/>
          </w:rPr>
          <w:t>-br</w:t>
        </w:r>
      </w:hyperlink>
      <w:r w:rsidRPr="001B3920">
        <w:rPr>
          <w:rFonts w:ascii="Times New Roman" w:eastAsia="Times New Roman" w:hAnsi="Times New Roman" w:cs="Times New Roman"/>
          <w:color w:val="000000"/>
          <w:kern w:val="0"/>
          <w:lang w:eastAsia="pt-BR"/>
          <w14:ligatures w14:val="none"/>
        </w:rPr>
        <w:t>.</w:t>
      </w:r>
    </w:p>
    <w:p w14:paraId="5A43E052" w14:textId="77777777" w:rsidR="001B3920" w:rsidRPr="001B3920" w:rsidRDefault="001B3920" w:rsidP="001B3920">
      <w:pPr>
        <w:spacing w:before="100" w:beforeAutospacing="1" w:after="100" w:afterAutospacing="1"/>
        <w:rPr>
          <w:rFonts w:ascii="Times New Roman" w:eastAsia="Times New Roman" w:hAnsi="Times New Roman" w:cs="Times New Roman"/>
          <w:color w:val="000000"/>
          <w:kern w:val="0"/>
          <w:lang w:eastAsia="pt-BR"/>
          <w14:ligatures w14:val="none"/>
        </w:rPr>
      </w:pPr>
      <w:r w:rsidRPr="001B3920">
        <w:rPr>
          <w:rFonts w:ascii="Times New Roman" w:eastAsia="Times New Roman" w:hAnsi="Times New Roman" w:cs="Times New Roman"/>
          <w:color w:val="000000"/>
          <w:kern w:val="0"/>
          <w:lang w:eastAsia="pt-BR"/>
          <w14:ligatures w14:val="none"/>
        </w:rPr>
        <w:t>AGÊNCIA NACIONAL DE VIGILÂNCIA SANITÁRIA (ANVISA). Disponível em: </w:t>
      </w:r>
      <w:hyperlink r:id="rId10" w:history="1">
        <w:r w:rsidRPr="001B3920">
          <w:rPr>
            <w:rFonts w:ascii="Times New Roman" w:eastAsia="Times New Roman" w:hAnsi="Times New Roman" w:cs="Times New Roman"/>
            <w:color w:val="0000FF"/>
            <w:kern w:val="0"/>
            <w:u w:val="single"/>
            <w:lang w:eastAsia="pt-BR"/>
            <w14:ligatures w14:val="none"/>
          </w:rPr>
          <w:t>https://www.gov.br/</w:t>
        </w:r>
        <w:proofErr w:type="spellStart"/>
        <w:r w:rsidRPr="001B3920">
          <w:rPr>
            <w:rFonts w:ascii="Times New Roman" w:eastAsia="Times New Roman" w:hAnsi="Times New Roman" w:cs="Times New Roman"/>
            <w:color w:val="0000FF"/>
            <w:kern w:val="0"/>
            <w:u w:val="single"/>
            <w:lang w:eastAsia="pt-BR"/>
            <w14:ligatures w14:val="none"/>
          </w:rPr>
          <w:t>anvisa</w:t>
        </w:r>
        <w:proofErr w:type="spellEnd"/>
      </w:hyperlink>
      <w:r w:rsidRPr="001B3920">
        <w:rPr>
          <w:rFonts w:ascii="Times New Roman" w:eastAsia="Times New Roman" w:hAnsi="Times New Roman" w:cs="Times New Roman"/>
          <w:color w:val="000000"/>
          <w:kern w:val="0"/>
          <w:lang w:eastAsia="pt-BR"/>
          <w14:ligatures w14:val="none"/>
        </w:rPr>
        <w:t>.</w:t>
      </w:r>
    </w:p>
    <w:p w14:paraId="07382BDF" w14:textId="5EFBDA45" w:rsidR="00FF3143" w:rsidRPr="001B3920" w:rsidRDefault="00FF3143">
      <w:pPr>
        <w:rPr>
          <w:rFonts w:ascii="Times New Roman" w:eastAsia="Times New Roman" w:hAnsi="Times New Roman" w:cs="Times New Roman"/>
          <w:kern w:val="0"/>
          <w:lang w:eastAsia="pt-BR"/>
          <w14:ligatures w14:val="none"/>
        </w:rPr>
      </w:pPr>
    </w:p>
    <w:sectPr w:rsidR="00FF3143" w:rsidRPr="001B39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6D3F"/>
    <w:multiLevelType w:val="multilevel"/>
    <w:tmpl w:val="C62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D5249"/>
    <w:multiLevelType w:val="multilevel"/>
    <w:tmpl w:val="F480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180377">
    <w:abstractNumId w:val="0"/>
  </w:num>
  <w:num w:numId="2" w16cid:durableId="1140807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20"/>
    <w:rsid w:val="001B3920"/>
    <w:rsid w:val="003102A3"/>
    <w:rsid w:val="003D3098"/>
    <w:rsid w:val="00567E82"/>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9297"/>
  <w15:chartTrackingRefBased/>
  <w15:docId w15:val="{E9A6C6C1-823B-D541-BA3A-1E89F279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B3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B3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B39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B39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B39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B392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392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392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392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39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B39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B39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B39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B39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B39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39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39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3920"/>
    <w:rPr>
      <w:rFonts w:eastAsiaTheme="majorEastAsia" w:cstheme="majorBidi"/>
      <w:color w:val="272727" w:themeColor="text1" w:themeTint="D8"/>
    </w:rPr>
  </w:style>
  <w:style w:type="paragraph" w:styleId="Ttulo">
    <w:name w:val="Title"/>
    <w:basedOn w:val="Normal"/>
    <w:next w:val="Normal"/>
    <w:link w:val="TtuloChar"/>
    <w:uiPriority w:val="10"/>
    <w:qFormat/>
    <w:rsid w:val="001B392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3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392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39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392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1B3920"/>
    <w:rPr>
      <w:i/>
      <w:iCs/>
      <w:color w:val="404040" w:themeColor="text1" w:themeTint="BF"/>
    </w:rPr>
  </w:style>
  <w:style w:type="paragraph" w:styleId="PargrafodaLista">
    <w:name w:val="List Paragraph"/>
    <w:basedOn w:val="Normal"/>
    <w:uiPriority w:val="34"/>
    <w:qFormat/>
    <w:rsid w:val="001B3920"/>
    <w:pPr>
      <w:ind w:left="720"/>
      <w:contextualSpacing/>
    </w:pPr>
  </w:style>
  <w:style w:type="character" w:styleId="nfaseIntensa">
    <w:name w:val="Intense Emphasis"/>
    <w:basedOn w:val="Fontepargpadro"/>
    <w:uiPriority w:val="21"/>
    <w:qFormat/>
    <w:rsid w:val="001B3920"/>
    <w:rPr>
      <w:i/>
      <w:iCs/>
      <w:color w:val="0F4761" w:themeColor="accent1" w:themeShade="BF"/>
    </w:rPr>
  </w:style>
  <w:style w:type="paragraph" w:styleId="CitaoIntensa">
    <w:name w:val="Intense Quote"/>
    <w:basedOn w:val="Normal"/>
    <w:next w:val="Normal"/>
    <w:link w:val="CitaoIntensaChar"/>
    <w:uiPriority w:val="30"/>
    <w:qFormat/>
    <w:rsid w:val="001B3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B3920"/>
    <w:rPr>
      <w:i/>
      <w:iCs/>
      <w:color w:val="0F4761" w:themeColor="accent1" w:themeShade="BF"/>
    </w:rPr>
  </w:style>
  <w:style w:type="character" w:styleId="RefernciaIntensa">
    <w:name w:val="Intense Reference"/>
    <w:basedOn w:val="Fontepargpadro"/>
    <w:uiPriority w:val="32"/>
    <w:qFormat/>
    <w:rsid w:val="001B3920"/>
    <w:rPr>
      <w:b/>
      <w:bCs/>
      <w:smallCaps/>
      <w:color w:val="0F4761" w:themeColor="accent1" w:themeShade="BF"/>
      <w:spacing w:val="5"/>
    </w:rPr>
  </w:style>
  <w:style w:type="paragraph" w:styleId="NormalWeb">
    <w:name w:val="Normal (Web)"/>
    <w:basedOn w:val="Normal"/>
    <w:uiPriority w:val="99"/>
    <w:semiHidden/>
    <w:unhideWhenUsed/>
    <w:rsid w:val="001B3920"/>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1B3920"/>
  </w:style>
  <w:style w:type="character" w:styleId="Forte">
    <w:name w:val="Strong"/>
    <w:basedOn w:val="Fontepargpadro"/>
    <w:uiPriority w:val="22"/>
    <w:qFormat/>
    <w:rsid w:val="001B3920"/>
    <w:rPr>
      <w:b/>
      <w:bCs/>
    </w:rPr>
  </w:style>
  <w:style w:type="character" w:styleId="Hyperlink">
    <w:name w:val="Hyperlink"/>
    <w:basedOn w:val="Fontepargpadro"/>
    <w:uiPriority w:val="99"/>
    <w:semiHidden/>
    <w:unhideWhenUsed/>
    <w:rsid w:val="001B3920"/>
    <w:rPr>
      <w:color w:val="0000FF"/>
      <w:u w:val="single"/>
    </w:rPr>
  </w:style>
  <w:style w:type="character" w:styleId="nfase">
    <w:name w:val="Emphasis"/>
    <w:basedOn w:val="Fontepargpadro"/>
    <w:uiPriority w:val="20"/>
    <w:qFormat/>
    <w:rsid w:val="001B3920"/>
    <w:rPr>
      <w:i/>
      <w:iCs/>
    </w:rPr>
  </w:style>
  <w:style w:type="character" w:styleId="CdigoHTML">
    <w:name w:val="HTML Code"/>
    <w:basedOn w:val="Fontepargpadro"/>
    <w:uiPriority w:val="99"/>
    <w:semiHidden/>
    <w:unhideWhenUsed/>
    <w:rsid w:val="001B39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55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susep" TargetMode="External"/><Relationship Id="rId3" Type="http://schemas.openxmlformats.org/officeDocument/2006/relationships/settings" Target="settings.xml"/><Relationship Id="rId7" Type="http://schemas.openxmlformats.org/officeDocument/2006/relationships/hyperlink" Target="https://www.bcb.gov.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to.org/english/tratop_e/serv_e/gatsqa_e.htm" TargetMode="External"/><Relationship Id="rId11"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10" Type="http://schemas.openxmlformats.org/officeDocument/2006/relationships/hyperlink" Target="https://www.gov.br/anvisa" TargetMode="External"/><Relationship Id="rId4" Type="http://schemas.openxmlformats.org/officeDocument/2006/relationships/webSettings" Target="webSettings.xml"/><Relationship Id="rId9" Type="http://schemas.openxmlformats.org/officeDocument/2006/relationships/hyperlink" Target="https://www.gov.br/ans/pt-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1183</Words>
  <Characters>6392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2025-05-30T13:59:00Z</dcterms:created>
  <dcterms:modified xsi:type="dcterms:W3CDTF">2025-05-30T14:16:00Z</dcterms:modified>
</cp:coreProperties>
</file>