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6A914" w14:textId="77777777" w:rsidR="008C04CC" w:rsidRDefault="008C04CC" w:rsidP="008C04CC">
      <w:pPr>
        <w:pStyle w:val="NormalWeb"/>
        <w:rPr>
          <w:rStyle w:val="Forte"/>
          <w:rFonts w:eastAsiaTheme="majorEastAsia"/>
          <w:color w:val="000000"/>
        </w:rPr>
      </w:pPr>
      <w:r>
        <w:rPr>
          <w:rStyle w:val="Forte"/>
          <w:rFonts w:eastAsiaTheme="majorEastAsia"/>
          <w:color w:val="000000"/>
        </w:rPr>
        <w:t>Resenha Crítica: “Aproximação a uma Teoria da Corrupção” de Luís Greco e Adriano Teixeira</w:t>
      </w:r>
    </w:p>
    <w:p w14:paraId="118658D1" w14:textId="031A602B" w:rsidR="00C34223" w:rsidRDefault="00C34223" w:rsidP="008C04CC">
      <w:pPr>
        <w:pStyle w:val="NormalWeb"/>
        <w:rPr>
          <w:color w:val="000000"/>
        </w:rPr>
      </w:pPr>
      <w:r>
        <w:rPr>
          <w:rStyle w:val="Forte"/>
          <w:rFonts w:eastAsiaTheme="majorEastAsia"/>
          <w:color w:val="000000"/>
        </w:rPr>
        <w:t>Por Pedro Paulo Henrichs Neto</w:t>
      </w:r>
    </w:p>
    <w:p w14:paraId="453157BB" w14:textId="77777777" w:rsidR="008C04CC" w:rsidRDefault="008C04CC" w:rsidP="008C04CC">
      <w:pPr>
        <w:pStyle w:val="NormalWeb"/>
        <w:rPr>
          <w:color w:val="000000"/>
        </w:rPr>
      </w:pPr>
      <w:r>
        <w:rPr>
          <w:rStyle w:val="Forte"/>
          <w:rFonts w:eastAsiaTheme="majorEastAsia"/>
          <w:color w:val="000000"/>
        </w:rPr>
        <w:t>Referência conforme ABNT:</w:t>
      </w:r>
      <w:r>
        <w:rPr>
          <w:color w:val="000000"/>
        </w:rPr>
        <w:br/>
        <w:t xml:space="preserve">GRECO, Luís; TEIXEIRA, Adriano. Aproximação a uma teoria da corrupção. In: DODT, Gustavo Henrique Righi </w:t>
      </w:r>
      <w:proofErr w:type="spellStart"/>
      <w:r>
        <w:rPr>
          <w:color w:val="000000"/>
        </w:rPr>
        <w:t>Ivahy</w:t>
      </w:r>
      <w:proofErr w:type="spellEnd"/>
      <w:r>
        <w:rPr>
          <w:color w:val="000000"/>
        </w:rPr>
        <w:t xml:space="preserve"> Badaró; FERNANDES, </w:t>
      </w:r>
      <w:proofErr w:type="spellStart"/>
      <w:r>
        <w:rPr>
          <w:color w:val="000000"/>
        </w:rPr>
        <w:t>Antonio</w:t>
      </w:r>
      <w:proofErr w:type="spellEnd"/>
      <w:r>
        <w:rPr>
          <w:color w:val="000000"/>
        </w:rPr>
        <w:t xml:space="preserve"> </w:t>
      </w:r>
      <w:proofErr w:type="spellStart"/>
      <w:r>
        <w:rPr>
          <w:color w:val="000000"/>
        </w:rPr>
        <w:t>Scarance</w:t>
      </w:r>
      <w:proofErr w:type="spellEnd"/>
      <w:r>
        <w:rPr>
          <w:color w:val="000000"/>
        </w:rPr>
        <w:t xml:space="preserve"> (org.).</w:t>
      </w:r>
      <w:r>
        <w:rPr>
          <w:rStyle w:val="apple-converted-space"/>
          <w:rFonts w:eastAsiaTheme="majorEastAsia"/>
          <w:color w:val="000000"/>
        </w:rPr>
        <w:t> </w:t>
      </w:r>
      <w:r>
        <w:rPr>
          <w:rStyle w:val="nfase"/>
          <w:rFonts w:eastAsiaTheme="majorEastAsia"/>
          <w:color w:val="000000"/>
        </w:rPr>
        <w:t>Crime e Política</w:t>
      </w:r>
      <w:r>
        <w:rPr>
          <w:color w:val="000000"/>
        </w:rPr>
        <w:t>. São Paulo: Revista dos Tribunais, 2022. p. 215-252.</w:t>
      </w:r>
    </w:p>
    <w:p w14:paraId="10FF7754" w14:textId="77777777" w:rsidR="008C04CC" w:rsidRDefault="008C04CC" w:rsidP="008C04CC">
      <w:pPr>
        <w:pStyle w:val="NormalWeb"/>
        <w:rPr>
          <w:color w:val="000000"/>
        </w:rPr>
      </w:pPr>
      <w:r>
        <w:rPr>
          <w:rStyle w:val="Forte"/>
          <w:rFonts w:eastAsiaTheme="majorEastAsia"/>
          <w:color w:val="000000"/>
        </w:rPr>
        <w:t>1. Introdução</w:t>
      </w:r>
    </w:p>
    <w:p w14:paraId="3391958D" w14:textId="77777777" w:rsidR="008C04CC" w:rsidRDefault="008C04CC" w:rsidP="008C04CC">
      <w:pPr>
        <w:pStyle w:val="NormalWeb"/>
        <w:rPr>
          <w:color w:val="000000"/>
        </w:rPr>
      </w:pPr>
      <w:r>
        <w:rPr>
          <w:color w:val="000000"/>
        </w:rPr>
        <w:t>O artigo “Aproximação a uma teoria da corrupção”, de autoria de Luís Greco e Adriano Teixeira, representa uma incursão sofisticada no debate dogmático do direito penal brasileiro e alemão, com o objetivo de sistematizar os elementos centrais que definem o injusto penal da corrupção. O texto se destaca por sua densidade teórica e pela tentativa de propor uma base conceitual consistente para a repressão penal do fenômeno, contrastando com o moralismo e pragmatismo frequentemente presentes no discurso midiático e político sobre o tema. No entanto, ao manter-se restrito à dogmática penal, o artigo negligencia dimensões fundamentais para a compreensão plena da corrupção, notadamente seus aspectos sociopolíticos, históricos e institucionais. Essa limitação fica evidente quando se aborda o caso do Mensalão (Ação Penal 470), que, embora mencionado, é tratado de forma periférica e desprovida de problematização crítica sobre seu impacto na judicialização da política e na aplicação da teoria do domínio do fato.</w:t>
      </w:r>
    </w:p>
    <w:p w14:paraId="7323195D" w14:textId="77777777" w:rsidR="008C04CC" w:rsidRDefault="008C04CC" w:rsidP="008C04CC">
      <w:pPr>
        <w:pStyle w:val="NormalWeb"/>
        <w:rPr>
          <w:color w:val="000000"/>
        </w:rPr>
      </w:pPr>
      <w:r>
        <w:rPr>
          <w:rStyle w:val="Forte"/>
          <w:rFonts w:eastAsiaTheme="majorEastAsia"/>
          <w:color w:val="000000"/>
        </w:rPr>
        <w:t>2. Estrutura e Mérito do Texto</w:t>
      </w:r>
    </w:p>
    <w:p w14:paraId="2490E824" w14:textId="77777777" w:rsidR="008C04CC" w:rsidRDefault="008C04CC" w:rsidP="008C04CC">
      <w:pPr>
        <w:pStyle w:val="NormalWeb"/>
        <w:rPr>
          <w:color w:val="000000"/>
        </w:rPr>
      </w:pPr>
      <w:r>
        <w:rPr>
          <w:color w:val="000000"/>
        </w:rPr>
        <w:t>O texto se organiza de forma clara e metodicamente coerente. Começa com um diagnóstico sobre a ausência de uma teoria consistente da corrupção no direito penal, tanto no Brasil quanto na Alemanha, passando à exposição das principais normas e interpretações jurisprudenciais nos dois países, para então propor uma construção dogmática original sobre o tema.</w:t>
      </w:r>
    </w:p>
    <w:p w14:paraId="6626815F" w14:textId="77777777" w:rsidR="008C04CC" w:rsidRDefault="008C04CC" w:rsidP="008C04CC">
      <w:pPr>
        <w:pStyle w:val="NormalWeb"/>
        <w:rPr>
          <w:color w:val="000000"/>
        </w:rPr>
      </w:pPr>
      <w:r>
        <w:rPr>
          <w:color w:val="000000"/>
        </w:rPr>
        <w:t xml:space="preserve">A principal contribuição teórica dos autores é a identificação do núcleo do injusto penal da corrupção não na mera lesão a um bem jurídico abstrato (como a moralidade administrativa ou a </w:t>
      </w:r>
      <w:proofErr w:type="spellStart"/>
      <w:r>
        <w:rPr>
          <w:color w:val="000000"/>
        </w:rPr>
        <w:t>fidêcia</w:t>
      </w:r>
      <w:proofErr w:type="spellEnd"/>
      <w:r>
        <w:rPr>
          <w:color w:val="000000"/>
        </w:rPr>
        <w:t xml:space="preserve"> pública), mas sim no uso do poder estatal ou institucional condicionado por vantagens indevidas de natureza privada. Trata-se de um crime de atividade, não de resultado, em que a oferta ou aceitação da vantagem é o elemento estruturante da conduta criminosa.</w:t>
      </w:r>
    </w:p>
    <w:p w14:paraId="6E3E009C" w14:textId="77777777" w:rsidR="008C04CC" w:rsidRDefault="008C04CC" w:rsidP="008C04CC">
      <w:pPr>
        <w:pStyle w:val="NormalWeb"/>
        <w:rPr>
          <w:color w:val="000000"/>
        </w:rPr>
      </w:pPr>
      <w:r>
        <w:rPr>
          <w:color w:val="000000"/>
        </w:rPr>
        <w:t>A distinção entre corrupção simples e corrupção funcional, tal como delineada na legislação alemã, é outro ponto forte da análise, pois permite estabelecer um critério mais preciso para a interpretação dos tipos penais brasileiros. Os autores ainda propõem a interpretação restritiva da expressão “em razão do cargo”, limitando-a ao exercício efetivo de função pública e excluindo benefícios socialmente aceitos.</w:t>
      </w:r>
    </w:p>
    <w:p w14:paraId="5BAA5E7A" w14:textId="77777777" w:rsidR="008C04CC" w:rsidRDefault="008C04CC" w:rsidP="008C04CC">
      <w:pPr>
        <w:pStyle w:val="NormalWeb"/>
        <w:rPr>
          <w:color w:val="000000"/>
        </w:rPr>
      </w:pPr>
      <w:r>
        <w:rPr>
          <w:rStyle w:val="Forte"/>
          <w:rFonts w:eastAsiaTheme="majorEastAsia"/>
          <w:color w:val="000000"/>
        </w:rPr>
        <w:t>3. Limitações Teóricas e Omissões Analíticas</w:t>
      </w:r>
    </w:p>
    <w:p w14:paraId="31F74743" w14:textId="77777777" w:rsidR="008C04CC" w:rsidRDefault="008C04CC" w:rsidP="008C04CC">
      <w:pPr>
        <w:pStyle w:val="NormalWeb"/>
        <w:rPr>
          <w:color w:val="000000"/>
        </w:rPr>
      </w:pPr>
      <w:r>
        <w:rPr>
          <w:color w:val="000000"/>
        </w:rPr>
        <w:t xml:space="preserve">Apesar de seu rigor dogmático, o texto sofre de um claro reducionismo jurídico. A corrupção é um fenômeno </w:t>
      </w:r>
      <w:proofErr w:type="spellStart"/>
      <w:r>
        <w:rPr>
          <w:color w:val="000000"/>
        </w:rPr>
        <w:t>políssemico</w:t>
      </w:r>
      <w:proofErr w:type="spellEnd"/>
      <w:r>
        <w:rPr>
          <w:color w:val="000000"/>
        </w:rPr>
        <w:t xml:space="preserve">, que atravessa esferas políticas, econômicas, </w:t>
      </w:r>
      <w:r>
        <w:rPr>
          <w:color w:val="000000"/>
        </w:rPr>
        <w:lastRenderedPageBreak/>
        <w:t>culturais e institucionais. Ao desconsiderar essa pluralidade, o texto compromete a inteligível inter-relação entre práticas corruptas e as condições estruturais que as favorecem. Não há qualquer referência a elementos como a desigualdade social, a fragilidade institucional, a cultura política clientelista, ou os incentivos perversos presentes em modelos de financiamento de campanha e coalizões partidárias.</w:t>
      </w:r>
    </w:p>
    <w:p w14:paraId="7675A01E" w14:textId="77777777" w:rsidR="008C04CC" w:rsidRDefault="008C04CC" w:rsidP="008C04CC">
      <w:pPr>
        <w:pStyle w:val="NormalWeb"/>
        <w:rPr>
          <w:color w:val="000000"/>
        </w:rPr>
      </w:pPr>
      <w:r>
        <w:rPr>
          <w:color w:val="000000"/>
        </w:rPr>
        <w:t xml:space="preserve">Essa lacuna se agrava diante da omissão de um olhar mais profundo sobre as </w:t>
      </w:r>
      <w:proofErr w:type="spellStart"/>
      <w:r>
        <w:rPr>
          <w:color w:val="000000"/>
        </w:rPr>
        <w:t>conseqüências</w:t>
      </w:r>
      <w:proofErr w:type="spellEnd"/>
      <w:r>
        <w:rPr>
          <w:color w:val="000000"/>
        </w:rPr>
        <w:t xml:space="preserve"> da corrupção na democracia e na confiabilidade das instituições, bem como das alternativas políticas, educacionais e institucionais para sua prevenção. Embora haja breves referências a questões como compliance e ética institucional, não se delineia qualquer articulação com as políticas públicas ou com a participação cidadã.</w:t>
      </w:r>
    </w:p>
    <w:p w14:paraId="198C8361" w14:textId="77777777" w:rsidR="008C04CC" w:rsidRDefault="008C04CC" w:rsidP="008C04CC">
      <w:pPr>
        <w:pStyle w:val="NormalWeb"/>
        <w:rPr>
          <w:color w:val="000000"/>
        </w:rPr>
      </w:pPr>
      <w:r>
        <w:rPr>
          <w:rStyle w:val="Forte"/>
          <w:rFonts w:eastAsiaTheme="majorEastAsia"/>
          <w:color w:val="000000"/>
        </w:rPr>
        <w:t>4. O Caso Mensalão e a Judicialização da Política</w:t>
      </w:r>
    </w:p>
    <w:p w14:paraId="3E98EA0B" w14:textId="77777777" w:rsidR="008C04CC" w:rsidRDefault="008C04CC" w:rsidP="008C04CC">
      <w:pPr>
        <w:pStyle w:val="NormalWeb"/>
        <w:rPr>
          <w:color w:val="000000"/>
        </w:rPr>
      </w:pPr>
      <w:r>
        <w:rPr>
          <w:color w:val="000000"/>
        </w:rPr>
        <w:t>Um dos aspectos mais criticáveis do texto é o tratamento superficial dado ao caso do Mensalão, emblemático para a história política e jurídica do Brasil. O caso, julgado no STF em 2012 sob o nome de Ação Penal 470, levou à condenação de diversas figuras centrais do Partido dos Trabalhadores, inclusive do então ministro-chefe da Casa Civil, José Dirceu.</w:t>
      </w:r>
    </w:p>
    <w:p w14:paraId="0B577E9E" w14:textId="08E58405" w:rsidR="008C04CC" w:rsidRDefault="008C04CC" w:rsidP="008C04CC">
      <w:pPr>
        <w:pStyle w:val="NormalWeb"/>
        <w:rPr>
          <w:color w:val="000000"/>
        </w:rPr>
      </w:pPr>
      <w:r>
        <w:rPr>
          <w:color w:val="000000"/>
        </w:rPr>
        <w:t>Embora o caso encaixe-se na definição de corrupção funcional proposta pelos autores uso do mandato parlamentar condicionado ao recebimento de vantagens indevidas, faltou uma análise crítica das especificidades daquele julgamento. O STF adotou um modelo de julgamento altamente midiático, com transmissão ao vivo, intensa pressão social e um nível inédito de protagonismo judicial na cena política.</w:t>
      </w:r>
    </w:p>
    <w:p w14:paraId="36A125FA" w14:textId="77777777" w:rsidR="008C04CC" w:rsidRDefault="008C04CC" w:rsidP="008C04CC">
      <w:pPr>
        <w:pStyle w:val="NormalWeb"/>
        <w:rPr>
          <w:color w:val="000000"/>
        </w:rPr>
      </w:pPr>
      <w:r>
        <w:rPr>
          <w:color w:val="000000"/>
        </w:rPr>
        <w:t>Outro ponto polêmico não tratado é o uso da</w:t>
      </w:r>
      <w:r>
        <w:rPr>
          <w:rStyle w:val="apple-converted-space"/>
          <w:rFonts w:eastAsiaTheme="majorEastAsia"/>
          <w:color w:val="000000"/>
        </w:rPr>
        <w:t> </w:t>
      </w:r>
      <w:r>
        <w:rPr>
          <w:rStyle w:val="Forte"/>
          <w:rFonts w:eastAsiaTheme="majorEastAsia"/>
          <w:color w:val="000000"/>
        </w:rPr>
        <w:t>teoria do domínio do fato</w:t>
      </w:r>
      <w:r>
        <w:rPr>
          <w:color w:val="000000"/>
        </w:rPr>
        <w:t>, originada no direito penal alemão, mas invocada de maneira controversa para sustentar a responsabilidade penal de Dirceu. Críticos apontam que essa teoria foi aplicada de forma dissociada de sua base original, servindo como um atalho para imputar culpa sem provas diretas de autoria ou participação ativa.</w:t>
      </w:r>
    </w:p>
    <w:p w14:paraId="5F3AB299" w14:textId="77777777" w:rsidR="008C04CC" w:rsidRDefault="008C04CC" w:rsidP="008C04CC">
      <w:pPr>
        <w:pStyle w:val="NormalWeb"/>
        <w:rPr>
          <w:color w:val="000000"/>
        </w:rPr>
      </w:pPr>
      <w:r>
        <w:rPr>
          <w:color w:val="000000"/>
        </w:rPr>
        <w:t xml:space="preserve">O próprio jurista alemão Claus </w:t>
      </w:r>
      <w:proofErr w:type="spellStart"/>
      <w:r>
        <w:rPr>
          <w:color w:val="000000"/>
        </w:rPr>
        <w:t>Roxin</w:t>
      </w:r>
      <w:proofErr w:type="spellEnd"/>
      <w:r>
        <w:rPr>
          <w:color w:val="000000"/>
        </w:rPr>
        <w:t>, formulador da teoria, manifestou-se contra seu uso para condenar pessoas com base apenas em sua posição hierárquica, sem a devida demonstração de comando efetivo sobre a conduta delituosa. A ausência dessa discussão no texto é uma grave omissão, especialmente vindo de autores que se propõem a fazer uma ponte entre o direito penal alemão e o brasileiro.</w:t>
      </w:r>
    </w:p>
    <w:p w14:paraId="69E27C0F" w14:textId="77777777" w:rsidR="008C04CC" w:rsidRDefault="008C04CC" w:rsidP="008C04CC">
      <w:pPr>
        <w:pStyle w:val="NormalWeb"/>
        <w:rPr>
          <w:color w:val="000000"/>
        </w:rPr>
      </w:pPr>
      <w:r>
        <w:rPr>
          <w:color w:val="000000"/>
        </w:rPr>
        <w:t>O caso Mensalão também foi um catalisador da crescente</w:t>
      </w:r>
      <w:r>
        <w:rPr>
          <w:rStyle w:val="apple-converted-space"/>
          <w:rFonts w:eastAsiaTheme="majorEastAsia"/>
          <w:color w:val="000000"/>
        </w:rPr>
        <w:t> </w:t>
      </w:r>
      <w:r>
        <w:rPr>
          <w:rStyle w:val="Forte"/>
          <w:rFonts w:eastAsiaTheme="majorEastAsia"/>
          <w:color w:val="000000"/>
        </w:rPr>
        <w:t>judicialização da política</w:t>
      </w:r>
      <w:r>
        <w:rPr>
          <w:rStyle w:val="apple-converted-space"/>
          <w:rFonts w:eastAsiaTheme="majorEastAsia"/>
          <w:color w:val="000000"/>
        </w:rPr>
        <w:t> </w:t>
      </w:r>
      <w:r>
        <w:rPr>
          <w:color w:val="000000"/>
        </w:rPr>
        <w:t>no Brasil. O STF passou a ocupar o centro do tabuleiro político, julgando com base em elementos muitas vezes mais simbólicos do que jurídicos. Isso teve repercussões relevantes: a politização do sistema de justiça, o fortalecimento de um ativismo judicial pouco controlado e a abertura para o uso do sistema penal como instrumento de disputa política.</w:t>
      </w:r>
    </w:p>
    <w:p w14:paraId="30BE3B8B" w14:textId="77777777" w:rsidR="008C04CC" w:rsidRDefault="008C04CC" w:rsidP="008C04CC">
      <w:pPr>
        <w:pStyle w:val="NormalWeb"/>
        <w:rPr>
          <w:color w:val="000000"/>
        </w:rPr>
      </w:pPr>
      <w:r>
        <w:rPr>
          <w:rStyle w:val="Forte"/>
          <w:rFonts w:eastAsiaTheme="majorEastAsia"/>
          <w:color w:val="000000"/>
        </w:rPr>
        <w:t xml:space="preserve">5. O Direito Penal e o </w:t>
      </w:r>
      <w:proofErr w:type="spellStart"/>
      <w:r>
        <w:rPr>
          <w:rStyle w:val="Forte"/>
          <w:rFonts w:eastAsiaTheme="majorEastAsia"/>
          <w:color w:val="000000"/>
        </w:rPr>
        <w:t>Lawfare</w:t>
      </w:r>
      <w:proofErr w:type="spellEnd"/>
    </w:p>
    <w:p w14:paraId="0CFF1326" w14:textId="30BF27E9" w:rsidR="008C04CC" w:rsidRDefault="008C04CC" w:rsidP="008C04CC">
      <w:pPr>
        <w:pStyle w:val="NormalWeb"/>
        <w:rPr>
          <w:color w:val="000000"/>
        </w:rPr>
      </w:pPr>
      <w:r>
        <w:rPr>
          <w:color w:val="000000"/>
        </w:rPr>
        <w:t>O silêncio do texto sobre o conceito de</w:t>
      </w:r>
      <w:r>
        <w:rPr>
          <w:rStyle w:val="apple-converted-space"/>
          <w:rFonts w:eastAsiaTheme="majorEastAsia"/>
          <w:color w:val="000000"/>
        </w:rPr>
        <w:t> </w:t>
      </w:r>
      <w:proofErr w:type="spellStart"/>
      <w:r>
        <w:rPr>
          <w:rStyle w:val="Forte"/>
          <w:rFonts w:eastAsiaTheme="majorEastAsia"/>
          <w:color w:val="000000"/>
        </w:rPr>
        <w:t>lawfare</w:t>
      </w:r>
      <w:proofErr w:type="spellEnd"/>
      <w:r>
        <w:rPr>
          <w:rStyle w:val="apple-converted-space"/>
          <w:rFonts w:eastAsiaTheme="majorEastAsia"/>
          <w:color w:val="000000"/>
        </w:rPr>
        <w:t> </w:t>
      </w:r>
      <w:r>
        <w:rPr>
          <w:color w:val="000000"/>
        </w:rPr>
        <w:t xml:space="preserve">uso do direito como arma de guerra política é também sintomático. A AP 470 é vista por muitos analistas como um dos primeiros experimentos do </w:t>
      </w:r>
      <w:proofErr w:type="spellStart"/>
      <w:r>
        <w:rPr>
          <w:color w:val="000000"/>
        </w:rPr>
        <w:t>lawfare</w:t>
      </w:r>
      <w:proofErr w:type="spellEnd"/>
      <w:r>
        <w:rPr>
          <w:color w:val="000000"/>
        </w:rPr>
        <w:t xml:space="preserve"> no Brasil, antecessora das estratégias mais </w:t>
      </w:r>
      <w:r>
        <w:rPr>
          <w:color w:val="000000"/>
        </w:rPr>
        <w:lastRenderedPageBreak/>
        <w:t>agressivas da Lava Jato. A ausência de uma análise crítica sobre esse fenômeno enfraquece a proposta dos autores de oferecer uma teoria abrangente e crítica da corrupção penal.</w:t>
      </w:r>
    </w:p>
    <w:p w14:paraId="308E4F81" w14:textId="58A43AB1" w:rsidR="008C04CC" w:rsidRDefault="008C04CC" w:rsidP="008C04CC">
      <w:pPr>
        <w:pStyle w:val="NormalWeb"/>
        <w:rPr>
          <w:color w:val="000000"/>
        </w:rPr>
      </w:pPr>
      <w:r>
        <w:rPr>
          <w:color w:val="000000"/>
        </w:rPr>
        <w:t xml:space="preserve">A aplicação seletiva da lei penal, a </w:t>
      </w:r>
      <w:r w:rsidR="00C34223">
        <w:rPr>
          <w:color w:val="000000"/>
        </w:rPr>
        <w:t>ênfase</w:t>
      </w:r>
      <w:r>
        <w:rPr>
          <w:color w:val="000000"/>
        </w:rPr>
        <w:t xml:space="preserve"> em provas indiretas, o uso político da opinião pública e a condenação de adversários ideológicos sem as garantias devidas são características do </w:t>
      </w:r>
      <w:proofErr w:type="spellStart"/>
      <w:r>
        <w:rPr>
          <w:color w:val="000000"/>
        </w:rPr>
        <w:t>lawfare</w:t>
      </w:r>
      <w:proofErr w:type="spellEnd"/>
      <w:r>
        <w:rPr>
          <w:color w:val="000000"/>
        </w:rPr>
        <w:t xml:space="preserve"> e mereceriam ser discutidas em uma obra que pretende abordar dogmática e criticamente o tema da corrupção.</w:t>
      </w:r>
    </w:p>
    <w:p w14:paraId="5E8CD244" w14:textId="77777777" w:rsidR="008C04CC" w:rsidRDefault="008C04CC" w:rsidP="008C04CC">
      <w:pPr>
        <w:pStyle w:val="NormalWeb"/>
        <w:rPr>
          <w:color w:val="000000"/>
        </w:rPr>
      </w:pPr>
      <w:r>
        <w:rPr>
          <w:rStyle w:val="Forte"/>
          <w:rFonts w:eastAsiaTheme="majorEastAsia"/>
          <w:color w:val="000000"/>
        </w:rPr>
        <w:t>6. Considerações Finais</w:t>
      </w:r>
    </w:p>
    <w:p w14:paraId="5B6B62B4" w14:textId="77777777" w:rsidR="008C04CC" w:rsidRDefault="008C04CC" w:rsidP="008C04CC">
      <w:pPr>
        <w:pStyle w:val="NormalWeb"/>
        <w:rPr>
          <w:color w:val="000000"/>
        </w:rPr>
      </w:pPr>
      <w:r>
        <w:rPr>
          <w:color w:val="000000"/>
        </w:rPr>
        <w:t>“Aproximação a uma teoria da corrupção” é um texto sofisticado e relevante para o debate penal contemporâneo, notadamente por sua tentativa de delimitar, com rigor dogmático, os contornos do injusto penal da corrupção. A distinção entre corrupção simples e funcional, a crítica ao moralismo e a defesa de critérios objetivos são contribuições valiosas.</w:t>
      </w:r>
    </w:p>
    <w:p w14:paraId="41B671BA" w14:textId="77777777" w:rsidR="008C04CC" w:rsidRDefault="008C04CC" w:rsidP="008C04CC">
      <w:pPr>
        <w:pStyle w:val="NormalWeb"/>
        <w:rPr>
          <w:color w:val="000000"/>
        </w:rPr>
      </w:pPr>
      <w:r>
        <w:rPr>
          <w:color w:val="000000"/>
        </w:rPr>
        <w:t>Entretanto, o texto incorre em um tecnicismo que ignora dimensões essenciais do fenômeno da corrupção, especialmente no contexto brasileiro, marcado por tensões democráticas, judicialização da política e uso instrumental do direito penal. O caso do Mensalão, ao ser tratado de forma superficial, deixa de cumprir seu papel paradigmático e de iluminar os riscos de uma atuação judicial sem os freios adequados.</w:t>
      </w:r>
    </w:p>
    <w:p w14:paraId="0F35BA59" w14:textId="77777777" w:rsidR="008C04CC" w:rsidRDefault="008C04CC" w:rsidP="008C04CC">
      <w:pPr>
        <w:pStyle w:val="NormalWeb"/>
        <w:rPr>
          <w:color w:val="000000"/>
        </w:rPr>
      </w:pPr>
      <w:r>
        <w:rPr>
          <w:color w:val="000000"/>
        </w:rPr>
        <w:t>Dessa forma, a obra de Greco e Teixeira deve ser lida como uma base para reflexão, mas não como um ponto de chegada. Seu valor está em abrir caminhos, mas os percursos críticos necessários para a compreensão plena e justa da corrupção ainda exigem articulação entre teoria penal, análise política, história institucional e compromisso com o Estado Democrático de Direito.</w:t>
      </w:r>
    </w:p>
    <w:p w14:paraId="4AF8229A" w14:textId="77777777" w:rsidR="00FF3143" w:rsidRDefault="00FF3143"/>
    <w:sectPr w:rsidR="00FF314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4CC"/>
    <w:rsid w:val="003102A3"/>
    <w:rsid w:val="007847AC"/>
    <w:rsid w:val="008C04CC"/>
    <w:rsid w:val="00C34223"/>
    <w:rsid w:val="00D856BC"/>
    <w:rsid w:val="00FF314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BF2CB"/>
  <w15:chartTrackingRefBased/>
  <w15:docId w15:val="{82CF8BA0-76F2-7549-B7A8-4E1F07E60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C04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C04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C04C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C04C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C04C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C04C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C04C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C04C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C04CC"/>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C04C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C04C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C04C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C04C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C04C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C04C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C04C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C04C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C04CC"/>
    <w:rPr>
      <w:rFonts w:eastAsiaTheme="majorEastAsia" w:cstheme="majorBidi"/>
      <w:color w:val="272727" w:themeColor="text1" w:themeTint="D8"/>
    </w:rPr>
  </w:style>
  <w:style w:type="paragraph" w:styleId="Ttulo">
    <w:name w:val="Title"/>
    <w:basedOn w:val="Normal"/>
    <w:next w:val="Normal"/>
    <w:link w:val="TtuloChar"/>
    <w:uiPriority w:val="10"/>
    <w:qFormat/>
    <w:rsid w:val="008C04CC"/>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C04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C04CC"/>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C04C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C04CC"/>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8C04CC"/>
    <w:rPr>
      <w:i/>
      <w:iCs/>
      <w:color w:val="404040" w:themeColor="text1" w:themeTint="BF"/>
    </w:rPr>
  </w:style>
  <w:style w:type="paragraph" w:styleId="PargrafodaLista">
    <w:name w:val="List Paragraph"/>
    <w:basedOn w:val="Normal"/>
    <w:uiPriority w:val="34"/>
    <w:qFormat/>
    <w:rsid w:val="008C04CC"/>
    <w:pPr>
      <w:ind w:left="720"/>
      <w:contextualSpacing/>
    </w:pPr>
  </w:style>
  <w:style w:type="character" w:styleId="nfaseIntensa">
    <w:name w:val="Intense Emphasis"/>
    <w:basedOn w:val="Fontepargpadro"/>
    <w:uiPriority w:val="21"/>
    <w:qFormat/>
    <w:rsid w:val="008C04CC"/>
    <w:rPr>
      <w:i/>
      <w:iCs/>
      <w:color w:val="0F4761" w:themeColor="accent1" w:themeShade="BF"/>
    </w:rPr>
  </w:style>
  <w:style w:type="paragraph" w:styleId="CitaoIntensa">
    <w:name w:val="Intense Quote"/>
    <w:basedOn w:val="Normal"/>
    <w:next w:val="Normal"/>
    <w:link w:val="CitaoIntensaChar"/>
    <w:uiPriority w:val="30"/>
    <w:qFormat/>
    <w:rsid w:val="008C04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C04CC"/>
    <w:rPr>
      <w:i/>
      <w:iCs/>
      <w:color w:val="0F4761" w:themeColor="accent1" w:themeShade="BF"/>
    </w:rPr>
  </w:style>
  <w:style w:type="character" w:styleId="RefernciaIntensa">
    <w:name w:val="Intense Reference"/>
    <w:basedOn w:val="Fontepargpadro"/>
    <w:uiPriority w:val="32"/>
    <w:qFormat/>
    <w:rsid w:val="008C04CC"/>
    <w:rPr>
      <w:b/>
      <w:bCs/>
      <w:smallCaps/>
      <w:color w:val="0F4761" w:themeColor="accent1" w:themeShade="BF"/>
      <w:spacing w:val="5"/>
    </w:rPr>
  </w:style>
  <w:style w:type="paragraph" w:styleId="NormalWeb">
    <w:name w:val="Normal (Web)"/>
    <w:basedOn w:val="Normal"/>
    <w:uiPriority w:val="99"/>
    <w:semiHidden/>
    <w:unhideWhenUsed/>
    <w:rsid w:val="008C04CC"/>
    <w:pPr>
      <w:spacing w:before="100" w:beforeAutospacing="1" w:after="100" w:afterAutospacing="1"/>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8C04CC"/>
    <w:rPr>
      <w:b/>
      <w:bCs/>
    </w:rPr>
  </w:style>
  <w:style w:type="character" w:customStyle="1" w:styleId="apple-converted-space">
    <w:name w:val="apple-converted-space"/>
    <w:basedOn w:val="Fontepargpadro"/>
    <w:rsid w:val="008C04CC"/>
  </w:style>
  <w:style w:type="character" w:styleId="nfase">
    <w:name w:val="Emphasis"/>
    <w:basedOn w:val="Fontepargpadro"/>
    <w:uiPriority w:val="20"/>
    <w:qFormat/>
    <w:rsid w:val="008C04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368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1189</Words>
  <Characters>6422</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henrichs</dc:creator>
  <cp:keywords/>
  <dc:description/>
  <cp:lastModifiedBy>Pedro henrichs</cp:lastModifiedBy>
  <cp:revision>1</cp:revision>
  <dcterms:created xsi:type="dcterms:W3CDTF">2025-05-20T13:12:00Z</dcterms:created>
  <dcterms:modified xsi:type="dcterms:W3CDTF">2025-05-20T13:27:00Z</dcterms:modified>
</cp:coreProperties>
</file>