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6A0E0" w14:textId="77777777" w:rsidR="004652C4" w:rsidRDefault="004652C4" w:rsidP="004652C4">
      <w:pPr>
        <w:spacing w:before="100" w:beforeAutospacing="1" w:after="100" w:afterAutospacing="1"/>
        <w:outlineLvl w:val="0"/>
        <w:rPr>
          <w:rFonts w:ascii="Times New Roman" w:eastAsia="Times New Roman" w:hAnsi="Times New Roman" w:cs="Times New Roman"/>
          <w:b/>
          <w:bCs/>
          <w:color w:val="000000"/>
          <w:kern w:val="36"/>
          <w:sz w:val="48"/>
          <w:szCs w:val="48"/>
          <w:lang w:eastAsia="pt-BR"/>
          <w14:ligatures w14:val="none"/>
        </w:rPr>
      </w:pPr>
      <w:r w:rsidRPr="004652C4">
        <w:rPr>
          <w:rFonts w:ascii="Times New Roman" w:eastAsia="Times New Roman" w:hAnsi="Times New Roman" w:cs="Times New Roman"/>
          <w:b/>
          <w:bCs/>
          <w:color w:val="000000"/>
          <w:kern w:val="36"/>
          <w:sz w:val="48"/>
          <w:szCs w:val="48"/>
          <w:lang w:eastAsia="pt-BR"/>
          <w14:ligatures w14:val="none"/>
        </w:rPr>
        <w:t>Resenha Crítica: O Acordo de Associação entre Mercosul e União Europeia: Perspectivas Econômicas, Políticas e Desafios de Viabilidade</w:t>
      </w:r>
    </w:p>
    <w:p w14:paraId="51C3751E" w14:textId="1956A868" w:rsidR="004652C4" w:rsidRPr="004652C4" w:rsidRDefault="004652C4" w:rsidP="004652C4">
      <w:pPr>
        <w:spacing w:before="100" w:beforeAutospacing="1" w:after="100" w:afterAutospacing="1"/>
        <w:outlineLvl w:val="0"/>
        <w:rPr>
          <w:rFonts w:ascii="Times New Roman" w:eastAsia="Times New Roman" w:hAnsi="Times New Roman" w:cs="Times New Roman"/>
          <w:b/>
          <w:bCs/>
          <w:color w:val="000000"/>
          <w:kern w:val="36"/>
          <w:lang w:eastAsia="pt-BR"/>
          <w14:ligatures w14:val="none"/>
        </w:rPr>
      </w:pPr>
      <w:r w:rsidRPr="004652C4">
        <w:rPr>
          <w:rFonts w:ascii="Times New Roman" w:eastAsia="Times New Roman" w:hAnsi="Times New Roman" w:cs="Times New Roman"/>
          <w:b/>
          <w:bCs/>
          <w:color w:val="000000"/>
          <w:kern w:val="36"/>
          <w:lang w:eastAsia="pt-BR"/>
          <w14:ligatures w14:val="none"/>
        </w:rPr>
        <w:t>Por Pedro Paulo Henrichs Neto</w:t>
      </w:r>
    </w:p>
    <w:p w14:paraId="71167CFA"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b/>
          <w:bCs/>
          <w:color w:val="000000"/>
          <w:kern w:val="0"/>
          <w:lang w:eastAsia="pt-BR"/>
          <w14:ligatures w14:val="none"/>
        </w:rPr>
        <w:t>Referência da obra base</w:t>
      </w:r>
      <w:r w:rsidRPr="004652C4">
        <w:rPr>
          <w:rFonts w:ascii="Times New Roman" w:eastAsia="Times New Roman" w:hAnsi="Times New Roman" w:cs="Times New Roman"/>
          <w:color w:val="000000"/>
          <w:kern w:val="0"/>
          <w:lang w:eastAsia="pt-BR"/>
          <w14:ligatures w14:val="none"/>
        </w:rPr>
        <w:t>:</w:t>
      </w:r>
      <w:r w:rsidRPr="004652C4">
        <w:rPr>
          <w:rFonts w:ascii="Times New Roman" w:eastAsia="Times New Roman" w:hAnsi="Times New Roman" w:cs="Times New Roman"/>
          <w:color w:val="000000"/>
          <w:kern w:val="0"/>
          <w:lang w:eastAsia="pt-BR"/>
          <w14:ligatures w14:val="none"/>
        </w:rPr>
        <w:br/>
        <w:t>BRASIL. Ministério das Relações Exteriores. </w:t>
      </w:r>
      <w:r w:rsidRPr="004652C4">
        <w:rPr>
          <w:rFonts w:ascii="Times New Roman" w:eastAsia="Times New Roman" w:hAnsi="Times New Roman" w:cs="Times New Roman"/>
          <w:i/>
          <w:iCs/>
          <w:color w:val="000000"/>
          <w:kern w:val="0"/>
          <w:lang w:eastAsia="pt-BR"/>
          <w14:ligatures w14:val="none"/>
        </w:rPr>
        <w:t>Acordo de Associação Mercosul-União Europeia: resumo informativo</w:t>
      </w:r>
      <w:r w:rsidRPr="004652C4">
        <w:rPr>
          <w:rFonts w:ascii="Times New Roman" w:eastAsia="Times New Roman" w:hAnsi="Times New Roman" w:cs="Times New Roman"/>
          <w:color w:val="000000"/>
          <w:kern w:val="0"/>
          <w:lang w:eastAsia="pt-BR"/>
          <w14:ligatures w14:val="none"/>
        </w:rPr>
        <w:t>. Brasília: MRE, 2019.</w:t>
      </w:r>
      <w:r w:rsidRPr="004652C4">
        <w:rPr>
          <w:rFonts w:ascii="Times New Roman" w:eastAsia="Times New Roman" w:hAnsi="Times New Roman" w:cs="Times New Roman"/>
          <w:color w:val="000000"/>
          <w:kern w:val="0"/>
          <w:lang w:eastAsia="pt-BR"/>
          <w14:ligatures w14:val="none"/>
        </w:rPr>
        <w:br/>
        <w:t>CONFEDERAÇÃO NACIONAL DA INDÚSTRIA. </w:t>
      </w:r>
      <w:r w:rsidRPr="004652C4">
        <w:rPr>
          <w:rFonts w:ascii="Times New Roman" w:eastAsia="Times New Roman" w:hAnsi="Times New Roman" w:cs="Times New Roman"/>
          <w:i/>
          <w:iCs/>
          <w:color w:val="000000"/>
          <w:kern w:val="0"/>
          <w:lang w:eastAsia="pt-BR"/>
          <w14:ligatures w14:val="none"/>
        </w:rPr>
        <w:t>Negociações entre o Mercosul e a União Europeia: documento de posição da indústria</w:t>
      </w:r>
      <w:r w:rsidRPr="004652C4">
        <w:rPr>
          <w:rFonts w:ascii="Times New Roman" w:eastAsia="Times New Roman" w:hAnsi="Times New Roman" w:cs="Times New Roman"/>
          <w:color w:val="000000"/>
          <w:kern w:val="0"/>
          <w:lang w:eastAsia="pt-BR"/>
          <w14:ligatures w14:val="none"/>
        </w:rPr>
        <w:t>. Brasília: CNI, 2017.</w:t>
      </w:r>
      <w:r w:rsidRPr="004652C4">
        <w:rPr>
          <w:rFonts w:ascii="Times New Roman" w:eastAsia="Times New Roman" w:hAnsi="Times New Roman" w:cs="Times New Roman"/>
          <w:color w:val="000000"/>
          <w:kern w:val="0"/>
          <w:lang w:eastAsia="pt-BR"/>
          <w14:ligatures w14:val="none"/>
        </w:rPr>
        <w:br/>
        <w:t>INSTITUTO DE PESQUISA ECONÔMICA APLICADA (IPEA). </w:t>
      </w:r>
      <w:r w:rsidRPr="004652C4">
        <w:rPr>
          <w:rFonts w:ascii="Times New Roman" w:eastAsia="Times New Roman" w:hAnsi="Times New Roman" w:cs="Times New Roman"/>
          <w:i/>
          <w:iCs/>
          <w:color w:val="000000"/>
          <w:kern w:val="0"/>
          <w:lang w:eastAsia="pt-BR"/>
          <w14:ligatures w14:val="none"/>
        </w:rPr>
        <w:t>Acordos comerciais entre Mercosul e União Europeia</w:t>
      </w:r>
      <w:r w:rsidRPr="004652C4">
        <w:rPr>
          <w:rFonts w:ascii="Times New Roman" w:eastAsia="Times New Roman" w:hAnsi="Times New Roman" w:cs="Times New Roman"/>
          <w:color w:val="000000"/>
          <w:kern w:val="0"/>
          <w:lang w:eastAsia="pt-BR"/>
          <w14:ligatures w14:val="none"/>
        </w:rPr>
        <w:t>. Brasília: IPEA, 2011.</w:t>
      </w:r>
      <w:r w:rsidRPr="004652C4">
        <w:rPr>
          <w:rFonts w:ascii="Times New Roman" w:eastAsia="Times New Roman" w:hAnsi="Times New Roman" w:cs="Times New Roman"/>
          <w:color w:val="000000"/>
          <w:kern w:val="0"/>
          <w:lang w:eastAsia="pt-BR"/>
          <w14:ligatures w14:val="none"/>
        </w:rPr>
        <w:br/>
        <w:t>BRASIL. Governo Federal. </w:t>
      </w:r>
      <w:r w:rsidRPr="004652C4">
        <w:rPr>
          <w:rFonts w:ascii="Times New Roman" w:eastAsia="Times New Roman" w:hAnsi="Times New Roman" w:cs="Times New Roman"/>
          <w:i/>
          <w:iCs/>
          <w:color w:val="000000"/>
          <w:kern w:val="0"/>
          <w:lang w:eastAsia="pt-BR"/>
          <w14:ligatures w14:val="none"/>
        </w:rPr>
        <w:t>Acordo de Parceria entre Mercosul e União Europeia: texto integral</w:t>
      </w:r>
      <w:r w:rsidRPr="004652C4">
        <w:rPr>
          <w:rFonts w:ascii="Times New Roman" w:eastAsia="Times New Roman" w:hAnsi="Times New Roman" w:cs="Times New Roman"/>
          <w:color w:val="000000"/>
          <w:kern w:val="0"/>
          <w:lang w:eastAsia="pt-BR"/>
          <w14:ligatures w14:val="none"/>
        </w:rPr>
        <w:t>. Disponível em: </w:t>
      </w:r>
      <w:hyperlink r:id="rId5" w:history="1">
        <w:r w:rsidRPr="004652C4">
          <w:rPr>
            <w:rFonts w:ascii="Times New Roman" w:eastAsia="Times New Roman" w:hAnsi="Times New Roman" w:cs="Times New Roman"/>
            <w:color w:val="0000FF"/>
            <w:kern w:val="0"/>
            <w:u w:val="single"/>
            <w:lang w:eastAsia="pt-BR"/>
            <w14:ligatures w14:val="none"/>
          </w:rPr>
          <w:t>https://www.gov.br/planalto</w:t>
        </w:r>
      </w:hyperlink>
      <w:r w:rsidRPr="004652C4">
        <w:rPr>
          <w:rFonts w:ascii="Times New Roman" w:eastAsia="Times New Roman" w:hAnsi="Times New Roman" w:cs="Times New Roman"/>
          <w:color w:val="000000"/>
          <w:kern w:val="0"/>
          <w:lang w:eastAsia="pt-BR"/>
          <w14:ligatures w14:val="none"/>
        </w:rPr>
        <w:t>. Acesso em: 21 maio 2025.</w:t>
      </w:r>
    </w:p>
    <w:p w14:paraId="06C5673A" w14:textId="7A7B1259" w:rsidR="004652C4" w:rsidRPr="004652C4" w:rsidRDefault="004652C4" w:rsidP="004652C4">
      <w:pPr>
        <w:rPr>
          <w:rFonts w:ascii="Times New Roman" w:eastAsia="Times New Roman" w:hAnsi="Times New Roman" w:cs="Times New Roman"/>
          <w:kern w:val="0"/>
          <w:lang w:eastAsia="pt-BR"/>
          <w14:ligatures w14:val="none"/>
        </w:rPr>
      </w:pPr>
    </w:p>
    <w:p w14:paraId="5E15DED4" w14:textId="77777777" w:rsidR="004652C4" w:rsidRPr="004652C4" w:rsidRDefault="004652C4" w:rsidP="004652C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652C4">
        <w:rPr>
          <w:rFonts w:ascii="Times New Roman" w:eastAsia="Times New Roman" w:hAnsi="Times New Roman" w:cs="Times New Roman"/>
          <w:b/>
          <w:bCs/>
          <w:color w:val="000000"/>
          <w:kern w:val="0"/>
          <w:sz w:val="36"/>
          <w:szCs w:val="36"/>
          <w:lang w:eastAsia="pt-BR"/>
          <w14:ligatures w14:val="none"/>
        </w:rPr>
        <w:t>Introdução</w:t>
      </w:r>
    </w:p>
    <w:p w14:paraId="08126527"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A assinatura do Acordo de Associação entre o Mercosul e a União Europeia (UE), concluída em 2019 após duas décadas de negociações, representa um dos maiores esforços de liberalização comercial da história recente. Com um escopo que vai além das tradicionais pautas tarifárias, abrangendo temas como serviços, compras governamentais, propriedade intelectual e desenvolvimento sustentável, o tratado promete constituir uma das maiores zonas de livre comércio do mundo. Esta resenha crítica busca analisar os impactos financeiros e políticos do acordo, além de discutir a viabilidade técnica do Brasil em cumprir as exigências estabelecidas.</w:t>
      </w:r>
    </w:p>
    <w:p w14:paraId="44BF3F7E" w14:textId="43D5C1DD" w:rsidR="004652C4" w:rsidRPr="004652C4" w:rsidRDefault="004652C4" w:rsidP="004652C4">
      <w:pPr>
        <w:rPr>
          <w:rFonts w:ascii="Times New Roman" w:eastAsia="Times New Roman" w:hAnsi="Times New Roman" w:cs="Times New Roman"/>
          <w:kern w:val="0"/>
          <w:lang w:eastAsia="pt-BR"/>
          <w14:ligatures w14:val="none"/>
        </w:rPr>
      </w:pPr>
    </w:p>
    <w:p w14:paraId="77F392B2" w14:textId="77777777" w:rsidR="004652C4" w:rsidRPr="004652C4" w:rsidRDefault="004652C4" w:rsidP="004652C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652C4">
        <w:rPr>
          <w:rFonts w:ascii="Times New Roman" w:eastAsia="Times New Roman" w:hAnsi="Times New Roman" w:cs="Times New Roman"/>
          <w:b/>
          <w:bCs/>
          <w:color w:val="000000"/>
          <w:kern w:val="0"/>
          <w:sz w:val="36"/>
          <w:szCs w:val="36"/>
          <w:lang w:eastAsia="pt-BR"/>
          <w14:ligatures w14:val="none"/>
        </w:rPr>
        <w:t>Escopo e Estrutura do Acordo</w:t>
      </w:r>
    </w:p>
    <w:p w14:paraId="564FB345"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O acordo possui três pilares fundamentais: diálogo político, cooperação e livre comércio. No campo comercial, o tratado prevê a liberalização de 91% das exportações do Mercosul para a UE e de 92% das exportações europeias para o bloco sul-americano em um prazo de até 10 anos.</w:t>
      </w:r>
    </w:p>
    <w:p w14:paraId="4A9D3A9A"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Além da eliminação tarifária, o acordo abrange temas como medidas sanitárias e fitossanitárias, regras de origem, barreiras técnicas ao comércio, facilitação aduaneira, comércio de serviços, investimentos, compras governamentais e propriedade intelectual.</w:t>
      </w:r>
    </w:p>
    <w:p w14:paraId="0CDE0C4D" w14:textId="3BA4FEF5" w:rsidR="004652C4" w:rsidRPr="004652C4" w:rsidRDefault="004652C4" w:rsidP="004652C4">
      <w:pPr>
        <w:rPr>
          <w:rFonts w:ascii="Times New Roman" w:eastAsia="Times New Roman" w:hAnsi="Times New Roman" w:cs="Times New Roman"/>
          <w:kern w:val="0"/>
          <w:lang w:eastAsia="pt-BR"/>
          <w14:ligatures w14:val="none"/>
        </w:rPr>
      </w:pPr>
    </w:p>
    <w:p w14:paraId="3D8A9E18" w14:textId="77777777" w:rsidR="004652C4" w:rsidRPr="004652C4" w:rsidRDefault="004652C4" w:rsidP="004652C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652C4">
        <w:rPr>
          <w:rFonts w:ascii="Times New Roman" w:eastAsia="Times New Roman" w:hAnsi="Times New Roman" w:cs="Times New Roman"/>
          <w:b/>
          <w:bCs/>
          <w:color w:val="000000"/>
          <w:kern w:val="0"/>
          <w:sz w:val="36"/>
          <w:szCs w:val="36"/>
          <w:lang w:eastAsia="pt-BR"/>
          <w14:ligatures w14:val="none"/>
        </w:rPr>
        <w:lastRenderedPageBreak/>
        <w:t>Impactos Financeiros Potenciais</w:t>
      </w:r>
    </w:p>
    <w:p w14:paraId="09DFDA6F" w14:textId="77777777" w:rsidR="004652C4" w:rsidRPr="004652C4" w:rsidRDefault="004652C4" w:rsidP="004652C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652C4">
        <w:rPr>
          <w:rFonts w:ascii="Times New Roman" w:eastAsia="Times New Roman" w:hAnsi="Times New Roman" w:cs="Times New Roman"/>
          <w:b/>
          <w:bCs/>
          <w:color w:val="000000"/>
          <w:kern w:val="0"/>
          <w:sz w:val="27"/>
          <w:szCs w:val="27"/>
          <w:lang w:eastAsia="pt-BR"/>
          <w14:ligatures w14:val="none"/>
        </w:rPr>
        <w:t>Exportações e Acesso ao Mercado</w:t>
      </w:r>
    </w:p>
    <w:p w14:paraId="6BCB9463"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A União Europeia é tradicionalmente um dos principais destinos das exportações brasileiras. Em 2018, o Brasil exportou mais de US$ 42 bilhões para a UE, sendo 32% desses produtos do setor agropecuário. A liberalização de produtos como carne bovina, aves, etanol e açúcar poderá aumentar significativamente o volume de exportações do Brasil, especialmente no agronegócio.</w:t>
      </w:r>
    </w:p>
    <w:p w14:paraId="7C087F6A"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Por outro lado, a indústria brasileira se encontra em posição vulnerável. O acordo prevê a liberalização de 91% das importações industriais da UE em até 15 anos, o que expõe o setor a uma concorrência mais agressiva, sem garantia de condições isonômicas em competitividade, sobretudo tecnológica.</w:t>
      </w:r>
    </w:p>
    <w:p w14:paraId="6D0D0376" w14:textId="77777777" w:rsidR="004652C4" w:rsidRPr="004652C4" w:rsidRDefault="004652C4" w:rsidP="004652C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652C4">
        <w:rPr>
          <w:rFonts w:ascii="Times New Roman" w:eastAsia="Times New Roman" w:hAnsi="Times New Roman" w:cs="Times New Roman"/>
          <w:b/>
          <w:bCs/>
          <w:color w:val="000000"/>
          <w:kern w:val="0"/>
          <w:sz w:val="27"/>
          <w:szCs w:val="27"/>
          <w:lang w:eastAsia="pt-BR"/>
          <w14:ligatures w14:val="none"/>
        </w:rPr>
        <w:t>Investimentos e Custo-Brasil</w:t>
      </w:r>
    </w:p>
    <w:p w14:paraId="274AACBF"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A expectativa de aumento de Investimento Estrangeiro Direto (IED) é alta, uma vez que a UE é o maior investidor no Mercosul, com mais de US$ 430 bilhões em estoque de investimentos. O acordo oferece maior previsibilidade e segurança jurídica, especialmente nos setores de infraestrutura, energia e telecomunicações.</w:t>
      </w:r>
    </w:p>
    <w:p w14:paraId="76D1DDFF" w14:textId="3F620899"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Entretanto, a redução tarifária e a liberalização dos mercados sem contrapartidas estruturantes podem ampliar o "custo-Brasil". Segundo a CNI, sem reformas internas que garantam maior competitividade como desburocratização, melhoria da infraestrutura e reforma tributária os ganhos do acordo poderão ser apropriados majoritariamente pelas empresas europeias.</w:t>
      </w:r>
    </w:p>
    <w:p w14:paraId="6C3E6BD5" w14:textId="514C8111" w:rsidR="004652C4" w:rsidRPr="004652C4" w:rsidRDefault="004652C4" w:rsidP="004652C4">
      <w:pPr>
        <w:rPr>
          <w:rFonts w:ascii="Times New Roman" w:eastAsia="Times New Roman" w:hAnsi="Times New Roman" w:cs="Times New Roman"/>
          <w:kern w:val="0"/>
          <w:lang w:eastAsia="pt-BR"/>
          <w14:ligatures w14:val="none"/>
        </w:rPr>
      </w:pPr>
    </w:p>
    <w:p w14:paraId="31BBAF4F" w14:textId="77777777" w:rsidR="004652C4" w:rsidRPr="004652C4" w:rsidRDefault="004652C4" w:rsidP="004652C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652C4">
        <w:rPr>
          <w:rFonts w:ascii="Times New Roman" w:eastAsia="Times New Roman" w:hAnsi="Times New Roman" w:cs="Times New Roman"/>
          <w:b/>
          <w:bCs/>
          <w:color w:val="000000"/>
          <w:kern w:val="0"/>
          <w:sz w:val="36"/>
          <w:szCs w:val="36"/>
          <w:lang w:eastAsia="pt-BR"/>
          <w14:ligatures w14:val="none"/>
        </w:rPr>
        <w:t>Impactos Políticos e Geoestratégicos</w:t>
      </w:r>
    </w:p>
    <w:p w14:paraId="084136F4"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O tratado insere o Brasil e o Mercosul num novo patamar de inserção internacional. Em um contexto global de retração do multilateralismo e ascensão de agendas protecionistas, o acordo sinaliza compromisso com o comércio aberto e o multilateralismo liberal. Politicamente, aproxima o bloco sul-americano de um parceiro estratégico com padrões regulatórios rigorosos, o que pode fomentar boas práticas institucionais e regulatórias no Brasil.</w:t>
      </w:r>
    </w:p>
    <w:p w14:paraId="48E5EC88"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No entanto, o acordo também gera tensões internas. Diversos setores agrícolas europeus, protegidos por subsídios e cotas, manifestaram resistência, especialmente na França e Irlanda, exigindo salvaguardas ambientais. A aprovação parlamentar do tratado na Europa depende da percepção de que o Brasil cumpre seus compromissos climáticos e de sustentabilidade. Assim, o governo brasileiro se vê pressionado a adotar posturas mais firmes na agenda ambiental, sob pena de inviabilizar a ratificação do acordo.</w:t>
      </w:r>
    </w:p>
    <w:p w14:paraId="37AFF898" w14:textId="40D7509E" w:rsidR="004652C4" w:rsidRPr="004652C4" w:rsidRDefault="004652C4" w:rsidP="004652C4">
      <w:pPr>
        <w:rPr>
          <w:rFonts w:ascii="Times New Roman" w:eastAsia="Times New Roman" w:hAnsi="Times New Roman" w:cs="Times New Roman"/>
          <w:kern w:val="0"/>
          <w:lang w:eastAsia="pt-BR"/>
          <w14:ligatures w14:val="none"/>
        </w:rPr>
      </w:pPr>
    </w:p>
    <w:p w14:paraId="74E0BB3A" w14:textId="77777777" w:rsidR="004652C4" w:rsidRPr="004652C4" w:rsidRDefault="004652C4" w:rsidP="004652C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652C4">
        <w:rPr>
          <w:rFonts w:ascii="Times New Roman" w:eastAsia="Times New Roman" w:hAnsi="Times New Roman" w:cs="Times New Roman"/>
          <w:b/>
          <w:bCs/>
          <w:color w:val="000000"/>
          <w:kern w:val="0"/>
          <w:sz w:val="36"/>
          <w:szCs w:val="36"/>
          <w:lang w:eastAsia="pt-BR"/>
          <w14:ligatures w14:val="none"/>
        </w:rPr>
        <w:lastRenderedPageBreak/>
        <w:t>Análise Técnica da Viabilidade Brasileira</w:t>
      </w:r>
    </w:p>
    <w:p w14:paraId="6C7BA25E" w14:textId="77777777" w:rsidR="004652C4" w:rsidRPr="004652C4" w:rsidRDefault="004652C4" w:rsidP="004652C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652C4">
        <w:rPr>
          <w:rFonts w:ascii="Times New Roman" w:eastAsia="Times New Roman" w:hAnsi="Times New Roman" w:cs="Times New Roman"/>
          <w:b/>
          <w:bCs/>
          <w:color w:val="000000"/>
          <w:kern w:val="0"/>
          <w:sz w:val="27"/>
          <w:szCs w:val="27"/>
          <w:lang w:eastAsia="pt-BR"/>
          <w14:ligatures w14:val="none"/>
        </w:rPr>
        <w:t>Regras de Origem e Facilitação Comercial</w:t>
      </w:r>
    </w:p>
    <w:p w14:paraId="5E10EB8E"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As regras de origem negociadas são específicas por produto e, em muitos casos, complexas. Exigem controle e comprovação detalhada da origem dos insumos e transformação industrial local. Embora as grandes exportadoras brasileiras estejam tecnicamente aptas, pequenas e médias empresas enfrentarão dificuldades para adaptar-se às exigências documentais e operacionais.</w:t>
      </w:r>
    </w:p>
    <w:p w14:paraId="4A2986B8"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Além disso, o acordo exige o cumprimento de normas de facilitação comercial, como a digitalização de processos aduaneiros e reconhecimento mútuo de operadores econômicos autorizados. Embora o Brasil tenha avançado nesse campo, ainda há desafios na integração dos sistemas aduaneiros e na capacitação de órgãos públicos e privados para adequação plena.</w:t>
      </w:r>
    </w:p>
    <w:p w14:paraId="36221C68" w14:textId="77777777" w:rsidR="004652C4" w:rsidRPr="004652C4" w:rsidRDefault="004652C4" w:rsidP="004652C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652C4">
        <w:rPr>
          <w:rFonts w:ascii="Times New Roman" w:eastAsia="Times New Roman" w:hAnsi="Times New Roman" w:cs="Times New Roman"/>
          <w:b/>
          <w:bCs/>
          <w:color w:val="000000"/>
          <w:kern w:val="0"/>
          <w:sz w:val="27"/>
          <w:szCs w:val="27"/>
          <w:lang w:eastAsia="pt-BR"/>
          <w14:ligatures w14:val="none"/>
        </w:rPr>
        <w:t>Barreiras Técnicas e Sanitárias</w:t>
      </w:r>
    </w:p>
    <w:p w14:paraId="55A89A45"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O capítulo de barreiras técnicas exige a harmonização regulatória e adesão a padrões internacionais. O Brasil ainda carece de estrutura consolidada para consulta pública, análise de impacto regulatório e supervisão interinstitucional em muitos setores. Essa exigência poderá gerar obstáculos não tarifários indiretos caso o país não se adeque rapidamente.</w:t>
      </w:r>
    </w:p>
    <w:p w14:paraId="403336C3"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Em medidas sanitárias e fitossanitárias, o país tem experiência, mas frequentemente enfrenta barreiras técnicas da UE em temas como defensivos agrícolas e rastreabilidade. O cumprimento das normas europeias pode exigir investimentos expressivos, sobretudo de pequenos produtores.</w:t>
      </w:r>
    </w:p>
    <w:p w14:paraId="07C8ADAF" w14:textId="77777777" w:rsidR="004652C4" w:rsidRPr="004652C4" w:rsidRDefault="004652C4" w:rsidP="004652C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652C4">
        <w:rPr>
          <w:rFonts w:ascii="Times New Roman" w:eastAsia="Times New Roman" w:hAnsi="Times New Roman" w:cs="Times New Roman"/>
          <w:b/>
          <w:bCs/>
          <w:color w:val="000000"/>
          <w:kern w:val="0"/>
          <w:sz w:val="27"/>
          <w:szCs w:val="27"/>
          <w:lang w:eastAsia="pt-BR"/>
          <w14:ligatures w14:val="none"/>
        </w:rPr>
        <w:t>Compras Governamentais</w:t>
      </w:r>
    </w:p>
    <w:p w14:paraId="38BBDA0E"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O acesso ao mercado de compras públicas da UE é um dos ganhos projetados. No entanto, o Brasil compromete-se, progressivamente, a abrir seu mercado interno, o que pode limitar políticas públicas estratégicas em inovação, defesa, saúde e desenvolvimento regional. Embora o acordo contenha exceções, sua aplicação prática demandará atenção jurídica e institucional.</w:t>
      </w:r>
    </w:p>
    <w:p w14:paraId="19A92FDE" w14:textId="2723041E" w:rsidR="004652C4" w:rsidRPr="004652C4" w:rsidRDefault="004652C4" w:rsidP="004652C4">
      <w:pPr>
        <w:rPr>
          <w:rFonts w:ascii="Times New Roman" w:eastAsia="Times New Roman" w:hAnsi="Times New Roman" w:cs="Times New Roman"/>
          <w:kern w:val="0"/>
          <w:lang w:eastAsia="pt-BR"/>
          <w14:ligatures w14:val="none"/>
        </w:rPr>
      </w:pPr>
    </w:p>
    <w:p w14:paraId="0A9E16E4" w14:textId="77777777" w:rsidR="004652C4" w:rsidRPr="004652C4" w:rsidRDefault="004652C4" w:rsidP="004652C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652C4">
        <w:rPr>
          <w:rFonts w:ascii="Times New Roman" w:eastAsia="Times New Roman" w:hAnsi="Times New Roman" w:cs="Times New Roman"/>
          <w:b/>
          <w:bCs/>
          <w:color w:val="000000"/>
          <w:kern w:val="0"/>
          <w:sz w:val="36"/>
          <w:szCs w:val="36"/>
          <w:lang w:eastAsia="pt-BR"/>
          <w14:ligatures w14:val="none"/>
        </w:rPr>
        <w:t>Pontos Positivos e Críticos</w:t>
      </w:r>
    </w:p>
    <w:p w14:paraId="6DE0E7FD" w14:textId="77777777" w:rsidR="004652C4" w:rsidRPr="004652C4" w:rsidRDefault="004652C4" w:rsidP="004652C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652C4">
        <w:rPr>
          <w:rFonts w:ascii="Times New Roman" w:eastAsia="Times New Roman" w:hAnsi="Times New Roman" w:cs="Times New Roman"/>
          <w:b/>
          <w:bCs/>
          <w:color w:val="000000"/>
          <w:kern w:val="0"/>
          <w:sz w:val="27"/>
          <w:szCs w:val="27"/>
          <w:lang w:eastAsia="pt-BR"/>
          <w14:ligatures w14:val="none"/>
        </w:rPr>
        <w:t>Potencial Positivo</w:t>
      </w:r>
    </w:p>
    <w:p w14:paraId="6830D9D5" w14:textId="77777777" w:rsidR="004652C4" w:rsidRPr="004652C4" w:rsidRDefault="004652C4" w:rsidP="004652C4">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Aumento do comércio agrícola e inserção competitiva de produtos brasileiros.</w:t>
      </w:r>
    </w:p>
    <w:p w14:paraId="3521A30F" w14:textId="77777777" w:rsidR="004652C4" w:rsidRPr="004652C4" w:rsidRDefault="004652C4" w:rsidP="004652C4">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Maior previsibilidade para investimentos europeus no Brasil.</w:t>
      </w:r>
    </w:p>
    <w:p w14:paraId="667958C1" w14:textId="77777777" w:rsidR="004652C4" w:rsidRPr="004652C4" w:rsidRDefault="004652C4" w:rsidP="004652C4">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Integração às cadeias globais de valor e aproximação de marcos regulatórios.</w:t>
      </w:r>
    </w:p>
    <w:p w14:paraId="584EC9F1" w14:textId="77777777" w:rsidR="004652C4" w:rsidRPr="004652C4" w:rsidRDefault="004652C4" w:rsidP="004652C4">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Fortalecimento das relações Sul-Norte num momento de crise do multilateralismo.</w:t>
      </w:r>
    </w:p>
    <w:p w14:paraId="61A5F69E" w14:textId="77777777" w:rsidR="004652C4" w:rsidRPr="004652C4" w:rsidRDefault="004652C4" w:rsidP="004652C4">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4652C4">
        <w:rPr>
          <w:rFonts w:ascii="Times New Roman" w:eastAsia="Times New Roman" w:hAnsi="Times New Roman" w:cs="Times New Roman"/>
          <w:b/>
          <w:bCs/>
          <w:color w:val="000000"/>
          <w:kern w:val="0"/>
          <w:sz w:val="27"/>
          <w:szCs w:val="27"/>
          <w:lang w:eastAsia="pt-BR"/>
          <w14:ligatures w14:val="none"/>
        </w:rPr>
        <w:lastRenderedPageBreak/>
        <w:t>Críticas e Riscos</w:t>
      </w:r>
    </w:p>
    <w:p w14:paraId="36F303F5" w14:textId="77777777" w:rsidR="004652C4" w:rsidRPr="004652C4" w:rsidRDefault="004652C4" w:rsidP="004652C4">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Acordo pode aprofundar a reprimarização das exportações brasileiras, reforçando dependência de commodities.</w:t>
      </w:r>
    </w:p>
    <w:p w14:paraId="23EBB1CF" w14:textId="77777777" w:rsidR="004652C4" w:rsidRPr="004652C4" w:rsidRDefault="004652C4" w:rsidP="004652C4">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Indústria nacional corre risco de desindustrialização se não houver política de modernização tecnológica.</w:t>
      </w:r>
    </w:p>
    <w:p w14:paraId="241129F1" w14:textId="77777777" w:rsidR="004652C4" w:rsidRPr="004652C4" w:rsidRDefault="004652C4" w:rsidP="004652C4">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Brasil enfrenta dificuldades técnicas e institucionais para cumprir exigências do acordo em sua integralidade.</w:t>
      </w:r>
    </w:p>
    <w:p w14:paraId="4182D0ED" w14:textId="77777777" w:rsidR="004652C4" w:rsidRPr="004652C4" w:rsidRDefault="004652C4" w:rsidP="004652C4">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Dependência da aprovação do acordo nos parlamentos europeus, condicionada a temas ambientais e políticos.</w:t>
      </w:r>
    </w:p>
    <w:p w14:paraId="5295EDC9" w14:textId="3FE11CFE" w:rsidR="004652C4" w:rsidRPr="004652C4" w:rsidRDefault="004652C4" w:rsidP="004652C4">
      <w:pPr>
        <w:rPr>
          <w:rFonts w:ascii="Times New Roman" w:eastAsia="Times New Roman" w:hAnsi="Times New Roman" w:cs="Times New Roman"/>
          <w:kern w:val="0"/>
          <w:lang w:eastAsia="pt-BR"/>
          <w14:ligatures w14:val="none"/>
        </w:rPr>
      </w:pPr>
    </w:p>
    <w:p w14:paraId="5CD0221E" w14:textId="77777777" w:rsidR="004652C4" w:rsidRPr="004652C4" w:rsidRDefault="004652C4" w:rsidP="004652C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652C4">
        <w:rPr>
          <w:rFonts w:ascii="Times New Roman" w:eastAsia="Times New Roman" w:hAnsi="Times New Roman" w:cs="Times New Roman"/>
          <w:b/>
          <w:bCs/>
          <w:color w:val="000000"/>
          <w:kern w:val="0"/>
          <w:sz w:val="36"/>
          <w:szCs w:val="36"/>
          <w:lang w:eastAsia="pt-BR"/>
          <w14:ligatures w14:val="none"/>
        </w:rPr>
        <w:t>Considerações Finais</w:t>
      </w:r>
    </w:p>
    <w:p w14:paraId="37B9BA88"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O Acordo de Associação entre o Mercosul e a União Europeia é, inegavelmente, um marco histórico. Ele inaugura uma nova fase nas relações birregionais, ampliando oportunidades comerciais e exigindo maior sofisticação institucional e regulatória dos países do Sul. No entanto, os ganhos projetados dependem, sobretudo, da capacidade do Brasil de responder com eficiência às exigências técnicas, políticas e ambientais do tratado.</w:t>
      </w:r>
    </w:p>
    <w:p w14:paraId="6B35C0E1"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Mais do que um acordo comercial, este pacto é um convite à modernização. Se implementado com responsabilidade e acompanhado de reformas internas, pode representar uma inflexão no modelo de inserção internacional do Brasil. Caso contrário, corre o risco de ampliar assimetrias e consolidar um modelo de subordinação econômica. A escolha está lançada.</w:t>
      </w:r>
    </w:p>
    <w:p w14:paraId="7357D4F0" w14:textId="77777777" w:rsidR="004652C4" w:rsidRDefault="004652C4" w:rsidP="004652C4">
      <w:pPr>
        <w:spacing w:before="100" w:beforeAutospacing="1" w:after="100" w:afterAutospacing="1"/>
        <w:outlineLvl w:val="1"/>
        <w:rPr>
          <w:rFonts w:ascii="Times New Roman" w:eastAsia="Times New Roman" w:hAnsi="Times New Roman" w:cs="Times New Roman"/>
          <w:kern w:val="0"/>
          <w:lang w:eastAsia="pt-BR"/>
          <w14:ligatures w14:val="none"/>
        </w:rPr>
      </w:pPr>
    </w:p>
    <w:p w14:paraId="0538F675" w14:textId="27F1690D" w:rsidR="004652C4" w:rsidRPr="004652C4" w:rsidRDefault="004652C4" w:rsidP="004652C4">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4652C4">
        <w:rPr>
          <w:rFonts w:ascii="Times New Roman" w:eastAsia="Times New Roman" w:hAnsi="Times New Roman" w:cs="Times New Roman"/>
          <w:b/>
          <w:bCs/>
          <w:color w:val="000000"/>
          <w:kern w:val="0"/>
          <w:sz w:val="36"/>
          <w:szCs w:val="36"/>
          <w:lang w:eastAsia="pt-BR"/>
          <w14:ligatures w14:val="none"/>
        </w:rPr>
        <w:t>Referências</w:t>
      </w:r>
    </w:p>
    <w:p w14:paraId="7553A43E"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BRASIL. Ministério das Relações Exteriores. </w:t>
      </w:r>
      <w:r w:rsidRPr="004652C4">
        <w:rPr>
          <w:rFonts w:ascii="Times New Roman" w:eastAsia="Times New Roman" w:hAnsi="Times New Roman" w:cs="Times New Roman"/>
          <w:i/>
          <w:iCs/>
          <w:color w:val="000000"/>
          <w:kern w:val="0"/>
          <w:lang w:eastAsia="pt-BR"/>
          <w14:ligatures w14:val="none"/>
        </w:rPr>
        <w:t>Acordo de Associação Mercosul-União Europeia: resumo informativo</w:t>
      </w:r>
      <w:r w:rsidRPr="004652C4">
        <w:rPr>
          <w:rFonts w:ascii="Times New Roman" w:eastAsia="Times New Roman" w:hAnsi="Times New Roman" w:cs="Times New Roman"/>
          <w:color w:val="000000"/>
          <w:kern w:val="0"/>
          <w:lang w:eastAsia="pt-BR"/>
          <w14:ligatures w14:val="none"/>
        </w:rPr>
        <w:t>. Brasília: MRE, 2019. Disponível em: </w:t>
      </w:r>
      <w:hyperlink r:id="rId6" w:history="1">
        <w:r w:rsidRPr="004652C4">
          <w:rPr>
            <w:rFonts w:ascii="Times New Roman" w:eastAsia="Times New Roman" w:hAnsi="Times New Roman" w:cs="Times New Roman"/>
            <w:color w:val="0000FF"/>
            <w:kern w:val="0"/>
            <w:u w:val="single"/>
            <w:lang w:eastAsia="pt-BR"/>
            <w14:ligatures w14:val="none"/>
          </w:rPr>
          <w:t>https://static.portaldaindustria.com.br/media/filer_public/e7/56/e756e5fb-4f0f-4b6a-90a8-d48a13e081fd/2_acordo_mercosul_ue.pdf</w:t>
        </w:r>
      </w:hyperlink>
      <w:r w:rsidRPr="004652C4">
        <w:rPr>
          <w:rFonts w:ascii="Times New Roman" w:eastAsia="Times New Roman" w:hAnsi="Times New Roman" w:cs="Times New Roman"/>
          <w:color w:val="000000"/>
          <w:kern w:val="0"/>
          <w:lang w:eastAsia="pt-BR"/>
          <w14:ligatures w14:val="none"/>
        </w:rPr>
        <w:t>. Acesso em: 21 maio 2025.</w:t>
      </w:r>
    </w:p>
    <w:p w14:paraId="24D0D224"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CONFEDERAÇÃO NACIONAL DA INDÚSTRIA. </w:t>
      </w:r>
      <w:r w:rsidRPr="004652C4">
        <w:rPr>
          <w:rFonts w:ascii="Times New Roman" w:eastAsia="Times New Roman" w:hAnsi="Times New Roman" w:cs="Times New Roman"/>
          <w:i/>
          <w:iCs/>
          <w:color w:val="000000"/>
          <w:kern w:val="0"/>
          <w:lang w:eastAsia="pt-BR"/>
          <w14:ligatures w14:val="none"/>
        </w:rPr>
        <w:t>Negociações entre o Mercosul e a União Europeia: documento de posição da indústria</w:t>
      </w:r>
      <w:r w:rsidRPr="004652C4">
        <w:rPr>
          <w:rFonts w:ascii="Times New Roman" w:eastAsia="Times New Roman" w:hAnsi="Times New Roman" w:cs="Times New Roman"/>
          <w:color w:val="000000"/>
          <w:kern w:val="0"/>
          <w:lang w:eastAsia="pt-BR"/>
          <w14:ligatures w14:val="none"/>
        </w:rPr>
        <w:t>. Brasília: CNI, 2017. Disponível em: </w:t>
      </w:r>
      <w:hyperlink r:id="rId7" w:history="1">
        <w:r w:rsidRPr="004652C4">
          <w:rPr>
            <w:rFonts w:ascii="Times New Roman" w:eastAsia="Times New Roman" w:hAnsi="Times New Roman" w:cs="Times New Roman"/>
            <w:color w:val="0000FF"/>
            <w:kern w:val="0"/>
            <w:u w:val="single"/>
            <w:lang w:eastAsia="pt-BR"/>
            <w14:ligatures w14:val="none"/>
          </w:rPr>
          <w:t>https://repositorio.ipea.gov.br/bitstream/11058/1897/1/TD_1054.pdf</w:t>
        </w:r>
      </w:hyperlink>
      <w:r w:rsidRPr="004652C4">
        <w:rPr>
          <w:rFonts w:ascii="Times New Roman" w:eastAsia="Times New Roman" w:hAnsi="Times New Roman" w:cs="Times New Roman"/>
          <w:color w:val="000000"/>
          <w:kern w:val="0"/>
          <w:lang w:eastAsia="pt-BR"/>
          <w14:ligatures w14:val="none"/>
        </w:rPr>
        <w:t>. Acesso em: 21 maio 2025.</w:t>
      </w:r>
    </w:p>
    <w:p w14:paraId="7A1A6D0A"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INSTITUTO DE PESQUISA ECONÔMICA APLICADA (IPEA). </w:t>
      </w:r>
      <w:r w:rsidRPr="004652C4">
        <w:rPr>
          <w:rFonts w:ascii="Times New Roman" w:eastAsia="Times New Roman" w:hAnsi="Times New Roman" w:cs="Times New Roman"/>
          <w:i/>
          <w:iCs/>
          <w:color w:val="000000"/>
          <w:kern w:val="0"/>
          <w:lang w:eastAsia="pt-BR"/>
          <w14:ligatures w14:val="none"/>
        </w:rPr>
        <w:t>Acordos comerciais entre Mercosul e União Europeia</w:t>
      </w:r>
      <w:r w:rsidRPr="004652C4">
        <w:rPr>
          <w:rFonts w:ascii="Times New Roman" w:eastAsia="Times New Roman" w:hAnsi="Times New Roman" w:cs="Times New Roman"/>
          <w:color w:val="000000"/>
          <w:kern w:val="0"/>
          <w:lang w:eastAsia="pt-BR"/>
          <w14:ligatures w14:val="none"/>
        </w:rPr>
        <w:t>. Brasília: IPEA, 2011. Disponível em: </w:t>
      </w:r>
      <w:hyperlink r:id="rId8" w:history="1">
        <w:r w:rsidRPr="004652C4">
          <w:rPr>
            <w:rFonts w:ascii="Times New Roman" w:eastAsia="Times New Roman" w:hAnsi="Times New Roman" w:cs="Times New Roman"/>
            <w:color w:val="0000FF"/>
            <w:kern w:val="0"/>
            <w:u w:val="single"/>
            <w:lang w:eastAsia="pt-BR"/>
            <w14:ligatures w14:val="none"/>
          </w:rPr>
          <w:t>https://repositorio.ipea.gov.br/bitstream/11058/1897/1/TD_1054.pdf</w:t>
        </w:r>
      </w:hyperlink>
      <w:r w:rsidRPr="004652C4">
        <w:rPr>
          <w:rFonts w:ascii="Times New Roman" w:eastAsia="Times New Roman" w:hAnsi="Times New Roman" w:cs="Times New Roman"/>
          <w:color w:val="000000"/>
          <w:kern w:val="0"/>
          <w:lang w:eastAsia="pt-BR"/>
          <w14:ligatures w14:val="none"/>
        </w:rPr>
        <w:t>. Acesso em: 21 maio 2025.</w:t>
      </w:r>
    </w:p>
    <w:p w14:paraId="62D62126" w14:textId="77777777" w:rsidR="004652C4" w:rsidRPr="004652C4" w:rsidRDefault="004652C4" w:rsidP="004652C4">
      <w:pPr>
        <w:spacing w:before="100" w:beforeAutospacing="1" w:after="100" w:afterAutospacing="1"/>
        <w:rPr>
          <w:rFonts w:ascii="Times New Roman" w:eastAsia="Times New Roman" w:hAnsi="Times New Roman" w:cs="Times New Roman"/>
          <w:color w:val="000000"/>
          <w:kern w:val="0"/>
          <w:lang w:eastAsia="pt-BR"/>
          <w14:ligatures w14:val="none"/>
        </w:rPr>
      </w:pPr>
      <w:r w:rsidRPr="004652C4">
        <w:rPr>
          <w:rFonts w:ascii="Times New Roman" w:eastAsia="Times New Roman" w:hAnsi="Times New Roman" w:cs="Times New Roman"/>
          <w:color w:val="000000"/>
          <w:kern w:val="0"/>
          <w:lang w:eastAsia="pt-BR"/>
          <w14:ligatures w14:val="none"/>
        </w:rPr>
        <w:t>BRASIL. Governo Federal. </w:t>
      </w:r>
      <w:r w:rsidRPr="004652C4">
        <w:rPr>
          <w:rFonts w:ascii="Times New Roman" w:eastAsia="Times New Roman" w:hAnsi="Times New Roman" w:cs="Times New Roman"/>
          <w:i/>
          <w:iCs/>
          <w:color w:val="000000"/>
          <w:kern w:val="0"/>
          <w:lang w:eastAsia="pt-BR"/>
          <w14:ligatures w14:val="none"/>
        </w:rPr>
        <w:t>Texto integral do Acordo de Parceria entre Mercosul e União Europeia</w:t>
      </w:r>
      <w:r w:rsidRPr="004652C4">
        <w:rPr>
          <w:rFonts w:ascii="Times New Roman" w:eastAsia="Times New Roman" w:hAnsi="Times New Roman" w:cs="Times New Roman"/>
          <w:color w:val="000000"/>
          <w:kern w:val="0"/>
          <w:lang w:eastAsia="pt-BR"/>
          <w14:ligatures w14:val="none"/>
        </w:rPr>
        <w:t>. Disponível em: </w:t>
      </w:r>
      <w:hyperlink r:id="rId9" w:history="1">
        <w:r w:rsidRPr="004652C4">
          <w:rPr>
            <w:rFonts w:ascii="Times New Roman" w:eastAsia="Times New Roman" w:hAnsi="Times New Roman" w:cs="Times New Roman"/>
            <w:color w:val="0000FF"/>
            <w:kern w:val="0"/>
            <w:u w:val="single"/>
            <w:lang w:eastAsia="pt-BR"/>
            <w14:ligatures w14:val="none"/>
          </w:rPr>
          <w:t>https://www.gov.br/planalto/pt-br/acompanhe-o-</w:t>
        </w:r>
        <w:r w:rsidRPr="004652C4">
          <w:rPr>
            <w:rFonts w:ascii="Times New Roman" w:eastAsia="Times New Roman" w:hAnsi="Times New Roman" w:cs="Times New Roman"/>
            <w:color w:val="0000FF"/>
            <w:kern w:val="0"/>
            <w:u w:val="single"/>
            <w:lang w:eastAsia="pt-BR"/>
            <w14:ligatures w14:val="none"/>
          </w:rPr>
          <w:lastRenderedPageBreak/>
          <w:t>planalto/noticias/2024/12/governo-federal-divulga-integra-do-acordo-de-parceria-entre-mercosul-e-uniao-europeia</w:t>
        </w:r>
      </w:hyperlink>
      <w:r w:rsidRPr="004652C4">
        <w:rPr>
          <w:rFonts w:ascii="Times New Roman" w:eastAsia="Times New Roman" w:hAnsi="Times New Roman" w:cs="Times New Roman"/>
          <w:color w:val="000000"/>
          <w:kern w:val="0"/>
          <w:lang w:eastAsia="pt-BR"/>
          <w14:ligatures w14:val="none"/>
        </w:rPr>
        <w:t>. Acesso em: 21 maio 2025.</w:t>
      </w:r>
    </w:p>
    <w:p w14:paraId="0675F4C4" w14:textId="440446C1" w:rsidR="004652C4" w:rsidRPr="004652C4" w:rsidRDefault="004652C4" w:rsidP="004652C4">
      <w:pPr>
        <w:rPr>
          <w:rFonts w:ascii="Times New Roman" w:eastAsia="Times New Roman" w:hAnsi="Times New Roman" w:cs="Times New Roman"/>
          <w:kern w:val="0"/>
          <w:lang w:eastAsia="pt-BR"/>
          <w14:ligatures w14:val="none"/>
        </w:rPr>
      </w:pPr>
    </w:p>
    <w:p w14:paraId="0C7231A0" w14:textId="49F1E7FD" w:rsidR="004652C4" w:rsidRPr="004652C4" w:rsidRDefault="004652C4" w:rsidP="004652C4"/>
    <w:sectPr w:rsidR="004652C4" w:rsidRPr="004652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D23E1"/>
    <w:multiLevelType w:val="multilevel"/>
    <w:tmpl w:val="2F6C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A3845"/>
    <w:multiLevelType w:val="multilevel"/>
    <w:tmpl w:val="FECC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663566">
    <w:abstractNumId w:val="1"/>
  </w:num>
  <w:num w:numId="2" w16cid:durableId="96300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5D"/>
    <w:rsid w:val="000D7913"/>
    <w:rsid w:val="003102A3"/>
    <w:rsid w:val="004652C4"/>
    <w:rsid w:val="00700169"/>
    <w:rsid w:val="009F415D"/>
    <w:rsid w:val="00D856BC"/>
    <w:rsid w:val="00F02F7D"/>
    <w:rsid w:val="00F57696"/>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A72A"/>
  <w15:chartTrackingRefBased/>
  <w15:docId w15:val="{3BABC303-5105-7649-8141-D89FAE30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F4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F4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F41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F41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F41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F415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F415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F415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F415D"/>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F415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F415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F415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F415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F415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F415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F415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F415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F415D"/>
    <w:rPr>
      <w:rFonts w:eastAsiaTheme="majorEastAsia" w:cstheme="majorBidi"/>
      <w:color w:val="272727" w:themeColor="text1" w:themeTint="D8"/>
    </w:rPr>
  </w:style>
  <w:style w:type="paragraph" w:styleId="Ttulo">
    <w:name w:val="Title"/>
    <w:basedOn w:val="Normal"/>
    <w:next w:val="Normal"/>
    <w:link w:val="TtuloChar"/>
    <w:uiPriority w:val="10"/>
    <w:qFormat/>
    <w:rsid w:val="009F415D"/>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41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F415D"/>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F415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F415D"/>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9F415D"/>
    <w:rPr>
      <w:i/>
      <w:iCs/>
      <w:color w:val="404040" w:themeColor="text1" w:themeTint="BF"/>
    </w:rPr>
  </w:style>
  <w:style w:type="paragraph" w:styleId="PargrafodaLista">
    <w:name w:val="List Paragraph"/>
    <w:basedOn w:val="Normal"/>
    <w:uiPriority w:val="34"/>
    <w:qFormat/>
    <w:rsid w:val="009F415D"/>
    <w:pPr>
      <w:ind w:left="720"/>
      <w:contextualSpacing/>
    </w:pPr>
  </w:style>
  <w:style w:type="character" w:styleId="nfaseIntensa">
    <w:name w:val="Intense Emphasis"/>
    <w:basedOn w:val="Fontepargpadro"/>
    <w:uiPriority w:val="21"/>
    <w:qFormat/>
    <w:rsid w:val="009F415D"/>
    <w:rPr>
      <w:i/>
      <w:iCs/>
      <w:color w:val="0F4761" w:themeColor="accent1" w:themeShade="BF"/>
    </w:rPr>
  </w:style>
  <w:style w:type="paragraph" w:styleId="CitaoIntensa">
    <w:name w:val="Intense Quote"/>
    <w:basedOn w:val="Normal"/>
    <w:next w:val="Normal"/>
    <w:link w:val="CitaoIntensaChar"/>
    <w:uiPriority w:val="30"/>
    <w:qFormat/>
    <w:rsid w:val="009F4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F415D"/>
    <w:rPr>
      <w:i/>
      <w:iCs/>
      <w:color w:val="0F4761" w:themeColor="accent1" w:themeShade="BF"/>
    </w:rPr>
  </w:style>
  <w:style w:type="character" w:styleId="RefernciaIntensa">
    <w:name w:val="Intense Reference"/>
    <w:basedOn w:val="Fontepargpadro"/>
    <w:uiPriority w:val="32"/>
    <w:qFormat/>
    <w:rsid w:val="009F415D"/>
    <w:rPr>
      <w:b/>
      <w:bCs/>
      <w:smallCaps/>
      <w:color w:val="0F4761" w:themeColor="accent1" w:themeShade="BF"/>
      <w:spacing w:val="5"/>
    </w:rPr>
  </w:style>
  <w:style w:type="paragraph" w:styleId="NormalWeb">
    <w:name w:val="Normal (Web)"/>
    <w:basedOn w:val="Normal"/>
    <w:uiPriority w:val="99"/>
    <w:semiHidden/>
    <w:unhideWhenUsed/>
    <w:rsid w:val="009F415D"/>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9F415D"/>
  </w:style>
  <w:style w:type="character" w:styleId="Forte">
    <w:name w:val="Strong"/>
    <w:basedOn w:val="Fontepargpadro"/>
    <w:uiPriority w:val="22"/>
    <w:qFormat/>
    <w:rsid w:val="009F415D"/>
    <w:rPr>
      <w:b/>
      <w:bCs/>
    </w:rPr>
  </w:style>
  <w:style w:type="character" w:styleId="nfase">
    <w:name w:val="Emphasis"/>
    <w:basedOn w:val="Fontepargpadro"/>
    <w:uiPriority w:val="20"/>
    <w:qFormat/>
    <w:rsid w:val="009F415D"/>
    <w:rPr>
      <w:i/>
      <w:iCs/>
    </w:rPr>
  </w:style>
  <w:style w:type="character" w:styleId="Hyperlink">
    <w:name w:val="Hyperlink"/>
    <w:basedOn w:val="Fontepargpadro"/>
    <w:uiPriority w:val="99"/>
    <w:semiHidden/>
    <w:unhideWhenUsed/>
    <w:rsid w:val="004652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101987">
      <w:bodyDiv w:val="1"/>
      <w:marLeft w:val="0"/>
      <w:marRight w:val="0"/>
      <w:marTop w:val="0"/>
      <w:marBottom w:val="0"/>
      <w:divBdr>
        <w:top w:val="none" w:sz="0" w:space="0" w:color="auto"/>
        <w:left w:val="none" w:sz="0" w:space="0" w:color="auto"/>
        <w:bottom w:val="none" w:sz="0" w:space="0" w:color="auto"/>
        <w:right w:val="none" w:sz="0" w:space="0" w:color="auto"/>
      </w:divBdr>
    </w:div>
    <w:div w:id="105165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o.ipea.gov.br/bitstream/11058/1897/1/TD_1054.pdf" TargetMode="External"/><Relationship Id="rId3" Type="http://schemas.openxmlformats.org/officeDocument/2006/relationships/settings" Target="settings.xml"/><Relationship Id="rId7" Type="http://schemas.openxmlformats.org/officeDocument/2006/relationships/hyperlink" Target="https://repositorio.ipea.gov.br/bitstream/11058/1897/1/TD_105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ic.portaldaindustria.com.br/media/filer_public/e7/56/e756e5fb-4f0f-4b6a-90a8-d48a13e081fd/2_acordo_mercosul_ue.pdf" TargetMode="External"/><Relationship Id="rId11" Type="http://schemas.openxmlformats.org/officeDocument/2006/relationships/theme" Target="theme/theme1.xml"/><Relationship Id="rId5" Type="http://schemas.openxmlformats.org/officeDocument/2006/relationships/hyperlink" Target="https://www.gov.br/planalt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v.br/planalto/pt-br/acompanhe-o-planalto/noticias/2024/12/governo-federal-divulga-integra-do-acordo-de-parceria-entre-mercosul-e-uniao-europei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1475</Words>
  <Characters>7966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2025-05-15T00:45:00Z</dcterms:created>
  <dcterms:modified xsi:type="dcterms:W3CDTF">2025-05-21T14:51:00Z</dcterms:modified>
</cp:coreProperties>
</file>