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363" w:rsidRPr="00423B27" w:rsidRDefault="00B84035">
      <w:pPr>
        <w:jc w:val="center"/>
        <w:rPr>
          <w:rFonts w:ascii="Times New Roman" w:hAnsi="Times New Roman" w:cs="Times New Roman"/>
          <w:sz w:val="24"/>
          <w:szCs w:val="24"/>
          <w:lang w:val="pt-BR"/>
        </w:rPr>
      </w:pPr>
      <w:r w:rsidRPr="00423B27">
        <w:rPr>
          <w:rFonts w:ascii="Times New Roman" w:hAnsi="Times New Roman" w:cs="Times New Roman"/>
          <w:b/>
          <w:sz w:val="24"/>
          <w:szCs w:val="24"/>
          <w:lang w:val="pt-BR"/>
        </w:rPr>
        <w:t xml:space="preserve">A Moeda Social </w:t>
      </w:r>
      <w:proofErr w:type="spellStart"/>
      <w:r w:rsidRPr="00423B27">
        <w:rPr>
          <w:rFonts w:ascii="Times New Roman" w:hAnsi="Times New Roman" w:cs="Times New Roman"/>
          <w:b/>
          <w:sz w:val="24"/>
          <w:szCs w:val="24"/>
          <w:lang w:val="pt-BR"/>
        </w:rPr>
        <w:t>Mumbuca</w:t>
      </w:r>
      <w:proofErr w:type="spellEnd"/>
      <w:r w:rsidRPr="00423B27">
        <w:rPr>
          <w:rFonts w:ascii="Times New Roman" w:hAnsi="Times New Roman" w:cs="Times New Roman"/>
          <w:b/>
          <w:sz w:val="24"/>
          <w:szCs w:val="24"/>
          <w:lang w:val="pt-BR"/>
        </w:rPr>
        <w:t xml:space="preserve"> e a Construção de uma Cidade Inteligente: Inovação Pública, Governança Colaborativa e Inclusão Socioterritorial em Maricá (RJ)</w:t>
      </w:r>
    </w:p>
    <w:p w:rsidR="00043363" w:rsidRPr="00423B27" w:rsidRDefault="00B84035">
      <w:pPr>
        <w:rPr>
          <w:rFonts w:ascii="Times New Roman" w:hAnsi="Times New Roman" w:cs="Times New Roman"/>
          <w:sz w:val="24"/>
          <w:szCs w:val="24"/>
          <w:lang w:val="pt-BR"/>
        </w:rPr>
      </w:pPr>
    </w:p>
    <w:p w:rsidR="00043363" w:rsidRPr="00423B27" w:rsidRDefault="00B84035" w:rsidP="00423B27">
      <w:pPr>
        <w:jc w:val="both"/>
        <w:rPr>
          <w:rFonts w:ascii="Times New Roman" w:hAnsi="Times New Roman" w:cs="Times New Roman"/>
          <w:lang w:val="pt-BR"/>
        </w:rPr>
      </w:pPr>
      <w:r w:rsidRPr="00423B27">
        <w:rPr>
          <w:rFonts w:ascii="Times New Roman" w:hAnsi="Times New Roman" w:cs="Times New Roman"/>
          <w:lang w:val="pt-BR"/>
        </w:rPr>
        <w:t>Resumo</w:t>
      </w:r>
      <w:r w:rsidR="00423B27" w:rsidRPr="00423B27">
        <w:rPr>
          <w:rFonts w:ascii="Times New Roman" w:hAnsi="Times New Roman" w:cs="Times New Roman"/>
          <w:lang w:val="pt-BR"/>
        </w:rPr>
        <w:t xml:space="preserve">: </w:t>
      </w:r>
      <w:r w:rsidRPr="00423B27">
        <w:rPr>
          <w:rFonts w:ascii="Times New Roman" w:hAnsi="Times New Roman" w:cs="Times New Roman"/>
          <w:lang w:val="pt-BR"/>
        </w:rPr>
        <w:t xml:space="preserve">Este artigo analisa a experiência da moeda social digital </w:t>
      </w:r>
      <w:proofErr w:type="spellStart"/>
      <w:r w:rsidRPr="00423B27">
        <w:rPr>
          <w:rFonts w:ascii="Times New Roman" w:hAnsi="Times New Roman" w:cs="Times New Roman"/>
          <w:lang w:val="pt-BR"/>
        </w:rPr>
        <w:t>Mumbuca</w:t>
      </w:r>
      <w:proofErr w:type="spellEnd"/>
      <w:r w:rsidRPr="00423B27">
        <w:rPr>
          <w:rFonts w:ascii="Times New Roman" w:hAnsi="Times New Roman" w:cs="Times New Roman"/>
          <w:lang w:val="pt-BR"/>
        </w:rPr>
        <w:t xml:space="preserve">, implementada no município de </w:t>
      </w:r>
      <w:r w:rsidRPr="00423B27">
        <w:rPr>
          <w:rFonts w:ascii="Times New Roman" w:hAnsi="Times New Roman" w:cs="Times New Roman"/>
          <w:lang w:val="pt-BR"/>
        </w:rPr>
        <w:t>Maricá (RJ), como instrumento de inovação pública e ferramenta estruturante de uma estratégia de cidade inteligente (</w:t>
      </w:r>
      <w:proofErr w:type="spellStart"/>
      <w:r w:rsidRPr="00423B27">
        <w:rPr>
          <w:rFonts w:ascii="Times New Roman" w:hAnsi="Times New Roman" w:cs="Times New Roman"/>
          <w:lang w:val="pt-BR"/>
        </w:rPr>
        <w:t>Smart</w:t>
      </w:r>
      <w:proofErr w:type="spellEnd"/>
      <w:r w:rsidRPr="00423B27">
        <w:rPr>
          <w:rFonts w:ascii="Times New Roman" w:hAnsi="Times New Roman" w:cs="Times New Roman"/>
          <w:lang w:val="pt-BR"/>
        </w:rPr>
        <w:t xml:space="preserve"> City). A partir de dados oficiais e fontes secundárias, investigam-se os efeitos da </w:t>
      </w:r>
      <w:proofErr w:type="spellStart"/>
      <w:r w:rsidRPr="00423B27">
        <w:rPr>
          <w:rFonts w:ascii="Times New Roman" w:hAnsi="Times New Roman" w:cs="Times New Roman"/>
          <w:lang w:val="pt-BR"/>
        </w:rPr>
        <w:t>Mumbuca</w:t>
      </w:r>
      <w:proofErr w:type="spellEnd"/>
      <w:r w:rsidRPr="00423B27">
        <w:rPr>
          <w:rFonts w:ascii="Times New Roman" w:hAnsi="Times New Roman" w:cs="Times New Roman"/>
          <w:lang w:val="pt-BR"/>
        </w:rPr>
        <w:t xml:space="preserve"> sobre três eixos principais: habitação, t</w:t>
      </w:r>
      <w:r w:rsidRPr="00423B27">
        <w:rPr>
          <w:rFonts w:ascii="Times New Roman" w:hAnsi="Times New Roman" w:cs="Times New Roman"/>
          <w:lang w:val="pt-BR"/>
        </w:rPr>
        <w:t>ransporte e comércio local, com enfoque em inclusão socioterritorial, governança colaborativa e integração com soluções tecnológicas urbanas. O trabalho demonstra como a articulação entre políticas sociais e tecnologias locais forma um ecossistema virtuoso</w:t>
      </w:r>
      <w:r w:rsidRPr="00423B27">
        <w:rPr>
          <w:rFonts w:ascii="Times New Roman" w:hAnsi="Times New Roman" w:cs="Times New Roman"/>
          <w:lang w:val="pt-BR"/>
        </w:rPr>
        <w:t xml:space="preserve"> de inovação pública, posicionando Maricá como referência no cenário brasileiro de desenvolvimento urbano sustentável.</w:t>
      </w:r>
    </w:p>
    <w:p w:rsidR="00043363" w:rsidRPr="00423B27" w:rsidRDefault="00B84035" w:rsidP="00423B27">
      <w:pPr>
        <w:jc w:val="both"/>
        <w:rPr>
          <w:rFonts w:ascii="Times New Roman" w:hAnsi="Times New Roman" w:cs="Times New Roman"/>
          <w:lang w:val="pt-BR"/>
        </w:rPr>
      </w:pPr>
      <w:r w:rsidRPr="00423B27">
        <w:rPr>
          <w:rFonts w:ascii="Times New Roman" w:hAnsi="Times New Roman" w:cs="Times New Roman"/>
          <w:lang w:val="pt-BR"/>
        </w:rPr>
        <w:t xml:space="preserve">Palavras-chave: moeda social, inovação pública, cidade inteligente, </w:t>
      </w:r>
      <w:proofErr w:type="spellStart"/>
      <w:r w:rsidRPr="00423B27">
        <w:rPr>
          <w:rFonts w:ascii="Times New Roman" w:hAnsi="Times New Roman" w:cs="Times New Roman"/>
          <w:lang w:val="pt-BR"/>
        </w:rPr>
        <w:t>Mumbuca</w:t>
      </w:r>
      <w:proofErr w:type="spellEnd"/>
      <w:r w:rsidRPr="00423B27">
        <w:rPr>
          <w:rFonts w:ascii="Times New Roman" w:hAnsi="Times New Roman" w:cs="Times New Roman"/>
          <w:lang w:val="pt-BR"/>
        </w:rPr>
        <w:t>, Maricá, economia solidária.</w:t>
      </w:r>
    </w:p>
    <w:p w:rsidR="00043363" w:rsidRPr="00423B27" w:rsidRDefault="00B84035">
      <w:pPr>
        <w:rPr>
          <w:rFonts w:ascii="Times New Roman" w:hAnsi="Times New Roman" w:cs="Times New Roman"/>
          <w:sz w:val="24"/>
          <w:szCs w:val="24"/>
          <w:lang w:val="pt-BR"/>
        </w:rPr>
      </w:pPr>
    </w:p>
    <w:p w:rsidR="00043363" w:rsidRPr="00423B27" w:rsidRDefault="00B84035">
      <w:pPr>
        <w:rPr>
          <w:rFonts w:ascii="Times New Roman" w:hAnsi="Times New Roman" w:cs="Times New Roman"/>
          <w:sz w:val="24"/>
          <w:szCs w:val="24"/>
          <w:lang w:val="pt-BR"/>
        </w:rPr>
      </w:pPr>
      <w:r w:rsidRPr="00423B27">
        <w:rPr>
          <w:rFonts w:ascii="Times New Roman" w:hAnsi="Times New Roman" w:cs="Times New Roman"/>
          <w:sz w:val="24"/>
          <w:szCs w:val="24"/>
          <w:lang w:val="pt-BR"/>
        </w:rPr>
        <w:t>1. Introdução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As cidades inte</w:t>
      </w:r>
      <w:r w:rsidRPr="00423B27">
        <w:rPr>
          <w:rFonts w:ascii="Times New Roman" w:hAnsi="Times New Roman" w:cs="Times New Roman"/>
          <w:sz w:val="24"/>
          <w:szCs w:val="24"/>
          <w:lang w:val="pt-BR"/>
        </w:rPr>
        <w:t>ligentes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Cities</w:t>
      </w:r>
      <w:proofErr w:type="spellEnd"/>
      <w:r w:rsidRPr="00423B27">
        <w:rPr>
          <w:rFonts w:ascii="Times New Roman" w:hAnsi="Times New Roman" w:cs="Times New Roman"/>
          <w:sz w:val="24"/>
          <w:szCs w:val="24"/>
          <w:lang w:val="pt-BR"/>
        </w:rPr>
        <w:t>) representam um paradigma emergente na gestão urbana, caracterizado pela integração estratégica de tecnologia, participação cidadã, sustentabilidade ambiental e inclusão social. Este modelo de desenvolvimento visa otimizar a eficiênc</w:t>
      </w:r>
      <w:r w:rsidRPr="00423B27">
        <w:rPr>
          <w:rFonts w:ascii="Times New Roman" w:hAnsi="Times New Roman" w:cs="Times New Roman"/>
          <w:sz w:val="24"/>
          <w:szCs w:val="24"/>
          <w:lang w:val="pt-BR"/>
        </w:rPr>
        <w:t>ia dos serviços públicos, promover a conectividade digital e garantir a equidade no acesso a oportunidades, fortalecendo a capacidade de resposta do Estado às complexas demandas sociais contemporâneas. No cenário brasileiro, o município de Maricá, localiza</w:t>
      </w:r>
      <w:r w:rsidRPr="00423B27">
        <w:rPr>
          <w:rFonts w:ascii="Times New Roman" w:hAnsi="Times New Roman" w:cs="Times New Roman"/>
          <w:sz w:val="24"/>
          <w:szCs w:val="24"/>
          <w:lang w:val="pt-BR"/>
        </w:rPr>
        <w:t xml:space="preserve">do na Região Metropolitana do Rio de Janeiro, tem se destacado por sua abordagem inovadora na implementação de políticas públicas e na promoção da inclusão cidadã, notadamente por meio da Moeda Social Digital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Lançada em 2013, a Moeda Social </w:t>
      </w:r>
      <w:proofErr w:type="spellStart"/>
      <w:r w:rsidRPr="00423B27">
        <w:rPr>
          <w:rFonts w:ascii="Times New Roman" w:hAnsi="Times New Roman" w:cs="Times New Roman"/>
          <w:sz w:val="24"/>
          <w:szCs w:val="24"/>
          <w:lang w:val="pt-BR"/>
        </w:rPr>
        <w:t>Mumbu</w:t>
      </w:r>
      <w:r w:rsidRPr="00423B27">
        <w:rPr>
          <w:rFonts w:ascii="Times New Roman" w:hAnsi="Times New Roman" w:cs="Times New Roman"/>
          <w:sz w:val="24"/>
          <w:szCs w:val="24"/>
          <w:lang w:val="pt-BR"/>
        </w:rPr>
        <w:t>ca</w:t>
      </w:r>
      <w:proofErr w:type="spellEnd"/>
      <w:r w:rsidRPr="00423B27">
        <w:rPr>
          <w:rFonts w:ascii="Times New Roman" w:hAnsi="Times New Roman" w:cs="Times New Roman"/>
          <w:sz w:val="24"/>
          <w:szCs w:val="24"/>
          <w:lang w:val="pt-BR"/>
        </w:rPr>
        <w:t xml:space="preserve"> constitui um projeto pioneiro de economia solidária institucionalizada, concebido como parte integrante da estratégia municipal de distribuição de renda e de fortalecimento da economia local</w:t>
      </w:r>
      <w:r w:rsidRPr="00423B27">
        <w:rPr>
          <w:rFonts w:ascii="Times New Roman" w:hAnsi="Times New Roman" w:cs="Times New Roman"/>
          <w:sz w:val="24"/>
          <w:szCs w:val="24"/>
          <w:lang w:val="pt-BR"/>
        </w:rPr>
        <w:t xml:space="preserve">. Administrada pelo Banco Comunitário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o apoio </w:t>
      </w:r>
      <w:r w:rsidRPr="00423B27">
        <w:rPr>
          <w:rFonts w:ascii="Times New Roman" w:hAnsi="Times New Roman" w:cs="Times New Roman"/>
          <w:sz w:val="24"/>
          <w:szCs w:val="24"/>
          <w:lang w:val="pt-BR"/>
        </w:rPr>
        <w:t xml:space="preserve">direto da Prefeitura Municipal,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opera exclusivamente em formato digital, mantendo paridade de 1:1 em relação ao Real. Sua utilização abrange o pagamento de benefícios sociais, a realização de compras no comércio local credenciado, a recarga de ca</w:t>
      </w:r>
      <w:r w:rsidRPr="00423B27">
        <w:rPr>
          <w:rFonts w:ascii="Times New Roman" w:hAnsi="Times New Roman" w:cs="Times New Roman"/>
          <w:sz w:val="24"/>
          <w:szCs w:val="24"/>
          <w:lang w:val="pt-BR"/>
        </w:rPr>
        <w:t>rtões de transporte e o acesso a diversos serviços essenciais, configurando um mecanismo de gestão urbana que é, ao mesmo tempo, articulado e profundamente inovador</w:t>
      </w:r>
      <w:r w:rsidRPr="00423B27">
        <w:rPr>
          <w:rFonts w:ascii="Times New Roman" w:hAnsi="Times New Roman" w:cs="Times New Roman"/>
          <w:sz w:val="24"/>
          <w:szCs w:val="24"/>
          <w:lang w:val="pt-BR"/>
        </w:rPr>
        <w:t>.</w:t>
      </w:r>
    </w:p>
    <w:p w:rsidR="00043363"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 presente artigo propõe-se a analisar a contribuição da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para a </w:t>
      </w:r>
      <w:r w:rsidRPr="00423B27">
        <w:rPr>
          <w:rFonts w:ascii="Times New Roman" w:hAnsi="Times New Roman" w:cs="Times New Roman"/>
          <w:sz w:val="24"/>
          <w:szCs w:val="24"/>
          <w:lang w:val="pt-BR"/>
        </w:rPr>
        <w:t>consolidação de Maricá como uma cidade inteligente. Para tanto, será investigada a integração de três eixos fundamentais: habitação, transporte e comércio local. A metodologia empregada baseia-se na análise de documentos oficiais do Instituto Darcy Ribeiro</w:t>
      </w:r>
      <w:r w:rsidRPr="00423B27">
        <w:rPr>
          <w:rFonts w:ascii="Times New Roman" w:hAnsi="Times New Roman" w:cs="Times New Roman"/>
          <w:sz w:val="24"/>
          <w:szCs w:val="24"/>
          <w:lang w:val="pt-BR"/>
        </w:rPr>
        <w:t xml:space="preserve"> (IDR), relatórios da Prefeitura de Maricá, estudos do Instituto de Pesquisa Econômica Aplicada (IPEA) e outras análises acadêmicas relevantes. Através dessa abordagem, busca-se discutir as interações dinâmicas entre tecnologia, governança colaborativa e d</w:t>
      </w:r>
      <w:r w:rsidRPr="00423B27">
        <w:rPr>
          <w:rFonts w:ascii="Times New Roman" w:hAnsi="Times New Roman" w:cs="Times New Roman"/>
          <w:sz w:val="24"/>
          <w:szCs w:val="24"/>
          <w:lang w:val="pt-BR"/>
        </w:rPr>
        <w:t>esenvolvimento urbano, com foco na promoção de uma cidade mais inclusiva, resiliente e equitativa.</w:t>
      </w:r>
    </w:p>
    <w:p w:rsidR="00B84035" w:rsidRDefault="00B84035" w:rsidP="00B84035">
      <w:pPr>
        <w:spacing w:before="120" w:after="120" w:line="240" w:lineRule="auto"/>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bookmarkStart w:id="0" w:name="_GoBack"/>
      <w:bookmarkEnd w:id="0"/>
      <w:r w:rsidRPr="00423B27">
        <w:rPr>
          <w:rFonts w:ascii="Times New Roman" w:hAnsi="Times New Roman" w:cs="Times New Roman"/>
          <w:sz w:val="24"/>
          <w:szCs w:val="24"/>
          <w:lang w:val="pt-BR"/>
        </w:rPr>
        <w:t xml:space="preserve">2. Contextualização Teórica: Ecossistema de Inovação Pública e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lastRenderedPageBreak/>
        <w:t>A inovação pública, em sua essência, transcende a mera introdução de nov</w:t>
      </w:r>
      <w:r w:rsidRPr="00423B27">
        <w:rPr>
          <w:rFonts w:ascii="Times New Roman" w:hAnsi="Times New Roman" w:cs="Times New Roman"/>
          <w:sz w:val="24"/>
          <w:szCs w:val="24"/>
          <w:lang w:val="pt-BR"/>
        </w:rPr>
        <w:t>as tecnologias no setor governamental. Ela representa um processo contínuo de aprimoramento das capacidades estatais para responder de forma mais eficaz e eficiente às necessidades sociais, promovendo valor público e legitimidade democrática</w:t>
      </w:r>
      <w:r w:rsidRPr="00423B27">
        <w:rPr>
          <w:rFonts w:ascii="Times New Roman" w:hAnsi="Times New Roman" w:cs="Times New Roman"/>
          <w:sz w:val="24"/>
          <w:szCs w:val="24"/>
          <w:lang w:val="pt-BR"/>
        </w:rPr>
        <w:t>. Este conc</w:t>
      </w:r>
      <w:r w:rsidRPr="00423B27">
        <w:rPr>
          <w:rFonts w:ascii="Times New Roman" w:hAnsi="Times New Roman" w:cs="Times New Roman"/>
          <w:sz w:val="24"/>
          <w:szCs w:val="24"/>
          <w:lang w:val="pt-BR"/>
        </w:rPr>
        <w:t>eito abrange não apenas a adoção de ferramentas digitais, mas também a reconfiguração de processos, a criação de novas formas de interação entre governo e cidadãos, e o desenvolvimento de modelos de gestão mais flexíveis e adaptativos. O ecossistema de ino</w:t>
      </w:r>
      <w:r w:rsidRPr="00423B27">
        <w:rPr>
          <w:rFonts w:ascii="Times New Roman" w:hAnsi="Times New Roman" w:cs="Times New Roman"/>
          <w:sz w:val="24"/>
          <w:szCs w:val="24"/>
          <w:lang w:val="pt-BR"/>
        </w:rPr>
        <w:t>vação pública, por sua vez, é um arranjo complexo de atores incluindo órgãos governamentais, universidades, setor privado, organizações da sociedade civil e cidadãos que colaboram para gerar, testar e implementar soluções inovadoras para desafios públicos</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Dentro desse ecossistema, a governança colaborativa emerge como um pilar fundamental. Ela se refere à gestão pública em rede, caracterizada pela formação de parcerias </w:t>
      </w:r>
      <w:proofErr w:type="spellStart"/>
      <w:r w:rsidRPr="00423B27">
        <w:rPr>
          <w:rFonts w:ascii="Times New Roman" w:hAnsi="Times New Roman" w:cs="Times New Roman"/>
          <w:sz w:val="24"/>
          <w:szCs w:val="24"/>
          <w:lang w:val="pt-BR"/>
        </w:rPr>
        <w:t>pluri</w:t>
      </w:r>
      <w:proofErr w:type="spellEnd"/>
      <w:r w:rsidRPr="00423B27">
        <w:rPr>
          <w:rFonts w:ascii="Times New Roman" w:hAnsi="Times New Roman" w:cs="Times New Roman"/>
          <w:sz w:val="24"/>
          <w:szCs w:val="24"/>
          <w:lang w:val="pt-BR"/>
        </w:rPr>
        <w:t xml:space="preserve"> e </w:t>
      </w:r>
      <w:proofErr w:type="spellStart"/>
      <w:r w:rsidRPr="00423B27">
        <w:rPr>
          <w:rFonts w:ascii="Times New Roman" w:hAnsi="Times New Roman" w:cs="Times New Roman"/>
          <w:sz w:val="24"/>
          <w:szCs w:val="24"/>
          <w:lang w:val="pt-BR"/>
        </w:rPr>
        <w:t>multi-institucionais</w:t>
      </w:r>
      <w:proofErr w:type="spellEnd"/>
      <w:r w:rsidRPr="00423B27">
        <w:rPr>
          <w:rFonts w:ascii="Times New Roman" w:hAnsi="Times New Roman" w:cs="Times New Roman"/>
          <w:sz w:val="24"/>
          <w:szCs w:val="24"/>
          <w:lang w:val="pt-BR"/>
        </w:rPr>
        <w:t>, que podem ser bilaterais ou multilaterais, envolvendo</w:t>
      </w:r>
      <w:r w:rsidRPr="00423B27">
        <w:rPr>
          <w:rFonts w:ascii="Times New Roman" w:hAnsi="Times New Roman" w:cs="Times New Roman"/>
          <w:sz w:val="24"/>
          <w:szCs w:val="24"/>
          <w:lang w:val="pt-BR"/>
        </w:rPr>
        <w:t xml:space="preserve"> diferentes esferas de governo e atores não estatais</w:t>
      </w:r>
      <w:r w:rsidRPr="00423B27">
        <w:rPr>
          <w:rFonts w:ascii="Times New Roman" w:hAnsi="Times New Roman" w:cs="Times New Roman"/>
          <w:sz w:val="24"/>
          <w:szCs w:val="24"/>
          <w:lang w:val="pt-BR"/>
        </w:rPr>
        <w:t>. A governança colaborativa é crucial para a inovação pública, pois permite o compartilhamento de conhecimentos, recursos e riscos, além de fomentar a cocriação de soluções que seriam inviáveis para u</w:t>
      </w:r>
      <w:r w:rsidRPr="00423B27">
        <w:rPr>
          <w:rFonts w:ascii="Times New Roman" w:hAnsi="Times New Roman" w:cs="Times New Roman"/>
          <w:sz w:val="24"/>
          <w:szCs w:val="24"/>
          <w:lang w:val="pt-BR"/>
        </w:rPr>
        <w:t>m único ator. Em um contexto de crescente complexidade social e escassez de recursos, a capacidade de orquestrar essas redes de colaboração torna-se um diferencial competitivo para governos que buscam ser mais responsivos e inovadores</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 conceito de </w:t>
      </w:r>
      <w:proofErr w:type="spellStart"/>
      <w:r w:rsidRPr="00423B27">
        <w:rPr>
          <w:rFonts w:ascii="Times New Roman" w:hAnsi="Times New Roman" w:cs="Times New Roman"/>
          <w:sz w:val="24"/>
          <w:szCs w:val="24"/>
          <w:lang w:val="pt-BR"/>
        </w:rPr>
        <w:t>S</w:t>
      </w:r>
      <w:r w:rsidRPr="00423B27">
        <w:rPr>
          <w:rFonts w:ascii="Times New Roman" w:hAnsi="Times New Roman" w:cs="Times New Roman"/>
          <w:sz w:val="24"/>
          <w:szCs w:val="24"/>
          <w:lang w:val="pt-BR"/>
        </w:rPr>
        <w:t>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r w:rsidRPr="00423B27">
        <w:rPr>
          <w:rFonts w:ascii="Times New Roman" w:hAnsi="Times New Roman" w:cs="Times New Roman"/>
          <w:sz w:val="24"/>
          <w:szCs w:val="24"/>
          <w:lang w:val="pt-BR"/>
        </w:rPr>
        <w:t>, ou governança inteligente, é um dos seis pilares das cidades inteligentes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Cities</w:t>
      </w:r>
      <w:proofErr w:type="spellEnd"/>
      <w:r w:rsidRPr="00423B27">
        <w:rPr>
          <w:rFonts w:ascii="Times New Roman" w:hAnsi="Times New Roman" w:cs="Times New Roman"/>
          <w:sz w:val="24"/>
          <w:szCs w:val="24"/>
          <w:lang w:val="pt-BR"/>
        </w:rPr>
        <w:t>) e se concentra na utilização de tecnologias da informação e comunicação (TICs) para aprimorar a participação cidadã, a transparência, a eficiência e a</w:t>
      </w:r>
      <w:r w:rsidRPr="00423B27">
        <w:rPr>
          <w:rFonts w:ascii="Times New Roman" w:hAnsi="Times New Roman" w:cs="Times New Roman"/>
          <w:sz w:val="24"/>
          <w:szCs w:val="24"/>
          <w:lang w:val="pt-BR"/>
        </w:rPr>
        <w:t xml:space="preserve"> responsividade da administração pública</w:t>
      </w:r>
      <w:r w:rsidRPr="00423B27">
        <w:rPr>
          <w:rFonts w:ascii="Times New Roman" w:hAnsi="Times New Roman" w:cs="Times New Roman"/>
          <w:sz w:val="24"/>
          <w:szCs w:val="24"/>
          <w:lang w:val="pt-BR"/>
        </w:rPr>
        <w:t>. Uma cidade inteligente não é apenas aquela que incorpora tecnologia em sua infraestrutura, mas aquela que utiliza a tecnologia de forma estratégica para melhorar a qualidade de vida de seus habitantes, promover</w:t>
      </w:r>
      <w:r w:rsidRPr="00423B27">
        <w:rPr>
          <w:rFonts w:ascii="Times New Roman" w:hAnsi="Times New Roman" w:cs="Times New Roman"/>
          <w:sz w:val="24"/>
          <w:szCs w:val="24"/>
          <w:lang w:val="pt-BR"/>
        </w:rPr>
        <w:t xml:space="preserve"> o desenvolvimento sustentável e fortalecer a governança democrática. A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r w:rsidRPr="00423B27">
        <w:rPr>
          <w:rFonts w:ascii="Times New Roman" w:hAnsi="Times New Roman" w:cs="Times New Roman"/>
          <w:sz w:val="24"/>
          <w:szCs w:val="24"/>
          <w:lang w:val="pt-BR"/>
        </w:rPr>
        <w:t xml:space="preserve">, nesse sentido, busca otimizar a tomada de decisões, facilitar a interação entre governo e sociedade, e criar um ambiente propício para a inovação e a </w:t>
      </w:r>
      <w:proofErr w:type="spellStart"/>
      <w:r w:rsidRPr="00423B27">
        <w:rPr>
          <w:rFonts w:ascii="Times New Roman" w:hAnsi="Times New Roman" w:cs="Times New Roman"/>
          <w:sz w:val="24"/>
          <w:szCs w:val="24"/>
          <w:lang w:val="pt-BR"/>
        </w:rPr>
        <w:t>cocriação</w:t>
      </w:r>
      <w:proofErr w:type="spellEnd"/>
      <w:r w:rsidRPr="00423B27">
        <w:rPr>
          <w:rFonts w:ascii="Times New Roman" w:hAnsi="Times New Roman" w:cs="Times New Roman"/>
          <w:sz w:val="24"/>
          <w:szCs w:val="24"/>
          <w:lang w:val="pt-BR"/>
        </w:rPr>
        <w:t xml:space="preserve"> de val</w:t>
      </w:r>
      <w:r w:rsidRPr="00423B27">
        <w:rPr>
          <w:rFonts w:ascii="Times New Roman" w:hAnsi="Times New Roman" w:cs="Times New Roman"/>
          <w:sz w:val="24"/>
          <w:szCs w:val="24"/>
          <w:lang w:val="pt-BR"/>
        </w:rPr>
        <w:t>or público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As moedas sociais digitais, como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inserem-se nesse contexto como instrumentos poderosos de inovação pública e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r w:rsidRPr="00423B27">
        <w:rPr>
          <w:rFonts w:ascii="Times New Roman" w:hAnsi="Times New Roman" w:cs="Times New Roman"/>
          <w:sz w:val="24"/>
          <w:szCs w:val="24"/>
          <w:lang w:val="pt-BR"/>
        </w:rPr>
        <w:t>. Elas representam um avanço significativo em termos de eficiência e acessibilidade em comparação com a</w:t>
      </w:r>
      <w:r w:rsidRPr="00423B27">
        <w:rPr>
          <w:rFonts w:ascii="Times New Roman" w:hAnsi="Times New Roman" w:cs="Times New Roman"/>
          <w:sz w:val="24"/>
          <w:szCs w:val="24"/>
          <w:lang w:val="pt-BR"/>
        </w:rPr>
        <w:t>s moedas sociais físicas, permitindo transações mais rápidas, seguras e rastreáveis</w:t>
      </w:r>
      <w:r w:rsidRPr="00423B27">
        <w:rPr>
          <w:rFonts w:ascii="Times New Roman" w:hAnsi="Times New Roman" w:cs="Times New Roman"/>
          <w:sz w:val="24"/>
          <w:szCs w:val="24"/>
          <w:lang w:val="pt-BR"/>
        </w:rPr>
        <w:t>. Ao digitalizar a moeda social, é possível integrar seu funcionamento a plataformas tecnológicas, como aplicativos e sistemas de internet banking, que fornecem serviços</w:t>
      </w:r>
      <w:r w:rsidRPr="00423B27">
        <w:rPr>
          <w:rFonts w:ascii="Times New Roman" w:hAnsi="Times New Roman" w:cs="Times New Roman"/>
          <w:sz w:val="24"/>
          <w:szCs w:val="24"/>
          <w:lang w:val="pt-BR"/>
        </w:rPr>
        <w:t xml:space="preserve"> financeiros e permitem a gestão de dados em tempo real</w:t>
      </w:r>
      <w:r w:rsidRPr="00423B27">
        <w:rPr>
          <w:rFonts w:ascii="Times New Roman" w:hAnsi="Times New Roman" w:cs="Times New Roman"/>
          <w:sz w:val="24"/>
          <w:szCs w:val="24"/>
          <w:lang w:val="pt-BR"/>
        </w:rPr>
        <w:t>. Essa digitalização não apenas otimiza a circulação da moeda e a distribuição de benefícios, mas também gera um volume de dados que pode ser utilizado para análises mais aprofundadas sobre o impa</w:t>
      </w:r>
      <w:r w:rsidRPr="00423B27">
        <w:rPr>
          <w:rFonts w:ascii="Times New Roman" w:hAnsi="Times New Roman" w:cs="Times New Roman"/>
          <w:sz w:val="24"/>
          <w:szCs w:val="24"/>
          <w:lang w:val="pt-BR"/>
        </w:rPr>
        <w:t>cto das políticas públicas e para o aprimoramento contínuo da gestão urbana</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Além disso, as moedas sociais digitais, quando operadas em um ambiente de governança colaborativa, podem fortalecer a economia local e promover a inclusão financeira de populações vulneráveis. Ao incentivar a circulação de recursos dentro de um território </w:t>
      </w:r>
      <w:r w:rsidRPr="00423B27">
        <w:rPr>
          <w:rFonts w:ascii="Times New Roman" w:hAnsi="Times New Roman" w:cs="Times New Roman"/>
          <w:sz w:val="24"/>
          <w:szCs w:val="24"/>
          <w:lang w:val="pt-BR"/>
        </w:rPr>
        <w:t>específico, elas criam um circuito econômico fechado que beneficia o comércio local e os pequenos produtores, evitando a evasão de capital</w:t>
      </w:r>
      <w:r w:rsidRPr="00423B27">
        <w:rPr>
          <w:rFonts w:ascii="Times New Roman" w:hAnsi="Times New Roman" w:cs="Times New Roman"/>
          <w:sz w:val="24"/>
          <w:szCs w:val="24"/>
          <w:lang w:val="pt-BR"/>
        </w:rPr>
        <w:t xml:space="preserve">.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por exemplo, ao ser administrada por um banco comunitário e ter seu uso restrito ao comércio local c</w:t>
      </w:r>
      <w:r w:rsidRPr="00423B27">
        <w:rPr>
          <w:rFonts w:ascii="Times New Roman" w:hAnsi="Times New Roman" w:cs="Times New Roman"/>
          <w:sz w:val="24"/>
          <w:szCs w:val="24"/>
          <w:lang w:val="pt-BR"/>
        </w:rPr>
        <w:t>redenciado, atua como um mecanismo de fomento econômico que mantém a riqueza dentro do próprio município, estimulando o desenvolvimento territorial e a criação de novos negócios</w:t>
      </w:r>
      <w:r w:rsidRPr="00423B27">
        <w:rPr>
          <w:rFonts w:ascii="Times New Roman" w:hAnsi="Times New Roman" w:cs="Times New Roman"/>
          <w:sz w:val="24"/>
          <w:szCs w:val="24"/>
          <w:lang w:val="pt-BR"/>
        </w:rPr>
        <w:t>. A governança colaborativa, que envolve a participação de diversos atores</w:t>
      </w:r>
      <w:r w:rsidRPr="00423B27">
        <w:rPr>
          <w:rFonts w:ascii="Times New Roman" w:hAnsi="Times New Roman" w:cs="Times New Roman"/>
          <w:sz w:val="24"/>
          <w:szCs w:val="24"/>
          <w:lang w:val="pt-BR"/>
        </w:rPr>
        <w:t xml:space="preserve"> na gestão da moeda, garante que as decisões sejam tomadas de forma mais democrática e alinhada às necessidades </w:t>
      </w:r>
      <w:r w:rsidRPr="00423B27">
        <w:rPr>
          <w:rFonts w:ascii="Times New Roman" w:hAnsi="Times New Roman" w:cs="Times New Roman"/>
          <w:sz w:val="24"/>
          <w:szCs w:val="24"/>
          <w:lang w:val="pt-BR"/>
        </w:rPr>
        <w:lastRenderedPageBreak/>
        <w:t>da comunidade, consolidando a moeda social como uma ferramenta de empoderamento e de construção de uma cidadania mais ativa e participativa</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Em suma, 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em Maricá exemplifica a intersecção entre inovação pública,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r w:rsidRPr="00423B27">
        <w:rPr>
          <w:rFonts w:ascii="Times New Roman" w:hAnsi="Times New Roman" w:cs="Times New Roman"/>
          <w:sz w:val="24"/>
          <w:szCs w:val="24"/>
          <w:lang w:val="pt-BR"/>
        </w:rPr>
        <w:t xml:space="preserve"> e governança colaborativa. Ela demonstra como a digitalização de um instrumento financeiro pode ser utilizada para promover o desenvolvimento lo</w:t>
      </w:r>
      <w:r w:rsidRPr="00423B27">
        <w:rPr>
          <w:rFonts w:ascii="Times New Roman" w:hAnsi="Times New Roman" w:cs="Times New Roman"/>
          <w:sz w:val="24"/>
          <w:szCs w:val="24"/>
          <w:lang w:val="pt-BR"/>
        </w:rPr>
        <w:t>cal, a inclusão social e a eficiência da gestão pública, criando um ecossistema virtuoso onde a tecnologia serve como facilitadora para a construção de uma cidade mais inteligente e equitativa. A experiência de Maricá, nesse sentido, oferece um modelo repl</w:t>
      </w:r>
      <w:r w:rsidRPr="00423B27">
        <w:rPr>
          <w:rFonts w:ascii="Times New Roman" w:hAnsi="Times New Roman" w:cs="Times New Roman"/>
          <w:sz w:val="24"/>
          <w:szCs w:val="24"/>
          <w:lang w:val="pt-BR"/>
        </w:rPr>
        <w:t>icável para outros municípios que buscam soluções inovadoras para seus desafios urbanos, integrando políticas sociais e tecnologias de forma estratégica e participativa.</w:t>
      </w:r>
    </w:p>
    <w:p w:rsidR="00B84035" w:rsidRDefault="00B84035" w:rsidP="00B84035">
      <w:pPr>
        <w:spacing w:before="120" w:after="120" w:line="240" w:lineRule="auto"/>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3. A Criação do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e Sua Arquitetura Institucional</w:t>
      </w:r>
      <w:r w:rsidRPr="00423B27">
        <w:rPr>
          <w:rFonts w:ascii="Times New Roman" w:hAnsi="Times New Roman" w:cs="Times New Roman"/>
          <w:sz w:val="24"/>
          <w:szCs w:val="24"/>
          <w:lang w:val="pt-BR"/>
        </w:rPr>
        <w:t xml:space="preserve"> </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criaçã</w:t>
      </w:r>
      <w:r w:rsidRPr="00423B27">
        <w:rPr>
          <w:rFonts w:ascii="Times New Roman" w:hAnsi="Times New Roman" w:cs="Times New Roman"/>
          <w:sz w:val="24"/>
          <w:szCs w:val="24"/>
          <w:lang w:val="pt-BR"/>
        </w:rPr>
        <w:t xml:space="preserve">o do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em 2013, no município de Maricá (RJ), representa uma experiência singular de inovação institucional voltada à promoção da inclusão social, fortalecimento da economia local e construção de um modelo de cidade inteligente orientado pela j</w:t>
      </w:r>
      <w:r w:rsidRPr="00423B27">
        <w:rPr>
          <w:rFonts w:ascii="Times New Roman" w:hAnsi="Times New Roman" w:cs="Times New Roman"/>
          <w:sz w:val="24"/>
          <w:szCs w:val="24"/>
          <w:lang w:val="pt-BR"/>
        </w:rPr>
        <w:t xml:space="preserve">ustiça social. Vinculado à Secretaria Municipal de Economia Solidária, 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uma instituição financeira pública comunitária responsável pela emissão, gestão e operacionalização da moeda social digital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Com lastro em recursos orçamentári</w:t>
      </w:r>
      <w:r w:rsidRPr="00423B27">
        <w:rPr>
          <w:rFonts w:ascii="Times New Roman" w:hAnsi="Times New Roman" w:cs="Times New Roman"/>
          <w:sz w:val="24"/>
          <w:szCs w:val="24"/>
          <w:lang w:val="pt-BR"/>
        </w:rPr>
        <w:t xml:space="preserve">os municipais,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utilizada exclusivamente no território do município, estimulando o comércio local, dinamizando cadeias produtivas de base comunitária e fortalecendo políticas de transferência de renda, como a Renda Básica de Cidadania de Maricá </w:t>
      </w:r>
      <w:r w:rsidRPr="00423B27">
        <w:rPr>
          <w:rFonts w:ascii="Times New Roman" w:hAnsi="Times New Roman" w:cs="Times New Roman"/>
          <w:sz w:val="24"/>
          <w:szCs w:val="24"/>
          <w:lang w:val="pt-BR"/>
        </w:rPr>
        <w:t>(IPPDS, 2021).</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inspiração para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veio da experiência bem-sucedida da moeda social Palmas, que já circulava na periferia de Fortaleza/CE por meio da organização da sociedade civil. No entanto, diferentemente de Palmas, a iniciativa em Maricá parti</w:t>
      </w:r>
      <w:r w:rsidRPr="00423B27">
        <w:rPr>
          <w:rFonts w:ascii="Times New Roman" w:hAnsi="Times New Roman" w:cs="Times New Roman"/>
          <w:sz w:val="24"/>
          <w:szCs w:val="24"/>
          <w:lang w:val="pt-BR"/>
        </w:rPr>
        <w:t xml:space="preserve">u do Poder Executivo Municipal, o que conferiu à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um caráter institucional desde o seu nascedouro</w:t>
      </w:r>
      <w:r w:rsidRPr="00423B27">
        <w:rPr>
          <w:rFonts w:ascii="Times New Roman" w:hAnsi="Times New Roman" w:cs="Times New Roman"/>
          <w:sz w:val="24"/>
          <w:szCs w:val="24"/>
          <w:lang w:val="pt-BR"/>
        </w:rPr>
        <w:t xml:space="preserve">. O Banco Comunitário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embora formalmente constituído em 2018, atuou desde o início como o braço operacional da moeda social, responsável po</w:t>
      </w:r>
      <w:r w:rsidRPr="00423B27">
        <w:rPr>
          <w:rFonts w:ascii="Times New Roman" w:hAnsi="Times New Roman" w:cs="Times New Roman"/>
          <w:sz w:val="24"/>
          <w:szCs w:val="24"/>
          <w:lang w:val="pt-BR"/>
        </w:rPr>
        <w:t>r gerir os recursos e operacionalizar os programas de transferência de renda</w:t>
      </w:r>
      <w:r w:rsidRPr="00423B27">
        <w:rPr>
          <w:rFonts w:ascii="Times New Roman" w:hAnsi="Times New Roman" w:cs="Times New Roman"/>
          <w:sz w:val="24"/>
          <w:szCs w:val="24"/>
          <w:lang w:val="pt-BR"/>
        </w:rPr>
        <w:t>.</w:t>
      </w:r>
    </w:p>
    <w:p w:rsidR="003B7D2C"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Vinculado à Secretaria Municipal de Economia Solidária, 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uma instituição financeira pública comunitária responsável pela emissão, gestão e operacionaliz</w:t>
      </w:r>
      <w:r w:rsidRPr="00423B27">
        <w:rPr>
          <w:rFonts w:ascii="Times New Roman" w:hAnsi="Times New Roman" w:cs="Times New Roman"/>
          <w:sz w:val="24"/>
          <w:szCs w:val="24"/>
          <w:lang w:val="pt-BR"/>
        </w:rPr>
        <w:t xml:space="preserve">ação da moeda social digital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lastro em recursos orçamentários municipais,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utilizada exclusivamente no território do município, estimulando o comércio local, dinamizando cadeias produtivas de base comunitária e fortalecendo política</w:t>
      </w:r>
      <w:r w:rsidRPr="00423B27">
        <w:rPr>
          <w:rFonts w:ascii="Times New Roman" w:hAnsi="Times New Roman" w:cs="Times New Roman"/>
          <w:sz w:val="24"/>
          <w:szCs w:val="24"/>
          <w:lang w:val="pt-BR"/>
        </w:rPr>
        <w:t>s de transferência de renda, como a Renda Básica de Cidadania de Maricá (IPPDS, 2021).</w:t>
      </w:r>
    </w:p>
    <w:p w:rsidR="00681DEF"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 modelo de financiamento da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baseia-se fundamentalmente na utilização de recursos públicos municipais, especialmente aqueles oriundos da arrecadação</w:t>
      </w:r>
      <w:r w:rsidRPr="00423B27">
        <w:rPr>
          <w:rFonts w:ascii="Times New Roman" w:hAnsi="Times New Roman" w:cs="Times New Roman"/>
          <w:sz w:val="24"/>
          <w:szCs w:val="24"/>
          <w:lang w:val="pt-BR"/>
        </w:rPr>
        <w:t xml:space="preserve"> dos royalties do petróleo. Maricá, localizada na Bacia de Santos, é um dos municípios brasileiros com maior receita proveniente da exploração petrolífera, o que tem permitido ao poder público implementar políticas inovadoras de transferência de renda. A m</w:t>
      </w:r>
      <w:r w:rsidRPr="00423B27">
        <w:rPr>
          <w:rFonts w:ascii="Times New Roman" w:hAnsi="Times New Roman" w:cs="Times New Roman"/>
          <w:sz w:val="24"/>
          <w:szCs w:val="24"/>
          <w:lang w:val="pt-BR"/>
        </w:rPr>
        <w:t xml:space="preserve">oeda social possui paridade com o real (1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 R$ 1) e é lastreada diretamente no orçamento público, sendo destinada exclusivamente à circulação no comércio local, o que estimula a economia circular e fortalece pequenos empreendimentos. Além disso, a </w:t>
      </w:r>
      <w:r w:rsidRPr="00423B27">
        <w:rPr>
          <w:rFonts w:ascii="Times New Roman" w:hAnsi="Times New Roman" w:cs="Times New Roman"/>
          <w:sz w:val="24"/>
          <w:szCs w:val="24"/>
          <w:lang w:val="pt-BR"/>
        </w:rPr>
        <w:t>sustentabilidade do programa é assegurada pelo Fundo Soberano de Maricá, criado para preservar parte dos recursos oriundos dos royalties e garantir a continuidade das políticas sociais mesmo em cenários de queda na arrecadação. Em 2024, o fundo já superava</w:t>
      </w:r>
      <w:r w:rsidRPr="00423B27">
        <w:rPr>
          <w:rFonts w:ascii="Times New Roman" w:hAnsi="Times New Roman" w:cs="Times New Roman"/>
          <w:sz w:val="24"/>
          <w:szCs w:val="24"/>
          <w:lang w:val="pt-BR"/>
        </w:rPr>
        <w:t xml:space="preserve"> os R$ 2 bilhões, com projeção de financiar permanentemente o programa de renda básica. A operacionalização da distribuição do benefício é realizada pelo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responsável pela gestão dos </w:t>
      </w:r>
      <w:r w:rsidRPr="00423B27">
        <w:rPr>
          <w:rFonts w:ascii="Times New Roman" w:hAnsi="Times New Roman" w:cs="Times New Roman"/>
          <w:sz w:val="24"/>
          <w:szCs w:val="24"/>
          <w:lang w:val="pt-BR"/>
        </w:rPr>
        <w:lastRenderedPageBreak/>
        <w:t>créditos e pela administração da plataforma digital e-dinhe</w:t>
      </w:r>
      <w:r w:rsidRPr="00423B27">
        <w:rPr>
          <w:rFonts w:ascii="Times New Roman" w:hAnsi="Times New Roman" w:cs="Times New Roman"/>
          <w:sz w:val="24"/>
          <w:szCs w:val="24"/>
          <w:lang w:val="pt-BR"/>
        </w:rPr>
        <w:t>iro. Os beneficiários recebem os valores por meio de um cartão magnético vinculado a uma carteira digital e devem atender a critérios como residência mínima de três anos no município, inscrição no Cadastro Único (</w:t>
      </w:r>
      <w:proofErr w:type="spellStart"/>
      <w:r w:rsidRPr="00423B27">
        <w:rPr>
          <w:rFonts w:ascii="Times New Roman" w:hAnsi="Times New Roman" w:cs="Times New Roman"/>
          <w:sz w:val="24"/>
          <w:szCs w:val="24"/>
          <w:lang w:val="pt-BR"/>
        </w:rPr>
        <w:t>CadÚnico</w:t>
      </w:r>
      <w:proofErr w:type="spellEnd"/>
      <w:r w:rsidRPr="00423B27">
        <w:rPr>
          <w:rFonts w:ascii="Times New Roman" w:hAnsi="Times New Roman" w:cs="Times New Roman"/>
          <w:sz w:val="24"/>
          <w:szCs w:val="24"/>
          <w:lang w:val="pt-BR"/>
        </w:rPr>
        <w:t>) e renda familiar de até três salá</w:t>
      </w:r>
      <w:r w:rsidRPr="00423B27">
        <w:rPr>
          <w:rFonts w:ascii="Times New Roman" w:hAnsi="Times New Roman" w:cs="Times New Roman"/>
          <w:sz w:val="24"/>
          <w:szCs w:val="24"/>
          <w:lang w:val="pt-BR"/>
        </w:rPr>
        <w:t>rios-mínimos. Esse arranjo institucional e financeiro garante a estabilidade e a efetividade da política, além de promover a dinamização da economia local e a inclusão de populações historicamente excluídas do sistema financeiro tradicional.</w:t>
      </w:r>
    </w:p>
    <w:p w:rsidR="00681DEF"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Sua arquitetur</w:t>
      </w:r>
      <w:r w:rsidRPr="00423B27">
        <w:rPr>
          <w:rFonts w:ascii="Times New Roman" w:hAnsi="Times New Roman" w:cs="Times New Roman"/>
          <w:sz w:val="24"/>
          <w:szCs w:val="24"/>
          <w:lang w:val="pt-BR"/>
        </w:rPr>
        <w:t>a institucional é estruturada a partir de um arranjo intersetorial que articula diferentes atores públicos, privados e da sociedade civil. Além da Prefeitura e da autarquia financeira, participam da governança da política monetária local o Instituto E-Dinh</w:t>
      </w:r>
      <w:r w:rsidRPr="00423B27">
        <w:rPr>
          <w:rFonts w:ascii="Times New Roman" w:hAnsi="Times New Roman" w:cs="Times New Roman"/>
          <w:sz w:val="24"/>
          <w:szCs w:val="24"/>
          <w:lang w:val="pt-BR"/>
        </w:rPr>
        <w:t>eiro Brasil e representantes de conselhos comunitários, em conformidade com princípios de participação, transparência e controle social. Essa governança plural confere legitimidade à moeda social e reforça a capacidade de articulação entre políticas públic</w:t>
      </w:r>
      <w:r w:rsidRPr="00423B27">
        <w:rPr>
          <w:rFonts w:ascii="Times New Roman" w:hAnsi="Times New Roman" w:cs="Times New Roman"/>
          <w:sz w:val="24"/>
          <w:szCs w:val="24"/>
          <w:lang w:val="pt-BR"/>
        </w:rPr>
        <w:t>as de renda, desenvolvimento econômico e inclusão digital. O modelo também está em consonância com o art. 174 da Constituição Federal, que atribui ao Estado o papel de agente normativo e regulador da atividade econômica, e com o art. 37, que orienta a admi</w:t>
      </w:r>
      <w:r w:rsidRPr="00423B27">
        <w:rPr>
          <w:rFonts w:ascii="Times New Roman" w:hAnsi="Times New Roman" w:cs="Times New Roman"/>
          <w:sz w:val="24"/>
          <w:szCs w:val="24"/>
          <w:lang w:val="pt-BR"/>
        </w:rPr>
        <w:t>nistração pública pelos princípios da legalidade, publicidade, moralidade e eficiência (BRASIL, 1988).</w:t>
      </w:r>
    </w:p>
    <w:p w:rsidR="00681DEF"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Do ponto de vista jurídico e tecnológico, 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insere-se em um ecossistema de inovação pública favorecido por marcos normativos como a Lei nº </w:t>
      </w:r>
      <w:r w:rsidRPr="00423B27">
        <w:rPr>
          <w:rFonts w:ascii="Times New Roman" w:hAnsi="Times New Roman" w:cs="Times New Roman"/>
          <w:sz w:val="24"/>
          <w:szCs w:val="24"/>
          <w:lang w:val="pt-BR"/>
        </w:rPr>
        <w:t>13.874/2019 (Declaração de Direitos da Liberdade Econômica) e a Lei nº 14.129/2021 (Lei do Governo Digital), que incentivam a criação de ambientes regulatórios experimentais e o uso de soluções digitais interoperáveis no setor público (BRASIL, 2019; 2021).</w:t>
      </w:r>
      <w:r w:rsidRPr="00423B27">
        <w:rPr>
          <w:rFonts w:ascii="Times New Roman" w:hAnsi="Times New Roman" w:cs="Times New Roman"/>
          <w:sz w:val="24"/>
          <w:szCs w:val="24"/>
          <w:lang w:val="pt-BR"/>
        </w:rPr>
        <w:t xml:space="preserve"> Nesse contexto, a experiência de Maricá demonstra viabilidade para a integração da moeda social digital a tecnologias emergentes como blockchain, que ampliam a rastreabilidade, a segurança das transações e a possibilidade de auditoria cidadã em tempo real</w:t>
      </w:r>
      <w:r w:rsidRPr="00423B27">
        <w:rPr>
          <w:rFonts w:ascii="Times New Roman" w:hAnsi="Times New Roman" w:cs="Times New Roman"/>
          <w:sz w:val="24"/>
          <w:szCs w:val="24"/>
          <w:lang w:val="pt-BR"/>
        </w:rPr>
        <w:t>. Conforme apontado por Cavalcante et al. (2023), a incorporação da blockchain à gestão pública contribui para descentralizar o controle, evitar fraudes e reforçar a confiança pública nos mecanismos de redistribuição.</w:t>
      </w:r>
    </w:p>
    <w:p w:rsidR="00B84035"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experiência de Maricá, portanto, ilu</w:t>
      </w:r>
      <w:r w:rsidRPr="00423B27">
        <w:rPr>
          <w:rFonts w:ascii="Times New Roman" w:hAnsi="Times New Roman" w:cs="Times New Roman"/>
          <w:sz w:val="24"/>
          <w:szCs w:val="24"/>
          <w:lang w:val="pt-BR"/>
        </w:rPr>
        <w:t xml:space="preserve">stra como uma política pública municipal pode se estruturar a partir de uma combinação entre instrumentos financeiros alternativos, tecnologia social, inovação digital e arcabouço legal robusto. 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não apenas realiza a intermediação de uma moe</w:t>
      </w:r>
      <w:r w:rsidRPr="00423B27">
        <w:rPr>
          <w:rFonts w:ascii="Times New Roman" w:hAnsi="Times New Roman" w:cs="Times New Roman"/>
          <w:sz w:val="24"/>
          <w:szCs w:val="24"/>
          <w:lang w:val="pt-BR"/>
        </w:rPr>
        <w:t>da social, mas constitui um polo articulador de políticas intersetoriais, com alto potencial de replicabilidade, desde que observadas as especificidades locais, a segurança jurídica e a capacidade institucional dos entes federativos. A arquitetura instituc</w:t>
      </w:r>
      <w:r w:rsidRPr="00423B27">
        <w:rPr>
          <w:rFonts w:ascii="Times New Roman" w:hAnsi="Times New Roman" w:cs="Times New Roman"/>
          <w:sz w:val="24"/>
          <w:szCs w:val="24"/>
          <w:lang w:val="pt-BR"/>
        </w:rPr>
        <w:t>ional desenvolvida em Maricá revela que é possível construir cidades inteligentes que transcendam o discurso tecnológico e se comprometam, de forma concreta, com a redução das desigualdades e a promoção do desenvolvimento territorial sustentável.</w:t>
      </w:r>
      <w:r w:rsidRPr="00423B27">
        <w:rPr>
          <w:rFonts w:ascii="Times New Roman" w:hAnsi="Times New Roman" w:cs="Times New Roman"/>
          <w:sz w:val="24"/>
          <w:szCs w:val="24"/>
          <w:lang w:val="pt-BR"/>
        </w:rPr>
        <w:t xml:space="preserve"> </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governa</w:t>
      </w:r>
      <w:r w:rsidRPr="00423B27">
        <w:rPr>
          <w:rFonts w:ascii="Times New Roman" w:hAnsi="Times New Roman" w:cs="Times New Roman"/>
          <w:sz w:val="24"/>
          <w:szCs w:val="24"/>
          <w:lang w:val="pt-BR"/>
        </w:rPr>
        <w:t xml:space="preserve">nça da moeda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compartilhada e colaborativa, envolvendo o poder público, comitês gestores da economia solidária, usuários e empreendedores [2]. Essa estrutura garante que as decisões sejam tomadas de forma participativa, alinhadas aos princípios da</w:t>
      </w:r>
      <w:r w:rsidRPr="00423B27">
        <w:rPr>
          <w:rFonts w:ascii="Times New Roman" w:hAnsi="Times New Roman" w:cs="Times New Roman"/>
          <w:sz w:val="24"/>
          <w:szCs w:val="24"/>
          <w:lang w:val="pt-BR"/>
        </w:rPr>
        <w:t xml:space="preserve"> economia solidária e às necessidades da comunidade. A atuação do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vai além da gestão da moeda, engajando-se ativamente no desenvolvimento de projetos sociais, patrocinando iniciativas locais e formalizando empreendimentos, o que o torna um at</w:t>
      </w:r>
      <w:r w:rsidRPr="00423B27">
        <w:rPr>
          <w:rFonts w:ascii="Times New Roman" w:hAnsi="Times New Roman" w:cs="Times New Roman"/>
          <w:sz w:val="24"/>
          <w:szCs w:val="24"/>
          <w:lang w:val="pt-BR"/>
        </w:rPr>
        <w:t>or central no ecossistema de inovação de Maricá</w:t>
      </w:r>
      <w:r w:rsidRPr="00423B27">
        <w:rPr>
          <w:rFonts w:ascii="Times New Roman" w:hAnsi="Times New Roman" w:cs="Times New Roman"/>
          <w:sz w:val="24"/>
          <w:szCs w:val="24"/>
          <w:lang w:val="pt-BR"/>
        </w:rPr>
        <w:t>. A sede própria do Banco inaugurada em 2021, simboliza a consolidação da instituição como referência mundial na gestão de moeda social</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4. Circulação da Moeda e Seus Efeitos no Desenvolvimento Te</w:t>
      </w:r>
      <w:r w:rsidRPr="00423B27">
        <w:rPr>
          <w:rFonts w:ascii="Times New Roman" w:hAnsi="Times New Roman" w:cs="Times New Roman"/>
          <w:sz w:val="24"/>
          <w:szCs w:val="24"/>
          <w:lang w:val="pt-BR"/>
        </w:rPr>
        <w:t>rritorial Urbano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lastRenderedPageBreak/>
        <w:t xml:space="preserve">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foi concebida como um instrumento estratégico para dinamizar a economia local de Maricá, garantindo que os recursos transferidos para a população circulem dentro do próprio município, gerando um efeito multiplicador</w:t>
      </w:r>
      <w:r w:rsidRPr="00423B27">
        <w:rPr>
          <w:rFonts w:ascii="Times New Roman" w:hAnsi="Times New Roman" w:cs="Times New Roman"/>
          <w:sz w:val="24"/>
          <w:szCs w:val="24"/>
          <w:lang w:val="pt-BR"/>
        </w:rPr>
        <w:t xml:space="preserve">. Os mecanismos de circulação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são diversos e interligados, abrangendo desde o pagamento de benefícios sociais até o fomento ao comércio local, consolidando um circuito econômico fechado que impulsiona o desenvolvimento territorial urbano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 principal vetor de circulação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são os programas de transferência de renda, como a Renda Básica da Cidadania. Inicialmente, em 2013, o programa “Renda Mínima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previa o pagamento de 70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xml:space="preserve"> (equivalente a R$ 70,00) para famílias com</w:t>
      </w:r>
      <w:r w:rsidRPr="00423B27">
        <w:rPr>
          <w:rFonts w:ascii="Times New Roman" w:hAnsi="Times New Roman" w:cs="Times New Roman"/>
          <w:sz w:val="24"/>
          <w:szCs w:val="24"/>
          <w:lang w:val="pt-BR"/>
        </w:rPr>
        <w:t xml:space="preserve"> renda familiar de até um salário mínimo. Ao longo dos anos, o programa foi expandido e o valor do benefício foi gradualmente aumentado, chegando a 300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xml:space="preserve"> (equivalente a R$ 300,00) em 2020, como resposta aos efeitos da pandemia de Covid-19</w:t>
      </w:r>
      <w:r w:rsidRPr="00423B27">
        <w:rPr>
          <w:rFonts w:ascii="Times New Roman" w:hAnsi="Times New Roman" w:cs="Times New Roman"/>
          <w:sz w:val="24"/>
          <w:szCs w:val="24"/>
          <w:lang w:val="pt-BR"/>
        </w:rPr>
        <w:t>. Em 20</w:t>
      </w:r>
      <w:r w:rsidRPr="00423B27">
        <w:rPr>
          <w:rFonts w:ascii="Times New Roman" w:hAnsi="Times New Roman" w:cs="Times New Roman"/>
          <w:sz w:val="24"/>
          <w:szCs w:val="24"/>
          <w:lang w:val="pt-BR"/>
        </w:rPr>
        <w:t xml:space="preserve">19, a Renda Básica da Cidadania abarcava quase um quarto da população de Maricá, com 42.501 pessoas recebendo o benefício. Esse volume de recursos, pago exclusivamente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injeta mensalmente milhões de reais no comércio local, fomentando a vida ec</w:t>
      </w:r>
      <w:r w:rsidRPr="00423B27">
        <w:rPr>
          <w:rFonts w:ascii="Times New Roman" w:hAnsi="Times New Roman" w:cs="Times New Roman"/>
          <w:sz w:val="24"/>
          <w:szCs w:val="24"/>
          <w:lang w:val="pt-BR"/>
        </w:rPr>
        <w:t>onômica da cidade e proporcionando dignidade para a população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Os impactos econômicos locais da circulação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são significativos. Ao ser aceita apenas no comércio local credenciado, a moeda impede a evasão de recursos para outros municípios, f</w:t>
      </w:r>
      <w:r w:rsidRPr="00423B27">
        <w:rPr>
          <w:rFonts w:ascii="Times New Roman" w:hAnsi="Times New Roman" w:cs="Times New Roman"/>
          <w:sz w:val="24"/>
          <w:szCs w:val="24"/>
          <w:lang w:val="pt-BR"/>
        </w:rPr>
        <w:t>ortalecendo os pequenos comércios, feiras livres, serviços locais e microempreendedores</w:t>
      </w:r>
      <w:r w:rsidRPr="00423B27">
        <w:rPr>
          <w:rFonts w:ascii="Times New Roman" w:hAnsi="Times New Roman" w:cs="Times New Roman"/>
          <w:sz w:val="24"/>
          <w:szCs w:val="24"/>
          <w:lang w:val="pt-BR"/>
        </w:rPr>
        <w:t xml:space="preserve">. Em 2020, mais de R$ 254 milhões foram movimentados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com picos mensais de até R$ 18 milhões, beneficiando diretamente cerca de 91 mil moradores</w:t>
      </w:r>
      <w:r w:rsidRPr="00423B27">
        <w:rPr>
          <w:rFonts w:ascii="Times New Roman" w:hAnsi="Times New Roman" w:cs="Times New Roman"/>
          <w:sz w:val="24"/>
          <w:szCs w:val="24"/>
          <w:lang w:val="pt-BR"/>
        </w:rPr>
        <w:t>.</w:t>
      </w:r>
      <w:r w:rsidRPr="00423B27">
        <w:rPr>
          <w:rFonts w:ascii="Times New Roman" w:hAnsi="Times New Roman" w:cs="Times New Roman"/>
          <w:sz w:val="24"/>
          <w:szCs w:val="24"/>
          <w:lang w:val="pt-BR"/>
        </w:rPr>
        <w:t xml:space="preserve"> Essa dinâmica estimula a criação de novos negócios e a formalização de empreendimentos, contribuindo para a geração de emprego e renda dentro do próprio território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Além dos programas de transferência de renda,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também circula através de outras iniciativas, como as Feiras Livres Solidárias. Estabelecidas em 2018, essas feiras ocorrem em diferentes regiões do município, reunindo produtores e comerciantes locais. Para participar como expositor, o feirante deve acei</w:t>
      </w:r>
      <w:r w:rsidRPr="00423B27">
        <w:rPr>
          <w:rFonts w:ascii="Times New Roman" w:hAnsi="Times New Roman" w:cs="Times New Roman"/>
          <w:sz w:val="24"/>
          <w:szCs w:val="24"/>
          <w:lang w:val="pt-BR"/>
        </w:rPr>
        <w:t xml:space="preserve">tar a moeda social local como forma de pagamento, e 2% do valor de cada venda realizada em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é revertido para um fundo de crédito sem cobrança de juros, destinado aos pequenos produtores da cidade</w:t>
      </w:r>
      <w:r w:rsidRPr="00423B27">
        <w:rPr>
          <w:rFonts w:ascii="Times New Roman" w:hAnsi="Times New Roman" w:cs="Times New Roman"/>
          <w:sz w:val="24"/>
          <w:szCs w:val="24"/>
          <w:lang w:val="pt-BR"/>
        </w:rPr>
        <w:t xml:space="preserve">. Essa medida não apenas fomenta o comércio justo </w:t>
      </w:r>
      <w:r w:rsidRPr="00423B27">
        <w:rPr>
          <w:rFonts w:ascii="Times New Roman" w:hAnsi="Times New Roman" w:cs="Times New Roman"/>
          <w:sz w:val="24"/>
          <w:szCs w:val="24"/>
          <w:lang w:val="pt-BR"/>
        </w:rPr>
        <w:t>e solidário, mas também realimenta o sistema da moeda social, criando um ciclo virtuoso de desenvolvimento econômico e social.</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Os efeitos da circulação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no desenvolvimento territorial urbano são multifacetados. Primeiramente, ela promove a inclu</w:t>
      </w:r>
      <w:r w:rsidRPr="00423B27">
        <w:rPr>
          <w:rFonts w:ascii="Times New Roman" w:hAnsi="Times New Roman" w:cs="Times New Roman"/>
          <w:sz w:val="24"/>
          <w:szCs w:val="24"/>
          <w:lang w:val="pt-BR"/>
        </w:rPr>
        <w:t>são financeira de populações que muitas vezes estão à margem do sistema bancário tradicional, oferecendo acesso a serviços financeiros e crédito</w:t>
      </w:r>
      <w:r w:rsidRPr="00423B27">
        <w:rPr>
          <w:rFonts w:ascii="Times New Roman" w:hAnsi="Times New Roman" w:cs="Times New Roman"/>
          <w:sz w:val="24"/>
          <w:szCs w:val="24"/>
          <w:lang w:val="pt-BR"/>
        </w:rPr>
        <w:t>. Em segundo lugar, ao fortalecer o comércio local e incentivar a produção interna, a moeda contribui para a</w:t>
      </w:r>
      <w:r w:rsidRPr="00423B27">
        <w:rPr>
          <w:rFonts w:ascii="Times New Roman" w:hAnsi="Times New Roman" w:cs="Times New Roman"/>
          <w:sz w:val="24"/>
          <w:szCs w:val="24"/>
          <w:lang w:val="pt-BR"/>
        </w:rPr>
        <w:t xml:space="preserve"> diversificação da economia municipal e para a redução da dependência de atividades externas. Em terceiro lugar,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atua como um catalisador para a coesão social, uma vez que as transações em moeda social incentivam a interação entre moradores e com</w:t>
      </w:r>
      <w:r w:rsidRPr="00423B27">
        <w:rPr>
          <w:rFonts w:ascii="Times New Roman" w:hAnsi="Times New Roman" w:cs="Times New Roman"/>
          <w:sz w:val="24"/>
          <w:szCs w:val="24"/>
          <w:lang w:val="pt-BR"/>
        </w:rPr>
        <w:t>erciantes, fortalecendo os laços comunitários e o senso de pertencimento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digitalização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por meio da plataforma E-dinheiro, permite um controle mais eficiente das transações, maior segurança e a coleta de dados que podem ser utilizados p</w:t>
      </w:r>
      <w:r w:rsidRPr="00423B27">
        <w:rPr>
          <w:rFonts w:ascii="Times New Roman" w:hAnsi="Times New Roman" w:cs="Times New Roman"/>
          <w:sz w:val="24"/>
          <w:szCs w:val="24"/>
          <w:lang w:val="pt-BR"/>
        </w:rPr>
        <w:t>ara análises detalhadas sobre o fluxo da moeda e seu impacto em diferentes setores da economia local</w:t>
      </w:r>
      <w:r w:rsidRPr="00423B27">
        <w:rPr>
          <w:rFonts w:ascii="Times New Roman" w:hAnsi="Times New Roman" w:cs="Times New Roman"/>
          <w:sz w:val="24"/>
          <w:szCs w:val="24"/>
          <w:lang w:val="pt-BR"/>
        </w:rPr>
        <w:t xml:space="preserve">. Essa capacidade de rastreabilidade e análise de dados é um elemento crucial para a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Governance</w:t>
      </w:r>
      <w:proofErr w:type="spellEnd"/>
      <w:r w:rsidRPr="00423B27">
        <w:rPr>
          <w:rFonts w:ascii="Times New Roman" w:hAnsi="Times New Roman" w:cs="Times New Roman"/>
          <w:sz w:val="24"/>
          <w:szCs w:val="24"/>
          <w:lang w:val="pt-BR"/>
        </w:rPr>
        <w:t>, pois permite que a administração pública tom</w:t>
      </w:r>
      <w:r w:rsidRPr="00423B27">
        <w:rPr>
          <w:rFonts w:ascii="Times New Roman" w:hAnsi="Times New Roman" w:cs="Times New Roman"/>
          <w:sz w:val="24"/>
          <w:szCs w:val="24"/>
          <w:lang w:val="pt-BR"/>
        </w:rPr>
        <w:t xml:space="preserve">e decisões mais informadas e estratégicas para o desenvolvimento urbano.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portanto, não é apenas um meio de troca, mas uma ferramenta de planejamento e gestão </w:t>
      </w:r>
      <w:r w:rsidRPr="00423B27">
        <w:rPr>
          <w:rFonts w:ascii="Times New Roman" w:hAnsi="Times New Roman" w:cs="Times New Roman"/>
          <w:sz w:val="24"/>
          <w:szCs w:val="24"/>
          <w:lang w:val="pt-BR"/>
        </w:rPr>
        <w:lastRenderedPageBreak/>
        <w:t>territorial que contribui para a construção de uma cidade mais resiliente e autônoma ec</w:t>
      </w:r>
      <w:r w:rsidRPr="00423B27">
        <w:rPr>
          <w:rFonts w:ascii="Times New Roman" w:hAnsi="Times New Roman" w:cs="Times New Roman"/>
          <w:sz w:val="24"/>
          <w:szCs w:val="24"/>
          <w:lang w:val="pt-BR"/>
        </w:rPr>
        <w:t>onomicamente.</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Em suma, a circulação da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em Maricá demonstra como uma política pública inovadora pode gerar impactos econômicos e sociais profundos no desenvolvimento territorial urbano. Ao manter a riqueza dentro do município, fortalec</w:t>
      </w:r>
      <w:r w:rsidRPr="00423B27">
        <w:rPr>
          <w:rFonts w:ascii="Times New Roman" w:hAnsi="Times New Roman" w:cs="Times New Roman"/>
          <w:sz w:val="24"/>
          <w:szCs w:val="24"/>
          <w:lang w:val="pt-BR"/>
        </w:rPr>
        <w:t xml:space="preserve">er o comércio local e promover a inclusão financeira,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se consolida como um modelo de sucesso de economia solidária e de gestão inteligente, contribuindo para a construção de uma cidade mais próspera e equitativa.</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5. Conexão com Políticas de I</w:t>
      </w:r>
      <w:r w:rsidRPr="00423B27">
        <w:rPr>
          <w:rFonts w:ascii="Times New Roman" w:hAnsi="Times New Roman" w:cs="Times New Roman"/>
          <w:sz w:val="24"/>
          <w:szCs w:val="24"/>
          <w:lang w:val="pt-BR"/>
        </w:rPr>
        <w:t>nclusão e Inovação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em sua concepção e operacionalização, transcende a função de mero instrumento de transferência de renda, consolidando-se como uma ferramenta multifacetada de inclusão social e inovação pública. Sua articulação co</w:t>
      </w:r>
      <w:r w:rsidRPr="00423B27">
        <w:rPr>
          <w:rFonts w:ascii="Times New Roman" w:hAnsi="Times New Roman" w:cs="Times New Roman"/>
          <w:sz w:val="24"/>
          <w:szCs w:val="24"/>
          <w:lang w:val="pt-BR"/>
        </w:rPr>
        <w:t>m diversas políticas setoriais, notadamente nas áreas de habitação, transporte e comércio local, demonstra o potencial de uma moeda social digital para promover o desenvolvimento urbano de forma integrada e equitativa. Essa interconexão de políticas públic</w:t>
      </w:r>
      <w:r w:rsidRPr="00423B27">
        <w:rPr>
          <w:rFonts w:ascii="Times New Roman" w:hAnsi="Times New Roman" w:cs="Times New Roman"/>
          <w:sz w:val="24"/>
          <w:szCs w:val="24"/>
          <w:lang w:val="pt-BR"/>
        </w:rPr>
        <w:t xml:space="preserve">as, mediada pela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fortalece o tecido social e econômico de Maricá, posicionando-a como um laboratório de inovação em governança urbana.</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5.1. Habitação: Microcrédito, Urbanização e Permanência Territorial</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habitação é um dos pilares essenciais pa</w:t>
      </w:r>
      <w:r w:rsidRPr="00423B27">
        <w:rPr>
          <w:rFonts w:ascii="Times New Roman" w:hAnsi="Times New Roman" w:cs="Times New Roman"/>
          <w:sz w:val="24"/>
          <w:szCs w:val="24"/>
          <w:lang w:val="pt-BR"/>
        </w:rPr>
        <w:t xml:space="preserve">ra a construção de uma cidade inteligente e inclusiva, pois impacta diretamente a qualidade de vida, a saúde e a dignidade dos cidadãos. Maricá, com seu crescimento populacional </w:t>
      </w:r>
      <w:proofErr w:type="gramStart"/>
      <w:r w:rsidRPr="00423B27">
        <w:rPr>
          <w:rFonts w:ascii="Times New Roman" w:hAnsi="Times New Roman" w:cs="Times New Roman"/>
          <w:sz w:val="24"/>
          <w:szCs w:val="24"/>
          <w:lang w:val="pt-BR"/>
        </w:rPr>
        <w:t>acelerado  cerca</w:t>
      </w:r>
      <w:proofErr w:type="gramEnd"/>
      <w:r w:rsidRPr="00423B27">
        <w:rPr>
          <w:rFonts w:ascii="Times New Roman" w:hAnsi="Times New Roman" w:cs="Times New Roman"/>
          <w:sz w:val="24"/>
          <w:szCs w:val="24"/>
          <w:lang w:val="pt-BR"/>
        </w:rPr>
        <w:t xml:space="preserve"> de 3,7% ao ano, com quase 30% da população tendo se mudado pa</w:t>
      </w:r>
      <w:r w:rsidRPr="00423B27">
        <w:rPr>
          <w:rFonts w:ascii="Times New Roman" w:hAnsi="Times New Roman" w:cs="Times New Roman"/>
          <w:sz w:val="24"/>
          <w:szCs w:val="24"/>
          <w:lang w:val="pt-BR"/>
        </w:rPr>
        <w:t>ra o município nos últimos dez anos enfrenta desafios significativos em sua infraestrutura habitacional</w:t>
      </w:r>
      <w:r w:rsidRPr="00423B27">
        <w:rPr>
          <w:rFonts w:ascii="Times New Roman" w:hAnsi="Times New Roman" w:cs="Times New Roman"/>
          <w:sz w:val="24"/>
          <w:szCs w:val="24"/>
          <w:lang w:val="pt-BR"/>
        </w:rPr>
        <w:t>. Diante dessa dinâmica, o município tem implementado políticas que visam não apenas garantir o acesso à moradia, mas também promover a permanência t</w:t>
      </w:r>
      <w:r w:rsidRPr="00423B27">
        <w:rPr>
          <w:rFonts w:ascii="Times New Roman" w:hAnsi="Times New Roman" w:cs="Times New Roman"/>
          <w:sz w:val="24"/>
          <w:szCs w:val="24"/>
          <w:lang w:val="pt-BR"/>
        </w:rPr>
        <w:t>erritorial e a melhoria das condições de vida da população.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Uma das respostas inovadoras do município a essa demanda é a concessão de microcrédito habitacional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por meio do programa Casa Melhor. Este programa oferece linhas de financiamento co</w:t>
      </w:r>
      <w:r w:rsidRPr="00423B27">
        <w:rPr>
          <w:rFonts w:ascii="Times New Roman" w:hAnsi="Times New Roman" w:cs="Times New Roman"/>
          <w:sz w:val="24"/>
          <w:szCs w:val="24"/>
          <w:lang w:val="pt-BR"/>
        </w:rPr>
        <w:t>m juro zero, destinadas à reforma e ampliação de moradias, com prioridade para famílias em situação de vulnerabilidade social</w:t>
      </w:r>
      <w:r w:rsidRPr="00423B27">
        <w:rPr>
          <w:rFonts w:ascii="Times New Roman" w:hAnsi="Times New Roman" w:cs="Times New Roman"/>
          <w:sz w:val="24"/>
          <w:szCs w:val="24"/>
          <w:lang w:val="pt-BR"/>
        </w:rPr>
        <w:t xml:space="preserve">. A particularidade desse microcrédito reside no fato de que o recurso é concedido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xml:space="preserve"> e deve ser devolvido na mesma mo</w:t>
      </w:r>
      <w:r w:rsidRPr="00423B27">
        <w:rPr>
          <w:rFonts w:ascii="Times New Roman" w:hAnsi="Times New Roman" w:cs="Times New Roman"/>
          <w:sz w:val="24"/>
          <w:szCs w:val="24"/>
          <w:lang w:val="pt-BR"/>
        </w:rPr>
        <w:t>eda, garantindo que o valor circule dentro do comércio local de Maricá e retorne ao sistema público. Esse mecanismo cria um ciclo virtuoso de circulação de riqueza, onde o investimento em habitação não apenas melhora as condições de moradia, mas também fom</w:t>
      </w:r>
      <w:r w:rsidRPr="00423B27">
        <w:rPr>
          <w:rFonts w:ascii="Times New Roman" w:hAnsi="Times New Roman" w:cs="Times New Roman"/>
          <w:sz w:val="24"/>
          <w:szCs w:val="24"/>
          <w:lang w:val="pt-BR"/>
        </w:rPr>
        <w:t>enta a economia local e fortalece o sistema da moeda social</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política habitacional baseada na moeda social reforça a sustentabilidade urbana ao promover a adaptação incremental das residências, reduzindo a precariedade e fortalecendo o senso de pert</w:t>
      </w:r>
      <w:r w:rsidRPr="00423B27">
        <w:rPr>
          <w:rFonts w:ascii="Times New Roman" w:hAnsi="Times New Roman" w:cs="Times New Roman"/>
          <w:sz w:val="24"/>
          <w:szCs w:val="24"/>
          <w:lang w:val="pt-BR"/>
        </w:rPr>
        <w:t xml:space="preserve">encimento comunitário. Além disso, ao melhorar os indicadores de segurança, salubridade e dignidade, o programa Casa Melhor contribui para uma agenda mais ampla de combate à pobreza multidimensional.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nesse contexto, atua como um facilitador para</w:t>
      </w:r>
      <w:r w:rsidRPr="00423B27">
        <w:rPr>
          <w:rFonts w:ascii="Times New Roman" w:hAnsi="Times New Roman" w:cs="Times New Roman"/>
          <w:sz w:val="24"/>
          <w:szCs w:val="24"/>
          <w:lang w:val="pt-BR"/>
        </w:rPr>
        <w:t xml:space="preserve"> que as famílias possam investir em suas moradias, transformando o microcrédito em um instrumento de empoderamento e de melhoria das condições de vida, alinhado aos princípios de uma cidade inteligente que prioriza o bem-estar de seus cidadãos</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lastRenderedPageBreak/>
        <w:t>5.2</w:t>
      </w:r>
      <w:r w:rsidRPr="00423B27">
        <w:rPr>
          <w:rFonts w:ascii="Times New Roman" w:hAnsi="Times New Roman" w:cs="Times New Roman"/>
          <w:sz w:val="24"/>
          <w:szCs w:val="24"/>
          <w:lang w:val="pt-BR"/>
        </w:rPr>
        <w:t>. Transporte: Mobilidade Gratuita e Acesso Pleno à Cidade</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mobilidade urbana é um componente crítico para a funcionalidade e equidade de uma cidade inteligente. Desde 2015, Maricá implementou uma política de tarifa zero no transporte público, uma medida </w:t>
      </w:r>
      <w:r w:rsidRPr="00423B27">
        <w:rPr>
          <w:rFonts w:ascii="Times New Roman" w:hAnsi="Times New Roman" w:cs="Times New Roman"/>
          <w:sz w:val="24"/>
          <w:szCs w:val="24"/>
          <w:lang w:val="pt-BR"/>
        </w:rPr>
        <w:t>que se tornou um marco do seu modelo de inovação social. Os ônibus conhecidos como “vermelhinhos”, operados pelo sistema municipal, oferecem acesso gratuito a toda a população, com uma cobertura abrangente que conecta bairros e regiões periféricas</w:t>
      </w:r>
      <w:r w:rsidRPr="00423B27">
        <w:rPr>
          <w:rFonts w:ascii="Times New Roman" w:hAnsi="Times New Roman" w:cs="Times New Roman"/>
          <w:sz w:val="24"/>
          <w:szCs w:val="24"/>
          <w:lang w:val="pt-BR"/>
        </w:rPr>
        <w:t>. Ess</w:t>
      </w:r>
      <w:r w:rsidRPr="00423B27">
        <w:rPr>
          <w:rFonts w:ascii="Times New Roman" w:hAnsi="Times New Roman" w:cs="Times New Roman"/>
          <w:sz w:val="24"/>
          <w:szCs w:val="24"/>
          <w:lang w:val="pt-BR"/>
        </w:rPr>
        <w:t>a política visa garantir o direito à cidade, reduzindo barreiras de acesso a serviços públicos essenciais, educação, saúde e oportunidades econômicas, especialmente para as populações de baixa renda</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partir de 2021, o sistema de transporte gratuito foi integrado à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por meio do cartão RioCard Mais. Essa integração permite que os beneficiários da Renda Básica utilizem o transporte de forma automatizada e segura, otimizando a experiê</w:t>
      </w:r>
      <w:r w:rsidRPr="00423B27">
        <w:rPr>
          <w:rFonts w:ascii="Times New Roman" w:hAnsi="Times New Roman" w:cs="Times New Roman"/>
          <w:sz w:val="24"/>
          <w:szCs w:val="24"/>
          <w:lang w:val="pt-BR"/>
        </w:rPr>
        <w:t>ncia do usuário e a gestão do sistema</w:t>
      </w:r>
      <w:r w:rsidRPr="00423B27">
        <w:rPr>
          <w:rFonts w:ascii="Times New Roman" w:hAnsi="Times New Roman" w:cs="Times New Roman"/>
          <w:sz w:val="24"/>
          <w:szCs w:val="24"/>
          <w:lang w:val="pt-BR"/>
        </w:rPr>
        <w:t>. Segundo dados do Instituto Darcy Ribeiro (IDR), aproximadamente 29,6% da população que utiliza o sistema de transporte público gratuito o faz para se deslocar para o trabalho, o que sublinha a relevância dessa pol</w:t>
      </w:r>
      <w:r w:rsidRPr="00423B27">
        <w:rPr>
          <w:rFonts w:ascii="Times New Roman" w:hAnsi="Times New Roman" w:cs="Times New Roman"/>
          <w:sz w:val="24"/>
          <w:szCs w:val="24"/>
          <w:lang w:val="pt-BR"/>
        </w:rPr>
        <w:t>ítica para a garantia da empregabilidade e do acesso ao mercado de trabalho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interconexão entre a renda social, o transporte gratuito e a moeda digital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configura uma plataforma de inteligência social aplicada. Essa integração não apenas faci</w:t>
      </w:r>
      <w:r w:rsidRPr="00423B27">
        <w:rPr>
          <w:rFonts w:ascii="Times New Roman" w:hAnsi="Times New Roman" w:cs="Times New Roman"/>
          <w:sz w:val="24"/>
          <w:szCs w:val="24"/>
          <w:lang w:val="pt-BR"/>
        </w:rPr>
        <w:t xml:space="preserve">lita a vida dos cidadãos, mas também permite a rastreabilidade de dados, o planejamento mais eficiente de rotas e a otimização dos serviços de transporte. Além disso, essa política promove a sustentabilidade ambiental e urbanística, ao incentivar o uso do </w:t>
      </w:r>
      <w:r w:rsidRPr="00423B27">
        <w:rPr>
          <w:rFonts w:ascii="Times New Roman" w:hAnsi="Times New Roman" w:cs="Times New Roman"/>
          <w:sz w:val="24"/>
          <w:szCs w:val="24"/>
          <w:lang w:val="pt-BR"/>
        </w:rPr>
        <w:t>transporte coletivo em detrimento do automóvel particular, contribuindo para a redução do congestionamento e da emissão de poluentes</w:t>
      </w:r>
      <w:r w:rsidRPr="00423B27">
        <w:rPr>
          <w:rFonts w:ascii="Times New Roman" w:hAnsi="Times New Roman" w:cs="Times New Roman"/>
          <w:sz w:val="24"/>
          <w:szCs w:val="24"/>
          <w:lang w:val="pt-BR"/>
        </w:rPr>
        <w:t xml:space="preserve">.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nesse contexto, atua como um elo que conecta a política de mobilidade à inclusão social e ao desenvolviment</w:t>
      </w:r>
      <w:r w:rsidRPr="00423B27">
        <w:rPr>
          <w:rFonts w:ascii="Times New Roman" w:hAnsi="Times New Roman" w:cs="Times New Roman"/>
          <w:sz w:val="24"/>
          <w:szCs w:val="24"/>
          <w:lang w:val="pt-BR"/>
        </w:rPr>
        <w:t>o econômico, reforçando o caráter inovador e colaborativo da gestão urbana em Maricá.</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5.3. Comércio Local: Circuito Econômico Fechado e Fortalecimento da Economia de Proximidade</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O fortalecimento do comércio local é um dos pilares centrais da estratégi</w:t>
      </w:r>
      <w:r w:rsidRPr="00423B27">
        <w:rPr>
          <w:rFonts w:ascii="Times New Roman" w:hAnsi="Times New Roman" w:cs="Times New Roman"/>
          <w:sz w:val="24"/>
          <w:szCs w:val="24"/>
          <w:lang w:val="pt-BR"/>
        </w:rPr>
        <w:t xml:space="preserve">a de desenvolvimento econômico de Maricá, e 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desempenha um papel crucial nesse processo.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foi concebida com a premissa de que sua circulação se restringiria ao comércio local credenciado, evitando assim a evasão de recursos e</w:t>
      </w:r>
      <w:r w:rsidRPr="00423B27">
        <w:rPr>
          <w:rFonts w:ascii="Times New Roman" w:hAnsi="Times New Roman" w:cs="Times New Roman"/>
          <w:sz w:val="24"/>
          <w:szCs w:val="24"/>
          <w:lang w:val="pt-BR"/>
        </w:rPr>
        <w:t xml:space="preserve"> gerando efeitos multiplicadores sobre a economia de proximidade</w:t>
      </w:r>
      <w:r w:rsidR="00423B27">
        <w:rPr>
          <w:rFonts w:ascii="Times New Roman" w:hAnsi="Times New Roman" w:cs="Times New Roman"/>
          <w:sz w:val="24"/>
          <w:szCs w:val="24"/>
          <w:lang w:val="pt-BR"/>
        </w:rPr>
        <w:t>.</w:t>
      </w:r>
      <w:r w:rsidRPr="00423B27">
        <w:rPr>
          <w:rFonts w:ascii="Times New Roman" w:hAnsi="Times New Roman" w:cs="Times New Roman"/>
          <w:sz w:val="24"/>
          <w:szCs w:val="24"/>
          <w:lang w:val="pt-BR"/>
        </w:rPr>
        <w:t xml:space="preserve"> Essa característica intrínseca da moeda social garante que a riqueza gerada e distribuída permaneça dentro do município, beneficiando diretamente os pequenos comerciantes, prestadores de</w:t>
      </w:r>
      <w:r w:rsidRPr="00423B27">
        <w:rPr>
          <w:rFonts w:ascii="Times New Roman" w:hAnsi="Times New Roman" w:cs="Times New Roman"/>
          <w:sz w:val="24"/>
          <w:szCs w:val="24"/>
          <w:lang w:val="pt-BR"/>
        </w:rPr>
        <w:t xml:space="preserve"> serviços e microempreendedores.</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Os dados demonstram o impacto significativo dessa política: em 2020, mais de R$ 254 milhões foram movimentados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com picos mensais que atingiram até R$ 18 milhões, beneficiando diretamente cerca de 91 mil morado</w:t>
      </w:r>
      <w:r w:rsidRPr="00423B27">
        <w:rPr>
          <w:rFonts w:ascii="Times New Roman" w:hAnsi="Times New Roman" w:cs="Times New Roman"/>
          <w:sz w:val="24"/>
          <w:szCs w:val="24"/>
          <w:lang w:val="pt-BR"/>
        </w:rPr>
        <w:t>res</w:t>
      </w:r>
      <w:r w:rsidRPr="00423B27">
        <w:rPr>
          <w:rFonts w:ascii="Times New Roman" w:hAnsi="Times New Roman" w:cs="Times New Roman"/>
          <w:sz w:val="24"/>
          <w:szCs w:val="24"/>
          <w:lang w:val="pt-BR"/>
        </w:rPr>
        <w:t>. Essa intensa circulação de capital impulsiona o crescimento dos negócios locais, estimula a criação de novos empregos e fortalece a base econômica da cidade. O Instituto Darcy Ribeiro (IDR) identificou 5.828 estabelecimentos econômicos ativos em M</w:t>
      </w:r>
      <w:r w:rsidRPr="00423B27">
        <w:rPr>
          <w:rFonts w:ascii="Times New Roman" w:hAnsi="Times New Roman" w:cs="Times New Roman"/>
          <w:sz w:val="24"/>
          <w:szCs w:val="24"/>
          <w:lang w:val="pt-BR"/>
        </w:rPr>
        <w:t>aricá, com uma concentração notável nas regiões do Centro, Itaipuaçu e Inoã, que também são as áreas com maior número de beneficiários da moeda social</w:t>
      </w:r>
      <w:r w:rsidRPr="00423B27">
        <w:rPr>
          <w:rFonts w:ascii="Times New Roman" w:hAnsi="Times New Roman" w:cs="Times New Roman"/>
          <w:sz w:val="24"/>
          <w:szCs w:val="24"/>
          <w:lang w:val="pt-BR"/>
        </w:rPr>
        <w:t xml:space="preserve">. Essa correlação geográfica evidencia a eficácia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em dinamizar as economias locais onde a d</w:t>
      </w:r>
      <w:r w:rsidRPr="00423B27">
        <w:rPr>
          <w:rFonts w:ascii="Times New Roman" w:hAnsi="Times New Roman" w:cs="Times New Roman"/>
          <w:sz w:val="24"/>
          <w:szCs w:val="24"/>
          <w:lang w:val="pt-BR"/>
        </w:rPr>
        <w:t>emanda é mais concentrada.</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digitalização do sistema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operada pela plataforma E-dinheiro, oferece diversas vantagens para o comércio local. Ela permite um controle mais preciso das </w:t>
      </w:r>
      <w:r w:rsidRPr="00423B27">
        <w:rPr>
          <w:rFonts w:ascii="Times New Roman" w:hAnsi="Times New Roman" w:cs="Times New Roman"/>
          <w:sz w:val="24"/>
          <w:szCs w:val="24"/>
          <w:lang w:val="pt-BR"/>
        </w:rPr>
        <w:lastRenderedPageBreak/>
        <w:t>transações, aumenta a segurança nas operações financeiras e fa</w:t>
      </w:r>
      <w:r w:rsidRPr="00423B27">
        <w:rPr>
          <w:rFonts w:ascii="Times New Roman" w:hAnsi="Times New Roman" w:cs="Times New Roman"/>
          <w:sz w:val="24"/>
          <w:szCs w:val="24"/>
          <w:lang w:val="pt-BR"/>
        </w:rPr>
        <w:t xml:space="preserve">cilita a educação financeira dos comerciantes e consumidores. Além disso, a coleta de dados sobre as transações em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fornece informações valiosas para a administração municipal, permitindo a identificação de padrões de consumo, a avaliação do impacto</w:t>
      </w:r>
      <w:r w:rsidRPr="00423B27">
        <w:rPr>
          <w:rFonts w:ascii="Times New Roman" w:hAnsi="Times New Roman" w:cs="Times New Roman"/>
          <w:sz w:val="24"/>
          <w:szCs w:val="24"/>
          <w:lang w:val="pt-BR"/>
        </w:rPr>
        <w:t xml:space="preserve"> das políticas públicas e o planejamento de novas estratégias de fomento ao comércio</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Complementarmente à circulação da moeda, Maricá implementou programas de apoio e capacitação para os empreendedores locais. O </w:t>
      </w:r>
      <w:proofErr w:type="spellStart"/>
      <w:r w:rsidRPr="00423B27">
        <w:rPr>
          <w:rFonts w:ascii="Times New Roman" w:hAnsi="Times New Roman" w:cs="Times New Roman"/>
          <w:sz w:val="24"/>
          <w:szCs w:val="24"/>
          <w:lang w:val="pt-BR"/>
        </w:rPr>
        <w:t>Mumbucred</w:t>
      </w:r>
      <w:proofErr w:type="spellEnd"/>
      <w:r w:rsidRPr="00423B27">
        <w:rPr>
          <w:rFonts w:ascii="Times New Roman" w:hAnsi="Times New Roman" w:cs="Times New Roman"/>
          <w:sz w:val="24"/>
          <w:szCs w:val="24"/>
          <w:lang w:val="pt-BR"/>
        </w:rPr>
        <w:t>, por exemplo, oferece li</w:t>
      </w:r>
      <w:r w:rsidRPr="00423B27">
        <w:rPr>
          <w:rFonts w:ascii="Times New Roman" w:hAnsi="Times New Roman" w:cs="Times New Roman"/>
          <w:sz w:val="24"/>
          <w:szCs w:val="24"/>
          <w:lang w:val="pt-BR"/>
        </w:rPr>
        <w:t>nhas de crédito com juros baixos ou zero para capital de giro e investimento em negócios, incentivando a formalização e o crescimento das micro e pequenas empresas</w:t>
      </w:r>
      <w:r w:rsidRPr="00423B27">
        <w:rPr>
          <w:rFonts w:ascii="Times New Roman" w:hAnsi="Times New Roman" w:cs="Times New Roman"/>
          <w:sz w:val="24"/>
          <w:szCs w:val="24"/>
          <w:lang w:val="pt-BR"/>
        </w:rPr>
        <w:t xml:space="preserve">. O </w:t>
      </w:r>
      <w:proofErr w:type="spellStart"/>
      <w:proofErr w:type="gramStart"/>
      <w:r w:rsidRPr="00423B27">
        <w:rPr>
          <w:rFonts w:ascii="Times New Roman" w:hAnsi="Times New Roman" w:cs="Times New Roman"/>
          <w:sz w:val="24"/>
          <w:szCs w:val="24"/>
          <w:lang w:val="pt-BR"/>
        </w:rPr>
        <w:t>marketplace</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Compre</w:t>
      </w:r>
      <w:proofErr w:type="gramEnd"/>
      <w:r w:rsidRPr="00423B27">
        <w:rPr>
          <w:rFonts w:ascii="Times New Roman" w:hAnsi="Times New Roman" w:cs="Times New Roman"/>
          <w:sz w:val="24"/>
          <w:szCs w:val="24"/>
          <w:lang w:val="pt-BR"/>
        </w:rPr>
        <w:t>.Rio</w:t>
      </w:r>
      <w:proofErr w:type="spellEnd"/>
      <w:r w:rsidRPr="00423B27">
        <w:rPr>
          <w:rFonts w:ascii="Times New Roman" w:hAnsi="Times New Roman" w:cs="Times New Roman"/>
          <w:sz w:val="24"/>
          <w:szCs w:val="24"/>
          <w:lang w:val="pt-BR"/>
        </w:rPr>
        <w:t xml:space="preserve"> e as capacitações oferecidas pela Companhia de Desenvolvimento</w:t>
      </w:r>
      <w:r w:rsidRPr="00423B27">
        <w:rPr>
          <w:rFonts w:ascii="Times New Roman" w:hAnsi="Times New Roman" w:cs="Times New Roman"/>
          <w:sz w:val="24"/>
          <w:szCs w:val="24"/>
          <w:lang w:val="pt-BR"/>
        </w:rPr>
        <w:t xml:space="preserve"> de Maricá (</w:t>
      </w:r>
      <w:proofErr w:type="spellStart"/>
      <w:r w:rsidRPr="00423B27">
        <w:rPr>
          <w:rFonts w:ascii="Times New Roman" w:hAnsi="Times New Roman" w:cs="Times New Roman"/>
          <w:sz w:val="24"/>
          <w:szCs w:val="24"/>
          <w:lang w:val="pt-BR"/>
        </w:rPr>
        <w:t>Codemar</w:t>
      </w:r>
      <w:proofErr w:type="spellEnd"/>
      <w:r w:rsidRPr="00423B27">
        <w:rPr>
          <w:rFonts w:ascii="Times New Roman" w:hAnsi="Times New Roman" w:cs="Times New Roman"/>
          <w:sz w:val="24"/>
          <w:szCs w:val="24"/>
          <w:lang w:val="pt-BR"/>
        </w:rPr>
        <w:t>) consolidam um ecossistema integrado de inovação econômica e territorial, que visa não apenas fortalecer o comércio existente, mas também estimular o surgimento de novos arranjos produtivos locais</w:t>
      </w:r>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Em síntese, a Moeda Social </w:t>
      </w:r>
      <w:proofErr w:type="spellStart"/>
      <w:r w:rsidRPr="00423B27">
        <w:rPr>
          <w:rFonts w:ascii="Times New Roman" w:hAnsi="Times New Roman" w:cs="Times New Roman"/>
          <w:sz w:val="24"/>
          <w:szCs w:val="24"/>
          <w:lang w:val="pt-BR"/>
        </w:rPr>
        <w:t>Mumbuc</w:t>
      </w:r>
      <w:r w:rsidRPr="00423B27">
        <w:rPr>
          <w:rFonts w:ascii="Times New Roman" w:hAnsi="Times New Roman" w:cs="Times New Roman"/>
          <w:sz w:val="24"/>
          <w:szCs w:val="24"/>
          <w:lang w:val="pt-BR"/>
        </w:rPr>
        <w:t>a</w:t>
      </w:r>
      <w:proofErr w:type="spellEnd"/>
      <w:r w:rsidRPr="00423B27">
        <w:rPr>
          <w:rFonts w:ascii="Times New Roman" w:hAnsi="Times New Roman" w:cs="Times New Roman"/>
          <w:sz w:val="24"/>
          <w:szCs w:val="24"/>
          <w:lang w:val="pt-BR"/>
        </w:rPr>
        <w:t>, ao criar um circuito econômico fechado e ao ser integrada a programas de apoio ao empreendedorismo, tem se mostrado um instrumento poderoso para o fortalecimento da economia de proximidade em Maricá. Essa abordagem inovadora não só garante que os recurs</w:t>
      </w:r>
      <w:r w:rsidRPr="00423B27">
        <w:rPr>
          <w:rFonts w:ascii="Times New Roman" w:hAnsi="Times New Roman" w:cs="Times New Roman"/>
          <w:sz w:val="24"/>
          <w:szCs w:val="24"/>
          <w:lang w:val="pt-BR"/>
        </w:rPr>
        <w:t>os públicos gerem valor dentro do próprio município, mas também promove a resiliência econômica, a inclusão social e o desenvolvimento sustentável, alinhando-se perfeitamente aos princípios de uma cidade inteligente que valoriza e investe em sua base econô</w:t>
      </w:r>
      <w:r w:rsidRPr="00423B27">
        <w:rPr>
          <w:rFonts w:ascii="Times New Roman" w:hAnsi="Times New Roman" w:cs="Times New Roman"/>
          <w:sz w:val="24"/>
          <w:szCs w:val="24"/>
          <w:lang w:val="pt-BR"/>
        </w:rPr>
        <w:t>mica local.</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6. Potencial de Articulação com Startups, Plataformas de Dados e Integração com </w:t>
      </w:r>
      <w:proofErr w:type="spellStart"/>
      <w:r w:rsidRPr="00423B27">
        <w:rPr>
          <w:rFonts w:ascii="Times New Roman" w:hAnsi="Times New Roman" w:cs="Times New Roman"/>
          <w:sz w:val="24"/>
          <w:szCs w:val="24"/>
          <w:lang w:val="pt-BR"/>
        </w:rPr>
        <w:t>Blockchain</w:t>
      </w:r>
      <w:proofErr w:type="spellEnd"/>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enquanto instrumento de inovação pública e elemento central na construção de uma cidade inteligente, possui um vasto potenci</w:t>
      </w:r>
      <w:r w:rsidRPr="00423B27">
        <w:rPr>
          <w:rFonts w:ascii="Times New Roman" w:hAnsi="Times New Roman" w:cs="Times New Roman"/>
          <w:sz w:val="24"/>
          <w:szCs w:val="24"/>
          <w:lang w:val="pt-BR"/>
        </w:rPr>
        <w:t xml:space="preserve">al de articulação com o ecossistema de startups, o uso estratégico de plataformas de dados e a integração com tecnologias emergentes como o blockchain. Essa sinergia pode ampliar ainda mais os impactos positivos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promovendo maior eficiência, tra</w:t>
      </w:r>
      <w:r w:rsidRPr="00423B27">
        <w:rPr>
          <w:rFonts w:ascii="Times New Roman" w:hAnsi="Times New Roman" w:cs="Times New Roman"/>
          <w:sz w:val="24"/>
          <w:szCs w:val="24"/>
          <w:lang w:val="pt-BR"/>
        </w:rPr>
        <w:t>nsparência e resiliência na gestão urbana e no desenvolvimento econômico local.</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colaboração com startups de soluções urbanas representa uma via promissora para Maricá. Startups, por sua natureza ágil e focada em inovação, podem desenvolver ferramentas e</w:t>
      </w:r>
      <w:r w:rsidRPr="00423B27">
        <w:rPr>
          <w:rFonts w:ascii="Times New Roman" w:hAnsi="Times New Roman" w:cs="Times New Roman"/>
          <w:sz w:val="24"/>
          <w:szCs w:val="24"/>
          <w:lang w:val="pt-BR"/>
        </w:rPr>
        <w:t xml:space="preserve"> serviços complementares ao ecossistema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Isso inclui desde aplicativos que facilitem a interação dos usuários com a moeda social e os programas sociais, até soluções de logística para o comércio local, plataformas de educação financeira gamifica</w:t>
      </w:r>
      <w:r w:rsidRPr="00423B27">
        <w:rPr>
          <w:rFonts w:ascii="Times New Roman" w:hAnsi="Times New Roman" w:cs="Times New Roman"/>
          <w:sz w:val="24"/>
          <w:szCs w:val="24"/>
          <w:lang w:val="pt-BR"/>
        </w:rPr>
        <w:t>das ou sistemas de monitoramento de impacto social. A Prefeitura de Maricá, ao fomentar um ambiente propício para essas parcerias, pode atrair talentos e investimentos, transformando a cidade em um hub de inovação em economia solidária e tecnologias cívica</w:t>
      </w:r>
      <w:r w:rsidRPr="00423B27">
        <w:rPr>
          <w:rFonts w:ascii="Times New Roman" w:hAnsi="Times New Roman" w:cs="Times New Roman"/>
          <w:sz w:val="24"/>
          <w:szCs w:val="24"/>
          <w:lang w:val="pt-BR"/>
        </w:rPr>
        <w:t>s. Exemplos de startups que criam moedas sociais digitais para sistemas inovadores de descarte de bens materiais</w:t>
      </w:r>
      <w:r w:rsidRPr="00423B27">
        <w:rPr>
          <w:rFonts w:ascii="Times New Roman" w:hAnsi="Times New Roman" w:cs="Times New Roman"/>
          <w:sz w:val="24"/>
          <w:szCs w:val="24"/>
          <w:lang w:val="pt-BR"/>
        </w:rPr>
        <w:t xml:space="preserve"> ou que buscam impulsionar moedas sociais com tecnologia </w:t>
      </w:r>
      <w:proofErr w:type="spellStart"/>
      <w:r w:rsidRPr="00423B27">
        <w:rPr>
          <w:rFonts w:ascii="Times New Roman" w:hAnsi="Times New Roman" w:cs="Times New Roman"/>
          <w:sz w:val="24"/>
          <w:szCs w:val="24"/>
          <w:lang w:val="pt-BR"/>
        </w:rPr>
        <w:t>blockchain</w:t>
      </w:r>
      <w:proofErr w:type="spellEnd"/>
      <w:r w:rsidRPr="00423B27">
        <w:rPr>
          <w:rFonts w:ascii="Times New Roman" w:hAnsi="Times New Roman" w:cs="Times New Roman"/>
          <w:sz w:val="24"/>
          <w:szCs w:val="24"/>
          <w:lang w:val="pt-BR"/>
        </w:rPr>
        <w:t xml:space="preserve"> </w:t>
      </w:r>
      <w:r w:rsidRPr="00423B27">
        <w:rPr>
          <w:rFonts w:ascii="Times New Roman" w:hAnsi="Times New Roman" w:cs="Times New Roman"/>
          <w:sz w:val="24"/>
          <w:szCs w:val="24"/>
          <w:lang w:val="pt-BR"/>
        </w:rPr>
        <w:t>demonstram o vasto campo de atuação.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O uso estratégico de plataformas de dados é fundamental para aprimorar a governança e a tomada de decisões em Maricá. A digitalização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por meio da plataforma E-dinheiro, já gera um volume significativo de dados sobre as transações, o perfil dos </w:t>
      </w:r>
      <w:r w:rsidRPr="00423B27">
        <w:rPr>
          <w:rFonts w:ascii="Times New Roman" w:hAnsi="Times New Roman" w:cs="Times New Roman"/>
          <w:sz w:val="24"/>
          <w:szCs w:val="24"/>
          <w:lang w:val="pt-BR"/>
        </w:rPr>
        <w:t>usuários e o comportamento do comércio local</w:t>
      </w:r>
      <w:r w:rsidRPr="00423B27">
        <w:rPr>
          <w:rFonts w:ascii="Times New Roman" w:hAnsi="Times New Roman" w:cs="Times New Roman"/>
          <w:sz w:val="24"/>
          <w:szCs w:val="24"/>
          <w:lang w:val="pt-BR"/>
        </w:rPr>
        <w:t>. Ao consolidar e analisar esses dados em plataformas robustas, a administração municipal pode obter insights valiosos sobre os padrões de consumo, a eficácia dos programas sociais e as áreas que necessi</w:t>
      </w:r>
      <w:r w:rsidRPr="00423B27">
        <w:rPr>
          <w:rFonts w:ascii="Times New Roman" w:hAnsi="Times New Roman" w:cs="Times New Roman"/>
          <w:sz w:val="24"/>
          <w:szCs w:val="24"/>
          <w:lang w:val="pt-BR"/>
        </w:rPr>
        <w:t xml:space="preserve">tam de maior investimento. Isso permite uma gestão mais proativa e baseada em evidências, otimizando a alocação de recursos e a formulação de políticas públicas. A capacidade de rastrear e </w:t>
      </w:r>
      <w:r w:rsidRPr="00423B27">
        <w:rPr>
          <w:rFonts w:ascii="Times New Roman" w:hAnsi="Times New Roman" w:cs="Times New Roman"/>
          <w:sz w:val="24"/>
          <w:szCs w:val="24"/>
          <w:lang w:val="pt-BR"/>
        </w:rPr>
        <w:lastRenderedPageBreak/>
        <w:t>visualizar o fluxo da moeda em tempo real, por exemplo, pode revela</w:t>
      </w:r>
      <w:r w:rsidRPr="00423B27">
        <w:rPr>
          <w:rFonts w:ascii="Times New Roman" w:hAnsi="Times New Roman" w:cs="Times New Roman"/>
          <w:sz w:val="24"/>
          <w:szCs w:val="24"/>
          <w:lang w:val="pt-BR"/>
        </w:rPr>
        <w:t>r oportunidades para fortalecer cadeias produtivas locais ou identificar gargalos na distribuição de benefícios.</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integração com a tecnologia blockchain representa um avanço significativo para 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especialmente no que tange à transpar</w:t>
      </w:r>
      <w:r w:rsidRPr="00423B27">
        <w:rPr>
          <w:rFonts w:ascii="Times New Roman" w:hAnsi="Times New Roman" w:cs="Times New Roman"/>
          <w:sz w:val="24"/>
          <w:szCs w:val="24"/>
          <w:lang w:val="pt-BR"/>
        </w:rPr>
        <w:t xml:space="preserve">ência, segurança e auditabilidade das transações. O blockchain, com sua natureza descentralizada e imutável, pode oferecer uma camada adicional de confiança ao sistema da moeda social, garantindo que todas as transações sejam registradas de forma segura e </w:t>
      </w:r>
      <w:r w:rsidRPr="00423B27">
        <w:rPr>
          <w:rFonts w:ascii="Times New Roman" w:hAnsi="Times New Roman" w:cs="Times New Roman"/>
          <w:sz w:val="24"/>
          <w:szCs w:val="24"/>
          <w:lang w:val="pt-BR"/>
        </w:rPr>
        <w:t>acessível a todos os participantes</w:t>
      </w:r>
      <w:r w:rsidRPr="00423B27">
        <w:rPr>
          <w:rFonts w:ascii="Times New Roman" w:hAnsi="Times New Roman" w:cs="Times New Roman"/>
          <w:sz w:val="24"/>
          <w:szCs w:val="24"/>
          <w:lang w:val="pt-BR"/>
        </w:rPr>
        <w:t xml:space="preserve">. Isso pode aumentar a confiança dos usuários e comerciantes na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além de facilitar a auditoria por parte dos órgãos de controle. Projetos que já colocam moedas sociais na blockchain para democratizar o acesso </w:t>
      </w:r>
      <w:r w:rsidRPr="00423B27">
        <w:rPr>
          <w:rFonts w:ascii="Times New Roman" w:hAnsi="Times New Roman" w:cs="Times New Roman"/>
          <w:sz w:val="24"/>
          <w:szCs w:val="24"/>
          <w:lang w:val="pt-BR"/>
        </w:rPr>
        <w:t>financeiro</w:t>
      </w:r>
      <w:r w:rsidRPr="00423B27">
        <w:rPr>
          <w:rFonts w:ascii="Times New Roman" w:hAnsi="Times New Roman" w:cs="Times New Roman"/>
          <w:sz w:val="24"/>
          <w:szCs w:val="24"/>
          <w:lang w:val="pt-BR"/>
        </w:rPr>
        <w:t xml:space="preserve"> ou que utilizam essa tecnologia para aprimorar a transparência e a inclusão financeira</w:t>
      </w:r>
      <w:r w:rsidRPr="00423B27">
        <w:rPr>
          <w:rFonts w:ascii="Times New Roman" w:hAnsi="Times New Roman" w:cs="Times New Roman"/>
          <w:sz w:val="24"/>
          <w:szCs w:val="24"/>
          <w:lang w:val="pt-BR"/>
        </w:rPr>
        <w:t xml:space="preserve"> são exemplos claros do potencial dessa integração. A aplicação de contratos inteligentes (</w:t>
      </w:r>
      <w:proofErr w:type="spellStart"/>
      <w:r w:rsidRPr="00423B27">
        <w:rPr>
          <w:rFonts w:ascii="Times New Roman" w:hAnsi="Times New Roman" w:cs="Times New Roman"/>
          <w:sz w:val="24"/>
          <w:szCs w:val="24"/>
          <w:lang w:val="pt-BR"/>
        </w:rPr>
        <w:t>smart</w:t>
      </w:r>
      <w:proofErr w:type="spellEnd"/>
      <w:r w:rsidRPr="00423B27">
        <w:rPr>
          <w:rFonts w:ascii="Times New Roman" w:hAnsi="Times New Roman" w:cs="Times New Roman"/>
          <w:sz w:val="24"/>
          <w:szCs w:val="24"/>
          <w:lang w:val="pt-BR"/>
        </w:rPr>
        <w:t xml:space="preserve"> </w:t>
      </w:r>
      <w:proofErr w:type="spellStart"/>
      <w:r w:rsidRPr="00423B27">
        <w:rPr>
          <w:rFonts w:ascii="Times New Roman" w:hAnsi="Times New Roman" w:cs="Times New Roman"/>
          <w:sz w:val="24"/>
          <w:szCs w:val="24"/>
          <w:lang w:val="pt-BR"/>
        </w:rPr>
        <w:t>contracts</w:t>
      </w:r>
      <w:proofErr w:type="spellEnd"/>
      <w:r w:rsidRPr="00423B27">
        <w:rPr>
          <w:rFonts w:ascii="Times New Roman" w:hAnsi="Times New Roman" w:cs="Times New Roman"/>
          <w:sz w:val="24"/>
          <w:szCs w:val="24"/>
          <w:lang w:val="pt-BR"/>
        </w:rPr>
        <w:t>) baseados em blockchain poderia, por exemp</w:t>
      </w:r>
      <w:r w:rsidRPr="00423B27">
        <w:rPr>
          <w:rFonts w:ascii="Times New Roman" w:hAnsi="Times New Roman" w:cs="Times New Roman"/>
          <w:sz w:val="24"/>
          <w:szCs w:val="24"/>
          <w:lang w:val="pt-BR"/>
        </w:rPr>
        <w:t>lo, automatizar a distribuição de benefícios sociais ou garantir o cumprimento de regras específicas para o uso da moeda, reduzindo a burocracia e aumentando a eficiência.</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Em suma, a articulação da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startups, plataformas de dados e</w:t>
      </w:r>
      <w:r w:rsidRPr="00423B27">
        <w:rPr>
          <w:rFonts w:ascii="Times New Roman" w:hAnsi="Times New Roman" w:cs="Times New Roman"/>
          <w:sz w:val="24"/>
          <w:szCs w:val="24"/>
          <w:lang w:val="pt-BR"/>
        </w:rPr>
        <w:t xml:space="preserve"> a tecnologia blockchain não é apenas uma possibilidade, mas uma evolução natural para um instrumento que já se destaca pela sua inovação. Essa integração pode transformar Maricá em um modelo ainda mais avançado de cidade inteligente, onde a tecnologia é u</w:t>
      </w:r>
      <w:r w:rsidRPr="00423B27">
        <w:rPr>
          <w:rFonts w:ascii="Times New Roman" w:hAnsi="Times New Roman" w:cs="Times New Roman"/>
          <w:sz w:val="24"/>
          <w:szCs w:val="24"/>
          <w:lang w:val="pt-BR"/>
        </w:rPr>
        <w:t xml:space="preserve">tilizada para fortalecer a economia local, promover a inclusão social e garantir uma governança mais transparente e participativa. O futuro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passa, inevitavelmente, pela exploração dessas sinergias, consolidando seu papel como um catalisador de d</w:t>
      </w:r>
      <w:r w:rsidRPr="00423B27">
        <w:rPr>
          <w:rFonts w:ascii="Times New Roman" w:hAnsi="Times New Roman" w:cs="Times New Roman"/>
          <w:sz w:val="24"/>
          <w:szCs w:val="24"/>
          <w:lang w:val="pt-BR"/>
        </w:rPr>
        <w:t>esenvolvimento e inovação no cenário urbano brasileiro.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p>
    <w:p w:rsidR="00043363" w:rsidRPr="00423B27" w:rsidRDefault="00B84035" w:rsidP="00B84035">
      <w:pPr>
        <w:spacing w:before="120" w:after="120" w:line="240" w:lineRule="auto"/>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7. Conclusão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experiência da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em Maricá representa um estudo de caso paradigmático sobre como a inovação pública, a governança colaborativa e a tecnologia podem convergir par</w:t>
      </w:r>
      <w:r w:rsidRPr="00423B27">
        <w:rPr>
          <w:rFonts w:ascii="Times New Roman" w:hAnsi="Times New Roman" w:cs="Times New Roman"/>
          <w:sz w:val="24"/>
          <w:szCs w:val="24"/>
          <w:lang w:val="pt-BR"/>
        </w:rPr>
        <w:t xml:space="preserve">a construir uma cidade inteligente centrada nas necessidades de sua população. Ao longo deste trabalho, demonstrou-se que 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transcende a função de um mero meio de troca, consolidando-se como uma infraestrutura pública de cidadania que impulsiona o </w:t>
      </w:r>
      <w:r w:rsidRPr="00423B27">
        <w:rPr>
          <w:rFonts w:ascii="Times New Roman" w:hAnsi="Times New Roman" w:cs="Times New Roman"/>
          <w:sz w:val="24"/>
          <w:szCs w:val="24"/>
          <w:lang w:val="pt-BR"/>
        </w:rPr>
        <w:t>desenvolvimento local, promove a inclusão social e fortalece a democracia urbana.</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A integração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políticas setoriais de habitação, transporte e comércio local ilustra a capacidade da moeda social de gerar impactos multifacetados. No setor hab</w:t>
      </w:r>
      <w:r w:rsidRPr="00423B27">
        <w:rPr>
          <w:rFonts w:ascii="Times New Roman" w:hAnsi="Times New Roman" w:cs="Times New Roman"/>
          <w:sz w:val="24"/>
          <w:szCs w:val="24"/>
          <w:lang w:val="pt-BR"/>
        </w:rPr>
        <w:t xml:space="preserve">itacional, o microcrédito em </w:t>
      </w:r>
      <w:proofErr w:type="spellStart"/>
      <w:r w:rsidRPr="00423B27">
        <w:rPr>
          <w:rFonts w:ascii="Times New Roman" w:hAnsi="Times New Roman" w:cs="Times New Roman"/>
          <w:sz w:val="24"/>
          <w:szCs w:val="24"/>
          <w:lang w:val="pt-BR"/>
        </w:rPr>
        <w:t>Mumbucas</w:t>
      </w:r>
      <w:proofErr w:type="spellEnd"/>
      <w:r w:rsidRPr="00423B27">
        <w:rPr>
          <w:rFonts w:ascii="Times New Roman" w:hAnsi="Times New Roman" w:cs="Times New Roman"/>
          <w:sz w:val="24"/>
          <w:szCs w:val="24"/>
          <w:lang w:val="pt-BR"/>
        </w:rPr>
        <w:t xml:space="preserve">, via programa Casa Melhor, fomenta a melhoria das moradias e a permanência territorial, realimentando a economia local. Na mobilidade urbana, a articulação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o transporte público gratuito garante o acesso </w:t>
      </w:r>
      <w:r w:rsidRPr="00423B27">
        <w:rPr>
          <w:rFonts w:ascii="Times New Roman" w:hAnsi="Times New Roman" w:cs="Times New Roman"/>
          <w:sz w:val="24"/>
          <w:szCs w:val="24"/>
          <w:lang w:val="pt-BR"/>
        </w:rPr>
        <w:t>pleno à cidade, reduzindo barreiras sociais e econômicas. No comércio local, a circulação restrita da moeda cria um circuito econômico fechado, fortalecendo pequenos negócios e gerando um efeito multiplicador sobre a riqueza municipal.</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A arquitetura insti</w:t>
      </w:r>
      <w:r w:rsidRPr="00423B27">
        <w:rPr>
          <w:rFonts w:ascii="Times New Roman" w:hAnsi="Times New Roman" w:cs="Times New Roman"/>
          <w:sz w:val="24"/>
          <w:szCs w:val="24"/>
          <w:lang w:val="pt-BR"/>
        </w:rPr>
        <w:t xml:space="preserve">tucional do Banco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sua parceria com o Instituto E-dinheiro para a digitalização da moeda e o modelo de financiamento que realimenta o fundo do banco, são exemplos de uma governança inovadora e participativa. A capacidade de Maricá em articular o po</w:t>
      </w:r>
      <w:r w:rsidRPr="00423B27">
        <w:rPr>
          <w:rFonts w:ascii="Times New Roman" w:hAnsi="Times New Roman" w:cs="Times New Roman"/>
          <w:sz w:val="24"/>
          <w:szCs w:val="24"/>
          <w:lang w:val="pt-BR"/>
        </w:rPr>
        <w:t xml:space="preserve">der público, a sociedade civil e o setor privado na gestão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demonstra um compromisso com a cocriação de valor público e a construção de um ecossistema de inovação robusto.</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lastRenderedPageBreak/>
        <w:t xml:space="preserve">O potencial de articulação da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com startups, plataformas de dados </w:t>
      </w:r>
      <w:r w:rsidRPr="00423B27">
        <w:rPr>
          <w:rFonts w:ascii="Times New Roman" w:hAnsi="Times New Roman" w:cs="Times New Roman"/>
          <w:sz w:val="24"/>
          <w:szCs w:val="24"/>
          <w:lang w:val="pt-BR"/>
        </w:rPr>
        <w:t xml:space="preserve">e a tecnologia blockchain aponta para um futuro promissor, onde a moeda social pode se tornar ainda mais eficiente, transparente e segura. Essas sinergias podem transformar Maricá em um modelo ainda mais avançado de cidade inteligente, onde a tecnologia é </w:t>
      </w:r>
      <w:r w:rsidRPr="00423B27">
        <w:rPr>
          <w:rFonts w:ascii="Times New Roman" w:hAnsi="Times New Roman" w:cs="Times New Roman"/>
          <w:sz w:val="24"/>
          <w:szCs w:val="24"/>
          <w:lang w:val="pt-BR"/>
        </w:rPr>
        <w:t xml:space="preserve">uma ferramenta para o empoderamento social e a promoção de um desenvolvimento humano sustentável e </w:t>
      </w:r>
      <w:proofErr w:type="spellStart"/>
      <w:r w:rsidRPr="00423B27">
        <w:rPr>
          <w:rFonts w:ascii="Times New Roman" w:hAnsi="Times New Roman" w:cs="Times New Roman"/>
          <w:sz w:val="24"/>
          <w:szCs w:val="24"/>
          <w:lang w:val="pt-BR"/>
        </w:rPr>
        <w:t>territorializado</w:t>
      </w:r>
      <w:proofErr w:type="spellEnd"/>
      <w:r w:rsidRPr="00423B27">
        <w:rPr>
          <w:rFonts w:ascii="Times New Roman" w:hAnsi="Times New Roman" w:cs="Times New Roman"/>
          <w:sz w:val="24"/>
          <w:szCs w:val="24"/>
          <w:lang w:val="pt-BR"/>
        </w:rPr>
        <w:t>.</w:t>
      </w:r>
    </w:p>
    <w:p w:rsidR="00043363" w:rsidRPr="00423B27" w:rsidRDefault="00B84035" w:rsidP="00423B27">
      <w:pPr>
        <w:spacing w:before="120" w:after="120" w:line="240" w:lineRule="auto"/>
        <w:ind w:firstLine="851"/>
        <w:jc w:val="both"/>
        <w:rPr>
          <w:rFonts w:ascii="Times New Roman" w:hAnsi="Times New Roman" w:cs="Times New Roman"/>
          <w:sz w:val="24"/>
          <w:szCs w:val="24"/>
          <w:lang w:val="pt-BR"/>
        </w:rPr>
      </w:pPr>
      <w:r w:rsidRPr="00423B27">
        <w:rPr>
          <w:rFonts w:ascii="Times New Roman" w:hAnsi="Times New Roman" w:cs="Times New Roman"/>
          <w:sz w:val="24"/>
          <w:szCs w:val="24"/>
          <w:lang w:val="pt-BR"/>
        </w:rPr>
        <w:t xml:space="preserve">Em suma, a Moeda Social </w:t>
      </w:r>
      <w:proofErr w:type="spellStart"/>
      <w:r w:rsidRPr="00423B27">
        <w:rPr>
          <w:rFonts w:ascii="Times New Roman" w:hAnsi="Times New Roman" w:cs="Times New Roman"/>
          <w:sz w:val="24"/>
          <w:szCs w:val="24"/>
          <w:lang w:val="pt-BR"/>
        </w:rPr>
        <w:t>Mumbuca</w:t>
      </w:r>
      <w:proofErr w:type="spellEnd"/>
      <w:r w:rsidRPr="00423B27">
        <w:rPr>
          <w:rFonts w:ascii="Times New Roman" w:hAnsi="Times New Roman" w:cs="Times New Roman"/>
          <w:sz w:val="24"/>
          <w:szCs w:val="24"/>
          <w:lang w:val="pt-BR"/>
        </w:rPr>
        <w:t xml:space="preserve"> não é apenas um sucesso local, mas um modelo replicável para outros municípios brasileiros e globais que b</w:t>
      </w:r>
      <w:r w:rsidRPr="00423B27">
        <w:rPr>
          <w:rFonts w:ascii="Times New Roman" w:hAnsi="Times New Roman" w:cs="Times New Roman"/>
          <w:sz w:val="24"/>
          <w:szCs w:val="24"/>
          <w:lang w:val="pt-BR"/>
        </w:rPr>
        <w:t>uscam soluções inovadoras para seus desafios urbanos. Ela reafirma que é possível construir cidades mais justas, equitativas e prósperas, onde a inovação pública serve aos interesses da coletividade e a tecnologia é um vetor de transformação social.</w:t>
      </w:r>
    </w:p>
    <w:p w:rsidR="00043363" w:rsidRPr="00423B27" w:rsidRDefault="00B84035">
      <w:pPr>
        <w:rPr>
          <w:rFonts w:ascii="Times New Roman" w:hAnsi="Times New Roman" w:cs="Times New Roman"/>
          <w:sz w:val="24"/>
          <w:szCs w:val="24"/>
          <w:lang w:val="pt-BR"/>
        </w:rPr>
      </w:pPr>
    </w:p>
    <w:p w:rsidR="00043363" w:rsidRPr="00423B27" w:rsidRDefault="00B84035" w:rsidP="00B84035">
      <w:pPr>
        <w:rPr>
          <w:rFonts w:ascii="Times New Roman" w:hAnsi="Times New Roman" w:cs="Times New Roman"/>
          <w:sz w:val="24"/>
          <w:szCs w:val="24"/>
          <w:lang w:val="pt-BR"/>
        </w:rPr>
      </w:pPr>
      <w:r w:rsidRPr="00423B27">
        <w:rPr>
          <w:rFonts w:ascii="Times New Roman" w:hAnsi="Times New Roman" w:cs="Times New Roman"/>
          <w:sz w:val="24"/>
          <w:szCs w:val="24"/>
          <w:lang w:val="pt-BR"/>
        </w:rPr>
        <w:t>8.</w:t>
      </w:r>
      <w:r w:rsidRPr="00423B27">
        <w:rPr>
          <w:rFonts w:ascii="Times New Roman" w:hAnsi="Times New Roman" w:cs="Times New Roman"/>
          <w:sz w:val="24"/>
          <w:szCs w:val="24"/>
          <w:lang w:val="pt-BR"/>
        </w:rPr>
        <w:t xml:space="preserve"> Referências</w:t>
      </w:r>
    </w:p>
    <w:p w:rsidR="00423B27" w:rsidRPr="00423B27" w:rsidRDefault="00423B27" w:rsidP="00423B27">
      <w:pPr>
        <w:pStyle w:val="NormalWeb"/>
        <w:ind w:left="426" w:hanging="426"/>
        <w:jc w:val="both"/>
      </w:pPr>
      <w:r w:rsidRPr="00423B27">
        <w:t xml:space="preserve">BANCO MUMBUCA. </w:t>
      </w:r>
      <w:r w:rsidRPr="00423B27">
        <w:rPr>
          <w:rStyle w:val="nfase"/>
        </w:rPr>
        <w:t>Home</w:t>
      </w:r>
      <w:r w:rsidRPr="00423B27">
        <w:t xml:space="preserve">. Disponível em: </w:t>
      </w:r>
      <w:hyperlink r:id="rId6" w:tgtFrame="_new" w:history="1">
        <w:r w:rsidRPr="00423B27">
          <w:rPr>
            <w:rStyle w:val="Hyperlink"/>
            <w:color w:val="auto"/>
          </w:rPr>
          <w:t>https://www.bancomumbuca.com.br/</w:t>
        </w:r>
      </w:hyperlink>
      <w:r w:rsidRPr="00423B27">
        <w:t>. Acesso em: 5 ago. 2025.</w:t>
      </w:r>
    </w:p>
    <w:p w:rsidR="00423B27" w:rsidRPr="00423B27" w:rsidRDefault="00423B27" w:rsidP="00423B27">
      <w:pPr>
        <w:pStyle w:val="NormalWeb"/>
        <w:ind w:left="426" w:hanging="426"/>
        <w:jc w:val="both"/>
      </w:pPr>
      <w:r w:rsidRPr="00423B27">
        <w:t xml:space="preserve">BRASIL. </w:t>
      </w:r>
      <w:r w:rsidRPr="00423B27">
        <w:rPr>
          <w:rStyle w:val="nfase"/>
        </w:rPr>
        <w:t>Constituição da República Federativa do Brasil de 1988</w:t>
      </w:r>
      <w:r w:rsidRPr="00423B27">
        <w:t xml:space="preserve">. Disponível em: </w:t>
      </w:r>
      <w:hyperlink r:id="rId7" w:tgtFrame="_new" w:history="1">
        <w:r w:rsidRPr="00423B27">
          <w:rPr>
            <w:rStyle w:val="Hyperlink"/>
            <w:color w:val="auto"/>
          </w:rPr>
          <w:t>http://www.planalto.gov.br/ccivil_03/constituicao/constituicao.htm</w:t>
        </w:r>
      </w:hyperlink>
      <w:r w:rsidRPr="00423B27">
        <w:t>. Acesso em: 4 ago. 2025.</w:t>
      </w:r>
    </w:p>
    <w:p w:rsidR="00423B27" w:rsidRPr="00423B27" w:rsidRDefault="00423B27" w:rsidP="00423B27">
      <w:pPr>
        <w:pStyle w:val="NormalWeb"/>
        <w:ind w:left="426" w:hanging="426"/>
        <w:jc w:val="both"/>
      </w:pPr>
      <w:r w:rsidRPr="00423B27">
        <w:t xml:space="preserve">BRASIL. Empresa de Pesquisa Energética. </w:t>
      </w:r>
      <w:r w:rsidRPr="00423B27">
        <w:rPr>
          <w:rStyle w:val="nfase"/>
        </w:rPr>
        <w:t>O que são cidades inteligentes</w:t>
      </w:r>
      <w:r w:rsidRPr="00423B27">
        <w:t xml:space="preserve">. Documento Técnico IT1. Versão revisada em 30 out. 2020. Disponível em: </w:t>
      </w:r>
      <w:hyperlink r:id="rId8" w:tgtFrame="_new" w:history="1">
        <w:r w:rsidRPr="00423B27">
          <w:rPr>
            <w:rStyle w:val="Hyperlink"/>
            <w:color w:val="auto"/>
          </w:rPr>
          <w:t>https://www.epe.gov.br/sites-pt/publicacoes-dados-abertos/publicacoes/PublicacoesArquivos/publicacao-527/topico-534/Caderno%20T%C3%A9cnico_IT1_Cidades%20Inteligentes_EPE_2020_10_30.pdf</w:t>
        </w:r>
      </w:hyperlink>
      <w:r w:rsidRPr="00423B27">
        <w:t>. Acesso em: 3 ago. 2025.</w:t>
      </w:r>
    </w:p>
    <w:p w:rsidR="00423B27" w:rsidRPr="00423B27" w:rsidRDefault="00423B27" w:rsidP="00423B27">
      <w:pPr>
        <w:pStyle w:val="NormalWeb"/>
        <w:ind w:left="426" w:hanging="426"/>
        <w:jc w:val="both"/>
      </w:pPr>
      <w:r w:rsidRPr="00423B27">
        <w:t xml:space="preserve">BRASIL. Lei nº 13.874, de 20 de setembro de 2019. </w:t>
      </w:r>
      <w:r w:rsidRPr="00423B27">
        <w:rPr>
          <w:rStyle w:val="nfase"/>
        </w:rPr>
        <w:t>Institui a Declaração de Direitos de Liberdade Econômica</w:t>
      </w:r>
      <w:r w:rsidRPr="00423B27">
        <w:t xml:space="preserve">. Disponível em: </w:t>
      </w:r>
      <w:hyperlink r:id="rId9" w:tgtFrame="_new" w:history="1">
        <w:r w:rsidRPr="00423B27">
          <w:rPr>
            <w:rStyle w:val="Hyperlink"/>
            <w:color w:val="auto"/>
          </w:rPr>
          <w:t>http://www.planalto.gov.br/ccivil_03/_ato2019-2022/2019/lei/L13874.htm</w:t>
        </w:r>
      </w:hyperlink>
      <w:r w:rsidRPr="00423B27">
        <w:t>. Acesso em: 3 ago. 2025.</w:t>
      </w:r>
    </w:p>
    <w:p w:rsidR="00423B27" w:rsidRPr="00423B27" w:rsidRDefault="00423B27" w:rsidP="00423B27">
      <w:pPr>
        <w:pStyle w:val="NormalWeb"/>
        <w:ind w:left="426" w:hanging="426"/>
        <w:jc w:val="both"/>
      </w:pPr>
      <w:r w:rsidRPr="00423B27">
        <w:t xml:space="preserve">BRASIL. Lei nº 14.129, de 29 de março de 2021. </w:t>
      </w:r>
      <w:r w:rsidRPr="00423B27">
        <w:rPr>
          <w:rStyle w:val="nfase"/>
        </w:rPr>
        <w:t>Dispõe sobre princípios, regras e instrumentos para o Governo Digital e para o aumento da eficiência pública</w:t>
      </w:r>
      <w:r w:rsidRPr="00423B27">
        <w:t xml:space="preserve">. Disponível em: </w:t>
      </w:r>
      <w:hyperlink r:id="rId10" w:tgtFrame="_new" w:history="1">
        <w:r w:rsidRPr="00423B27">
          <w:rPr>
            <w:rStyle w:val="Hyperlink"/>
            <w:color w:val="auto"/>
          </w:rPr>
          <w:t>http://www.planalto.gov.br/ccivil_03/_ato2019-2022/2021/lei/L14129.htm</w:t>
        </w:r>
      </w:hyperlink>
      <w:r w:rsidRPr="00423B27">
        <w:t>. Acesso em: 3 ago. 2025.</w:t>
      </w:r>
    </w:p>
    <w:p w:rsidR="00423B27" w:rsidRPr="00423B27" w:rsidRDefault="00423B27" w:rsidP="00423B27">
      <w:pPr>
        <w:pStyle w:val="NormalWeb"/>
        <w:ind w:left="426" w:hanging="426"/>
        <w:jc w:val="both"/>
      </w:pPr>
      <w:r w:rsidRPr="00423B27">
        <w:t xml:space="preserve">CAVALCANTE, Ailton Ferreira; SILVA, André Luiz Amaral da; VIDAL, Sandra </w:t>
      </w:r>
      <w:proofErr w:type="spellStart"/>
      <w:r w:rsidRPr="00423B27">
        <w:t>Scherrer</w:t>
      </w:r>
      <w:proofErr w:type="spellEnd"/>
      <w:r w:rsidRPr="00423B27">
        <w:t xml:space="preserve"> de A. N.; OLIVEIRA, Valdivino José de. A tecnologia </w:t>
      </w:r>
      <w:proofErr w:type="spellStart"/>
      <w:r w:rsidRPr="00423B27">
        <w:t>blockchain</w:t>
      </w:r>
      <w:proofErr w:type="spellEnd"/>
      <w:r w:rsidRPr="00423B27">
        <w:t xml:space="preserve"> para a nova governança pública. </w:t>
      </w:r>
      <w:r w:rsidRPr="00423B27">
        <w:rPr>
          <w:rStyle w:val="nfase"/>
        </w:rPr>
        <w:t>Pauta Brasil</w:t>
      </w:r>
      <w:r w:rsidRPr="00423B27">
        <w:t xml:space="preserve">, 18 maio 2024. Disponível em: </w:t>
      </w:r>
      <w:hyperlink r:id="rId11" w:tgtFrame="_new" w:history="1">
        <w:r w:rsidRPr="00423B27">
          <w:rPr>
            <w:rStyle w:val="Hyperlink"/>
            <w:color w:val="auto"/>
          </w:rPr>
          <w:t>https://pautabrasil.com.br/2024/05/18/a-tecnologia-blockchain-para-a-nova-governanca-publica-blockchain-technology-for-new-public-governance/</w:t>
        </w:r>
      </w:hyperlink>
      <w:r w:rsidRPr="00423B27">
        <w:t>. Acesso em: 5 ago. 2025.</w:t>
      </w:r>
    </w:p>
    <w:p w:rsidR="00423B27" w:rsidRPr="00423B27" w:rsidRDefault="00423B27" w:rsidP="00423B27">
      <w:pPr>
        <w:pStyle w:val="NormalWeb"/>
        <w:ind w:left="426" w:hanging="426"/>
        <w:jc w:val="both"/>
      </w:pPr>
      <w:r w:rsidRPr="00423B27">
        <w:t xml:space="preserve">CAVALCANTE, Pedro Henrique F.; CARVALHO, Carolina S. de; RIBEIRO, </w:t>
      </w:r>
      <w:proofErr w:type="spellStart"/>
      <w:r w:rsidRPr="00423B27">
        <w:t>Rhaiana</w:t>
      </w:r>
      <w:proofErr w:type="spellEnd"/>
      <w:r w:rsidRPr="00423B27">
        <w:t xml:space="preserve"> S. </w:t>
      </w:r>
      <w:r w:rsidRPr="00423B27">
        <w:rPr>
          <w:rStyle w:val="nfase"/>
        </w:rPr>
        <w:t xml:space="preserve">Tecnologia </w:t>
      </w:r>
      <w:proofErr w:type="spellStart"/>
      <w:r w:rsidRPr="00423B27">
        <w:rPr>
          <w:rStyle w:val="nfase"/>
        </w:rPr>
        <w:t>blockchain</w:t>
      </w:r>
      <w:proofErr w:type="spellEnd"/>
      <w:r w:rsidRPr="00423B27">
        <w:rPr>
          <w:rStyle w:val="nfase"/>
        </w:rPr>
        <w:t xml:space="preserve"> na gestão pública: oportunidades e desafios para a inovação institucional</w:t>
      </w:r>
      <w:r w:rsidRPr="00423B27">
        <w:t xml:space="preserve">. Brasília: ENAP, 2023. Disponível em: </w:t>
      </w:r>
      <w:hyperlink r:id="rId12" w:tgtFrame="_new" w:history="1">
        <w:r w:rsidRPr="00423B27">
          <w:rPr>
            <w:rStyle w:val="Hyperlink"/>
            <w:color w:val="auto"/>
          </w:rPr>
          <w:t>https://repositorio.enap.gov.br/handle/1/6780</w:t>
        </w:r>
      </w:hyperlink>
      <w:r w:rsidRPr="00423B27">
        <w:t>. Acesso em: 4 ago. 2025.</w:t>
      </w:r>
    </w:p>
    <w:p w:rsidR="00423B27" w:rsidRPr="00423B27" w:rsidRDefault="00423B27" w:rsidP="00423B27">
      <w:pPr>
        <w:pStyle w:val="NormalWeb"/>
        <w:ind w:left="426" w:hanging="426"/>
        <w:jc w:val="both"/>
      </w:pPr>
      <w:r w:rsidRPr="00423B27">
        <w:lastRenderedPageBreak/>
        <w:t xml:space="preserve">COINTELEGRAPH. </w:t>
      </w:r>
      <w:r w:rsidRPr="00423B27">
        <w:rPr>
          <w:rStyle w:val="nfase"/>
        </w:rPr>
        <w:t xml:space="preserve">Plexos, </w:t>
      </w:r>
      <w:proofErr w:type="spellStart"/>
      <w:r w:rsidRPr="00423B27">
        <w:rPr>
          <w:rStyle w:val="nfase"/>
        </w:rPr>
        <w:t>EDinheiro</w:t>
      </w:r>
      <w:proofErr w:type="spellEnd"/>
      <w:r w:rsidRPr="00423B27">
        <w:rPr>
          <w:rStyle w:val="nfase"/>
        </w:rPr>
        <w:t xml:space="preserve"> e </w:t>
      </w:r>
      <w:proofErr w:type="spellStart"/>
      <w:r w:rsidRPr="00423B27">
        <w:rPr>
          <w:rStyle w:val="nfase"/>
        </w:rPr>
        <w:t>Chainlink</w:t>
      </w:r>
      <w:proofErr w:type="spellEnd"/>
      <w:r w:rsidRPr="00423B27">
        <w:rPr>
          <w:rStyle w:val="nfase"/>
        </w:rPr>
        <w:t xml:space="preserve"> lançam moeda social Aratu no Brasil</w:t>
      </w:r>
      <w:r w:rsidRPr="00423B27">
        <w:t xml:space="preserve">. Disponível em: </w:t>
      </w:r>
      <w:hyperlink r:id="rId13" w:tgtFrame="_new" w:history="1">
        <w:r w:rsidRPr="00423B27">
          <w:rPr>
            <w:rStyle w:val="Hyperlink"/>
            <w:color w:val="auto"/>
          </w:rPr>
          <w:t>https://br.cointelegraph.com/news/7-00-pm-chainlink-partners-with-community-bank-social-contributions-in-brazil</w:t>
        </w:r>
      </w:hyperlink>
      <w:r w:rsidRPr="00423B27">
        <w:t>. Acesso em: 5 ago. 2025.</w:t>
      </w:r>
    </w:p>
    <w:p w:rsidR="00423B27" w:rsidRPr="00423B27" w:rsidRDefault="00423B27" w:rsidP="00423B27">
      <w:pPr>
        <w:pStyle w:val="NormalWeb"/>
        <w:ind w:left="426" w:hanging="426"/>
        <w:jc w:val="both"/>
      </w:pPr>
      <w:r w:rsidRPr="00423B27">
        <w:t xml:space="preserve">CONTEÚDO textual fornecido pelo usuário. Disponível em: </w:t>
      </w:r>
      <w:hyperlink r:id="rId14" w:tgtFrame="_new" w:history="1">
        <w:r w:rsidRPr="00423B27">
          <w:rPr>
            <w:rStyle w:val="Hyperlink"/>
            <w:color w:val="auto"/>
          </w:rPr>
          <w:t>https://www.oasisbr.ibict.br/vufind/Record/IPEA_c32f22e845fb49e35bf49372e43564c2</w:t>
        </w:r>
      </w:hyperlink>
      <w:r w:rsidRPr="00423B27">
        <w:t>. Acesso em: 5 ago. 2025.</w:t>
      </w:r>
    </w:p>
    <w:p w:rsidR="00423B27" w:rsidRPr="00423B27" w:rsidRDefault="00423B27" w:rsidP="00423B27">
      <w:pPr>
        <w:pStyle w:val="NormalWeb"/>
        <w:ind w:left="426" w:hanging="426"/>
        <w:jc w:val="both"/>
      </w:pPr>
      <w:r w:rsidRPr="00423B27">
        <w:t xml:space="preserve">EDINHEIRO. </w:t>
      </w:r>
      <w:r w:rsidRPr="00423B27">
        <w:rPr>
          <w:rStyle w:val="nfase"/>
        </w:rPr>
        <w:t>Instituto E-Dinheiro Brasil | Plataforma das moedas sociais</w:t>
      </w:r>
      <w:r w:rsidRPr="00423B27">
        <w:t xml:space="preserve">. Disponível em: </w:t>
      </w:r>
      <w:hyperlink r:id="rId15" w:tgtFrame="_new" w:history="1">
        <w:r w:rsidRPr="00423B27">
          <w:rPr>
            <w:rStyle w:val="Hyperlink"/>
            <w:color w:val="auto"/>
          </w:rPr>
          <w:t>https://edinheiro.org/</w:t>
        </w:r>
      </w:hyperlink>
      <w:r w:rsidRPr="00423B27">
        <w:t>. Acesso em: 5 ago. 2025.</w:t>
      </w:r>
    </w:p>
    <w:p w:rsidR="00423B27" w:rsidRPr="00423B27" w:rsidRDefault="00423B27" w:rsidP="00423B27">
      <w:pPr>
        <w:pStyle w:val="NormalWeb"/>
        <w:ind w:left="426" w:hanging="426"/>
        <w:jc w:val="both"/>
      </w:pPr>
      <w:r w:rsidRPr="00423B27">
        <w:t xml:space="preserve">EXAME. </w:t>
      </w:r>
      <w:r w:rsidRPr="00423B27">
        <w:rPr>
          <w:rStyle w:val="nfase"/>
        </w:rPr>
        <w:t xml:space="preserve">Parceria quer impulsionar moedas sociais no Brasil com tecnologia </w:t>
      </w:r>
      <w:proofErr w:type="spellStart"/>
      <w:r w:rsidRPr="00423B27">
        <w:rPr>
          <w:rStyle w:val="nfase"/>
        </w:rPr>
        <w:t>blockchain</w:t>
      </w:r>
      <w:proofErr w:type="spellEnd"/>
      <w:r w:rsidRPr="00423B27">
        <w:t xml:space="preserve">. Disponível em: </w:t>
      </w:r>
      <w:hyperlink r:id="rId16" w:tgtFrame="_new" w:history="1">
        <w:r w:rsidRPr="00423B27">
          <w:rPr>
            <w:rStyle w:val="Hyperlink"/>
            <w:color w:val="auto"/>
          </w:rPr>
          <w:t>https://exame.com/future-of-money/parceria-impulsionar-moedas-sociais-brasil-tecnologia-blockchain/</w:t>
        </w:r>
      </w:hyperlink>
      <w:r w:rsidRPr="00423B27">
        <w:t>. Acesso em: 5 ago. 2025.</w:t>
      </w:r>
    </w:p>
    <w:p w:rsidR="00423B27" w:rsidRPr="00423B27" w:rsidRDefault="00423B27" w:rsidP="00423B27">
      <w:pPr>
        <w:pStyle w:val="NormalWeb"/>
        <w:ind w:left="426" w:hanging="426"/>
        <w:jc w:val="both"/>
      </w:pPr>
      <w:r w:rsidRPr="00423B27">
        <w:t xml:space="preserve">FAPESQ. </w:t>
      </w:r>
      <w:r w:rsidRPr="00423B27">
        <w:rPr>
          <w:rStyle w:val="nfase"/>
        </w:rPr>
        <w:t>Startup paraibana criou uma moeda social digital como sistema inovador de descarte de bens materiais</w:t>
      </w:r>
      <w:r w:rsidRPr="00423B27">
        <w:t xml:space="preserve">. Disponível em: </w:t>
      </w:r>
      <w:hyperlink r:id="rId17" w:tgtFrame="_new" w:history="1">
        <w:r w:rsidRPr="00423B27">
          <w:rPr>
            <w:rStyle w:val="Hyperlink"/>
            <w:color w:val="auto"/>
          </w:rPr>
          <w:t>https://fapesq.rpp.br/noticias/startup-paraibana-criou-uma-moeda-social-digital-como-sistema-inovador-de-descarte-de-bens-materiais</w:t>
        </w:r>
      </w:hyperlink>
      <w:r w:rsidRPr="00423B27">
        <w:t>. Acesso em: 5 ago. 2025.</w:t>
      </w:r>
    </w:p>
    <w:p w:rsidR="00423B27" w:rsidRPr="00423B27" w:rsidRDefault="00423B27" w:rsidP="00423B27">
      <w:pPr>
        <w:pStyle w:val="NormalWeb"/>
        <w:ind w:left="426" w:hanging="426"/>
        <w:jc w:val="both"/>
      </w:pPr>
      <w:r w:rsidRPr="00423B27">
        <w:t xml:space="preserve">FDC. </w:t>
      </w:r>
      <w:r w:rsidRPr="00423B27">
        <w:rPr>
          <w:rStyle w:val="nfase"/>
        </w:rPr>
        <w:t>Guia de Governança Colaborativa</w:t>
      </w:r>
      <w:r w:rsidRPr="00423B27">
        <w:t xml:space="preserve">. Disponível em: </w:t>
      </w:r>
      <w:hyperlink r:id="rId18" w:tgtFrame="_new" w:history="1">
        <w:r w:rsidRPr="00423B27">
          <w:rPr>
            <w:rStyle w:val="Hyperlink"/>
            <w:color w:val="auto"/>
          </w:rPr>
          <w:t>https://www.fdc.org.br/Documents/imagine-brasil/Guia_de_Governanca_Colaborativa_FDC_v4.pdf</w:t>
        </w:r>
      </w:hyperlink>
      <w:r w:rsidRPr="00423B27">
        <w:t>. Acesso em: 5 ago. 2025.</w:t>
      </w:r>
    </w:p>
    <w:p w:rsidR="00423B27" w:rsidRPr="00423B27" w:rsidRDefault="00423B27" w:rsidP="00423B27">
      <w:pPr>
        <w:pStyle w:val="NormalWeb"/>
        <w:ind w:left="426" w:hanging="426"/>
        <w:jc w:val="both"/>
      </w:pPr>
      <w:r w:rsidRPr="00423B27">
        <w:t xml:space="preserve">FGV. </w:t>
      </w:r>
      <w:r w:rsidRPr="00423B27">
        <w:rPr>
          <w:rStyle w:val="nfase"/>
        </w:rPr>
        <w:t>Digitalizações de moedas sociais brasileiras e o e-Dinheiro</w:t>
      </w:r>
      <w:r w:rsidRPr="00423B27">
        <w:t xml:space="preserve">. Disponível em: </w:t>
      </w:r>
      <w:hyperlink r:id="rId19" w:tgtFrame="_new" w:history="1">
        <w:r w:rsidRPr="00423B27">
          <w:rPr>
            <w:rStyle w:val="Hyperlink"/>
            <w:color w:val="auto"/>
          </w:rPr>
          <w:t>https://periodicos.fgv.br/ric/article/download/88331/83217/194039</w:t>
        </w:r>
      </w:hyperlink>
      <w:r w:rsidRPr="00423B27">
        <w:t>. Acesso em: 5 ago. 2025.</w:t>
      </w:r>
    </w:p>
    <w:p w:rsidR="00423B27" w:rsidRPr="00423B27" w:rsidRDefault="00423B27" w:rsidP="00423B27">
      <w:pPr>
        <w:pStyle w:val="NormalWeb"/>
        <w:ind w:left="426" w:hanging="426"/>
        <w:jc w:val="both"/>
      </w:pPr>
      <w:r w:rsidRPr="00423B27">
        <w:t xml:space="preserve">FLORES, Humberto D.; SILVA, Rafael D. </w:t>
      </w:r>
      <w:proofErr w:type="spellStart"/>
      <w:r w:rsidRPr="00423B27">
        <w:t>Smart</w:t>
      </w:r>
      <w:proofErr w:type="spellEnd"/>
      <w:r w:rsidRPr="00423B27">
        <w:t xml:space="preserve"> </w:t>
      </w:r>
      <w:proofErr w:type="spellStart"/>
      <w:r w:rsidRPr="00423B27">
        <w:t>city</w:t>
      </w:r>
      <w:proofErr w:type="spellEnd"/>
      <w:r w:rsidRPr="00423B27">
        <w:t xml:space="preserve"> as </w:t>
      </w:r>
      <w:proofErr w:type="spellStart"/>
      <w:r w:rsidRPr="00423B27">
        <w:t>urban</w:t>
      </w:r>
      <w:proofErr w:type="spellEnd"/>
      <w:r w:rsidRPr="00423B27">
        <w:t xml:space="preserve"> </w:t>
      </w:r>
      <w:proofErr w:type="spellStart"/>
      <w:r w:rsidRPr="00423B27">
        <w:t>innovation</w:t>
      </w:r>
      <w:proofErr w:type="spellEnd"/>
      <w:r w:rsidRPr="00423B27">
        <w:t xml:space="preserve">: </w:t>
      </w:r>
      <w:proofErr w:type="spellStart"/>
      <w:r w:rsidRPr="00423B27">
        <w:t>focusing</w:t>
      </w:r>
      <w:proofErr w:type="spellEnd"/>
      <w:r w:rsidRPr="00423B27">
        <w:t xml:space="preserve"> </w:t>
      </w:r>
      <w:proofErr w:type="spellStart"/>
      <w:r w:rsidRPr="00423B27">
        <w:t>on</w:t>
      </w:r>
      <w:proofErr w:type="spellEnd"/>
      <w:r w:rsidRPr="00423B27">
        <w:t xml:space="preserve"> management, </w:t>
      </w:r>
      <w:proofErr w:type="spellStart"/>
      <w:r w:rsidRPr="00423B27">
        <w:t>policy</w:t>
      </w:r>
      <w:proofErr w:type="spellEnd"/>
      <w:r w:rsidRPr="00423B27">
        <w:t xml:space="preserve">, </w:t>
      </w:r>
      <w:proofErr w:type="spellStart"/>
      <w:r w:rsidRPr="00423B27">
        <w:t>and</w:t>
      </w:r>
      <w:proofErr w:type="spellEnd"/>
      <w:r w:rsidRPr="00423B27">
        <w:t xml:space="preserve"> </w:t>
      </w:r>
      <w:proofErr w:type="spellStart"/>
      <w:r w:rsidRPr="00423B27">
        <w:t>context</w:t>
      </w:r>
      <w:proofErr w:type="spellEnd"/>
      <w:r w:rsidRPr="00423B27">
        <w:t xml:space="preserve">. </w:t>
      </w:r>
      <w:proofErr w:type="spellStart"/>
      <w:r w:rsidRPr="00423B27">
        <w:rPr>
          <w:rStyle w:val="nfase"/>
        </w:rPr>
        <w:t>Cities</w:t>
      </w:r>
      <w:proofErr w:type="spellEnd"/>
      <w:r w:rsidRPr="00423B27">
        <w:t>, v. 77, p. 85-95, 2018.</w:t>
      </w:r>
    </w:p>
    <w:p w:rsidR="00423B27" w:rsidRPr="00423B27" w:rsidRDefault="00423B27" w:rsidP="00423B27">
      <w:pPr>
        <w:pStyle w:val="NormalWeb"/>
        <w:ind w:left="426" w:hanging="426"/>
        <w:jc w:val="both"/>
      </w:pPr>
      <w:r w:rsidRPr="00423B27">
        <w:t xml:space="preserve">GOVERNO DIGITAL. </w:t>
      </w:r>
      <w:r w:rsidRPr="00423B27">
        <w:rPr>
          <w:rStyle w:val="nfase"/>
        </w:rPr>
        <w:t>Objetivo 7: Ecossistema de Inovação</w:t>
      </w:r>
      <w:r w:rsidRPr="00423B27">
        <w:t xml:space="preserve">. Disponível em: </w:t>
      </w:r>
      <w:hyperlink r:id="rId20" w:tgtFrame="_new" w:history="1">
        <w:r w:rsidRPr="00423B27">
          <w:rPr>
            <w:rStyle w:val="Hyperlink"/>
            <w:color w:val="auto"/>
          </w:rPr>
          <w:t>https://www.gov.br/governodigital/pt-br/estrategias-e-governanca-digital/estrategianacional/objetivo-07</w:t>
        </w:r>
      </w:hyperlink>
      <w:r w:rsidRPr="00423B27">
        <w:t>. Acesso em: 5 ago. 2025.</w:t>
      </w:r>
    </w:p>
    <w:p w:rsidR="00423B27" w:rsidRPr="00423B27" w:rsidRDefault="00423B27" w:rsidP="00423B27">
      <w:pPr>
        <w:pStyle w:val="NormalWeb"/>
        <w:ind w:left="426" w:hanging="426"/>
        <w:jc w:val="both"/>
      </w:pPr>
      <w:r w:rsidRPr="00423B27">
        <w:t xml:space="preserve">GOV.BR. </w:t>
      </w:r>
      <w:r w:rsidRPr="00423B27">
        <w:rPr>
          <w:rStyle w:val="nfase"/>
        </w:rPr>
        <w:t>Bancos públicos e moedas sociais estimulam a economia local e fortalecem o desenvolvimento municipal</w:t>
      </w:r>
      <w:r w:rsidRPr="00423B27">
        <w:t>. Disponível em: https://www.gov.br/trabalho-e-emprego/pt-br/noticias-e-conteudo/2025/fevereiro/bancos-públicos-e-moedas-sociais-estimulam-a-economia-local-e-fortalecem-o-desenvolvimento-municipal. Acesso em: 5 ago. 2025.</w:t>
      </w:r>
    </w:p>
    <w:p w:rsidR="00423B27" w:rsidRPr="00423B27" w:rsidRDefault="00423B27" w:rsidP="00423B27">
      <w:pPr>
        <w:pStyle w:val="NormalWeb"/>
        <w:ind w:left="426" w:hanging="426"/>
        <w:jc w:val="both"/>
      </w:pPr>
      <w:r w:rsidRPr="00423B27">
        <w:t xml:space="preserve">IDEALIST. </w:t>
      </w:r>
      <w:r w:rsidRPr="00423B27">
        <w:rPr>
          <w:rStyle w:val="nfase"/>
        </w:rPr>
        <w:t xml:space="preserve">Banco </w:t>
      </w:r>
      <w:proofErr w:type="spellStart"/>
      <w:r w:rsidRPr="00423B27">
        <w:rPr>
          <w:rStyle w:val="nfase"/>
        </w:rPr>
        <w:t>Mumbuca</w:t>
      </w:r>
      <w:proofErr w:type="spellEnd"/>
      <w:r w:rsidRPr="00423B27">
        <w:t xml:space="preserve">. Disponível em: </w:t>
      </w:r>
      <w:hyperlink r:id="rId21" w:tgtFrame="_new" w:history="1">
        <w:r w:rsidRPr="00423B27">
          <w:rPr>
            <w:rStyle w:val="Hyperlink"/>
            <w:color w:val="auto"/>
          </w:rPr>
          <w:t>https://www.idealist.org/es/ong/72f5b4b59ae740708b7ebc2de28f35b7-banco-mumbuca-marica</w:t>
        </w:r>
      </w:hyperlink>
      <w:r w:rsidRPr="00423B27">
        <w:t>. Acesso em: 5 ago. 2025.</w:t>
      </w:r>
    </w:p>
    <w:p w:rsidR="00423B27" w:rsidRPr="00423B27" w:rsidRDefault="00423B27" w:rsidP="00423B27">
      <w:pPr>
        <w:pStyle w:val="NormalWeb"/>
        <w:ind w:left="426" w:hanging="426"/>
        <w:jc w:val="both"/>
      </w:pPr>
      <w:r w:rsidRPr="00423B27">
        <w:t xml:space="preserve">INSTITUTO DE POLÍTICAS PÚBLICAS E DESENVOLVIMENTO SUSTENTÁVEL (IPPDS). </w:t>
      </w:r>
      <w:r w:rsidRPr="00423B27">
        <w:rPr>
          <w:rStyle w:val="nfase"/>
        </w:rPr>
        <w:t>O caso da renda básica de Maricá – RJ</w:t>
      </w:r>
      <w:r w:rsidRPr="00423B27">
        <w:t>. Maricá: IPPDS, 2021.</w:t>
      </w:r>
    </w:p>
    <w:p w:rsidR="00423B27" w:rsidRPr="00423B27" w:rsidRDefault="00423B27" w:rsidP="00423B27">
      <w:pPr>
        <w:pStyle w:val="NormalWeb"/>
        <w:ind w:left="426" w:hanging="426"/>
        <w:jc w:val="both"/>
      </w:pPr>
      <w:r w:rsidRPr="00423B27">
        <w:t xml:space="preserve">IPEA. </w:t>
      </w:r>
      <w:r w:rsidRPr="00423B27">
        <w:rPr>
          <w:rStyle w:val="nfase"/>
        </w:rPr>
        <w:t>As políticas públicas de economia solidária no município de Maricá/RJ</w:t>
      </w:r>
      <w:r w:rsidRPr="00423B27">
        <w:t xml:space="preserve">. </w:t>
      </w:r>
      <w:r w:rsidRPr="00423B27">
        <w:rPr>
          <w:rStyle w:val="nfase"/>
        </w:rPr>
        <w:t>Mercado de Trabalho</w:t>
      </w:r>
      <w:r w:rsidRPr="00423B27">
        <w:t xml:space="preserve">, n. 70, set. 2020. Disponível em: </w:t>
      </w:r>
      <w:hyperlink r:id="rId22" w:tgtFrame="_new" w:history="1">
        <w:r w:rsidRPr="00423B27">
          <w:rPr>
            <w:rStyle w:val="Hyperlink"/>
            <w:color w:val="auto"/>
          </w:rPr>
          <w:t>https://www.nber.org/papers/w33089</w:t>
        </w:r>
      </w:hyperlink>
      <w:r w:rsidRPr="00423B27">
        <w:t>. Acesso em: 5 ago. 2025.</w:t>
      </w:r>
    </w:p>
    <w:p w:rsidR="00423B27" w:rsidRPr="00423B27" w:rsidRDefault="00423B27" w:rsidP="00423B27">
      <w:pPr>
        <w:pStyle w:val="NormalWeb"/>
        <w:ind w:left="426" w:hanging="426"/>
        <w:jc w:val="both"/>
      </w:pPr>
      <w:r w:rsidRPr="00423B27">
        <w:lastRenderedPageBreak/>
        <w:t xml:space="preserve">MARICÁ. </w:t>
      </w:r>
      <w:r w:rsidRPr="00423B27">
        <w:rPr>
          <w:rStyle w:val="nfase"/>
        </w:rPr>
        <w:t xml:space="preserve">Nova sede do Banco </w:t>
      </w:r>
      <w:proofErr w:type="spellStart"/>
      <w:r w:rsidRPr="00423B27">
        <w:rPr>
          <w:rStyle w:val="nfase"/>
        </w:rPr>
        <w:t>Mumbuca</w:t>
      </w:r>
      <w:proofErr w:type="spellEnd"/>
      <w:r w:rsidRPr="00423B27">
        <w:rPr>
          <w:rStyle w:val="nfase"/>
        </w:rPr>
        <w:t xml:space="preserve"> é inaugurada no Centro</w:t>
      </w:r>
      <w:r w:rsidRPr="00423B27">
        <w:t xml:space="preserve">. Disponível em: </w:t>
      </w:r>
      <w:hyperlink r:id="rId23" w:tgtFrame="_new" w:history="1">
        <w:r w:rsidRPr="00423B27">
          <w:rPr>
            <w:rStyle w:val="Hyperlink"/>
            <w:color w:val="auto"/>
          </w:rPr>
          <w:t>https://www.marica.rj.gov.br/noticia/nova-sede-do-banco-mumbuca-e-inaugurada-no-centro/</w:t>
        </w:r>
      </w:hyperlink>
      <w:r w:rsidRPr="00423B27">
        <w:t>. Acesso em: 5 ago. 2025.</w:t>
      </w:r>
    </w:p>
    <w:p w:rsidR="00423B27" w:rsidRPr="00423B27" w:rsidRDefault="00423B27" w:rsidP="00423B27">
      <w:pPr>
        <w:pStyle w:val="NormalWeb"/>
        <w:ind w:left="426" w:hanging="426"/>
        <w:jc w:val="both"/>
      </w:pPr>
      <w:r w:rsidRPr="00423B27">
        <w:t xml:space="preserve">MOURA, R. L. et al. </w:t>
      </w:r>
      <w:r w:rsidRPr="00423B27">
        <w:rPr>
          <w:rStyle w:val="nfase"/>
        </w:rPr>
        <w:t>Eixos estratégicos e ações prioritárias para o desenvolvimento das cidades inteligentes</w:t>
      </w:r>
      <w:r w:rsidRPr="00423B27">
        <w:t>. Relatório Técnico, 2020.</w:t>
      </w:r>
    </w:p>
    <w:p w:rsidR="00423B27" w:rsidRPr="00423B27" w:rsidRDefault="00423B27" w:rsidP="00423B27">
      <w:pPr>
        <w:pStyle w:val="NormalWeb"/>
        <w:ind w:left="426" w:hanging="426"/>
        <w:jc w:val="both"/>
      </w:pPr>
      <w:r w:rsidRPr="00423B27">
        <w:t xml:space="preserve">NEXOJORNAL. </w:t>
      </w:r>
      <w:r w:rsidRPr="00423B27">
        <w:rPr>
          <w:rStyle w:val="nfase"/>
        </w:rPr>
        <w:t>Bancos comunitários impulsionam o desenvolvimento local</w:t>
      </w:r>
      <w:r w:rsidRPr="00423B27">
        <w:t xml:space="preserve">. Disponível em: </w:t>
      </w:r>
      <w:hyperlink r:id="rId24" w:tgtFrame="_new" w:history="1">
        <w:r w:rsidRPr="00423B27">
          <w:rPr>
            <w:rStyle w:val="Hyperlink"/>
            <w:color w:val="auto"/>
          </w:rPr>
          <w:t>https://www.nexojornal.com.br/externo/2025/02/06/economia-banco-comunitario-impacto-desenvolvimento-local</w:t>
        </w:r>
      </w:hyperlink>
      <w:r w:rsidRPr="00423B27">
        <w:t>. Acesso em: 5 ago. 2025.</w:t>
      </w:r>
    </w:p>
    <w:p w:rsidR="00423B27" w:rsidRPr="00423B27" w:rsidRDefault="00423B27" w:rsidP="00423B27">
      <w:pPr>
        <w:pStyle w:val="NormalWeb"/>
        <w:ind w:left="426" w:hanging="426"/>
        <w:jc w:val="both"/>
      </w:pPr>
      <w:r w:rsidRPr="00423B27">
        <w:t xml:space="preserve">REPOSITORIO UAB. </w:t>
      </w:r>
      <w:proofErr w:type="spellStart"/>
      <w:r w:rsidRPr="00423B27">
        <w:rPr>
          <w:rStyle w:val="nfase"/>
        </w:rPr>
        <w:t>Smart</w:t>
      </w:r>
      <w:proofErr w:type="spellEnd"/>
      <w:r w:rsidRPr="00423B27">
        <w:rPr>
          <w:rStyle w:val="nfase"/>
        </w:rPr>
        <w:t xml:space="preserve"> </w:t>
      </w:r>
      <w:proofErr w:type="spellStart"/>
      <w:r w:rsidRPr="00423B27">
        <w:rPr>
          <w:rStyle w:val="nfase"/>
        </w:rPr>
        <w:t>Governance</w:t>
      </w:r>
      <w:proofErr w:type="spellEnd"/>
      <w:r w:rsidRPr="00423B27">
        <w:rPr>
          <w:rStyle w:val="nfase"/>
        </w:rPr>
        <w:t xml:space="preserve"> em cidades inteligentes europeias</w:t>
      </w:r>
      <w:r w:rsidRPr="00423B27">
        <w:t xml:space="preserve">. Disponível em: </w:t>
      </w:r>
      <w:hyperlink r:id="rId25" w:tgtFrame="_new" w:history="1">
        <w:r w:rsidRPr="00423B27">
          <w:rPr>
            <w:rStyle w:val="Hyperlink"/>
            <w:color w:val="auto"/>
          </w:rPr>
          <w:t>https://repositorioaberto.uab.pt/bitstreams/05004bf3-50da-45a2-a9db-59231611454/download</w:t>
        </w:r>
      </w:hyperlink>
      <w:r w:rsidRPr="00423B27">
        <w:t>. Acesso em: 5 ago. 2025.</w:t>
      </w:r>
    </w:p>
    <w:p w:rsidR="00423B27" w:rsidRPr="00423B27" w:rsidRDefault="00423B27" w:rsidP="00423B27">
      <w:pPr>
        <w:pStyle w:val="NormalWeb"/>
        <w:ind w:left="426" w:hanging="426"/>
        <w:jc w:val="both"/>
      </w:pPr>
      <w:r w:rsidRPr="00423B27">
        <w:t xml:space="preserve">RESEARCHGATE. </w:t>
      </w:r>
      <w:r w:rsidRPr="00423B27">
        <w:rPr>
          <w:rStyle w:val="nfase"/>
        </w:rPr>
        <w:t xml:space="preserve">Benefícios do </w:t>
      </w:r>
      <w:proofErr w:type="spellStart"/>
      <w:r w:rsidRPr="00423B27">
        <w:rPr>
          <w:rStyle w:val="nfase"/>
        </w:rPr>
        <w:t>blockchain</w:t>
      </w:r>
      <w:proofErr w:type="spellEnd"/>
      <w:r w:rsidRPr="00423B27">
        <w:rPr>
          <w:rStyle w:val="nfase"/>
        </w:rPr>
        <w:t xml:space="preserve"> para moedas sociais digitais</w:t>
      </w:r>
      <w:r w:rsidRPr="00423B27">
        <w:t xml:space="preserve">. Disponível em: </w:t>
      </w:r>
      <w:hyperlink r:id="rId26" w:tgtFrame="_new" w:history="1">
        <w:r w:rsidRPr="00423B27">
          <w:rPr>
            <w:rStyle w:val="Hyperlink"/>
            <w:color w:val="auto"/>
          </w:rPr>
          <w:t>https://www.researchgate.net/publication/325385551_Beneficios_do_Blockchain_para_moedas_sociais_digitais</w:t>
        </w:r>
      </w:hyperlink>
      <w:r w:rsidRPr="00423B27">
        <w:t>. Acesso em: 5 ago. 2025.</w:t>
      </w:r>
    </w:p>
    <w:p w:rsidR="00423B27" w:rsidRPr="00423B27" w:rsidRDefault="00423B27" w:rsidP="00423B27">
      <w:pPr>
        <w:pStyle w:val="NormalWeb"/>
        <w:ind w:left="426" w:hanging="426"/>
        <w:jc w:val="both"/>
      </w:pPr>
      <w:r w:rsidRPr="00423B27">
        <w:t xml:space="preserve">RESEARCHGATE. </w:t>
      </w:r>
      <w:r w:rsidRPr="00423B27">
        <w:rPr>
          <w:rStyle w:val="nfase"/>
        </w:rPr>
        <w:t xml:space="preserve">Da </w:t>
      </w:r>
      <w:proofErr w:type="spellStart"/>
      <w:r w:rsidRPr="00423B27">
        <w:rPr>
          <w:rStyle w:val="nfase"/>
        </w:rPr>
        <w:t>Smart</w:t>
      </w:r>
      <w:proofErr w:type="spellEnd"/>
      <w:r w:rsidRPr="00423B27">
        <w:rPr>
          <w:rStyle w:val="nfase"/>
        </w:rPr>
        <w:t xml:space="preserve"> </w:t>
      </w:r>
      <w:proofErr w:type="spellStart"/>
      <w:r w:rsidRPr="00423B27">
        <w:rPr>
          <w:rStyle w:val="nfase"/>
        </w:rPr>
        <w:t>Governance</w:t>
      </w:r>
      <w:proofErr w:type="spellEnd"/>
      <w:r w:rsidRPr="00423B27">
        <w:rPr>
          <w:rStyle w:val="nfase"/>
        </w:rPr>
        <w:t xml:space="preserve"> às </w:t>
      </w:r>
      <w:proofErr w:type="spellStart"/>
      <w:r w:rsidRPr="00423B27">
        <w:rPr>
          <w:rStyle w:val="nfase"/>
        </w:rPr>
        <w:t>Smart</w:t>
      </w:r>
      <w:proofErr w:type="spellEnd"/>
      <w:r w:rsidRPr="00423B27">
        <w:rPr>
          <w:rStyle w:val="nfase"/>
        </w:rPr>
        <w:t xml:space="preserve"> </w:t>
      </w:r>
      <w:proofErr w:type="spellStart"/>
      <w:r w:rsidRPr="00423B27">
        <w:rPr>
          <w:rStyle w:val="nfase"/>
        </w:rPr>
        <w:t>Cities</w:t>
      </w:r>
      <w:proofErr w:type="spellEnd"/>
      <w:r w:rsidRPr="00423B27">
        <w:rPr>
          <w:rStyle w:val="nfase"/>
        </w:rPr>
        <w:t>: reflexões comparativas sobre o caminho trilhado e o futuro desejado com base no exemplo de duas cidades portuguesas</w:t>
      </w:r>
      <w:r w:rsidRPr="00423B27">
        <w:t xml:space="preserve">. Disponível em: </w:t>
      </w:r>
      <w:hyperlink r:id="rId27" w:tgtFrame="_new" w:history="1">
        <w:r w:rsidRPr="00423B27">
          <w:rPr>
            <w:rStyle w:val="Hyperlink"/>
            <w:color w:val="auto"/>
          </w:rPr>
          <w:t>https://www.researchgate.net/publication/355212093_Da_Smart_Governance_as_Smart_Cities_Reflexoes_Comparativas_sobre_o_Caminho_Trilhado_e_o_Futuro_Desejado_com_Base_no_Exemplo_de_Duas_Cidades_Portuguesas</w:t>
        </w:r>
      </w:hyperlink>
      <w:r w:rsidRPr="00423B27">
        <w:t>. Acesso em: 5 ago. 2025.</w:t>
      </w:r>
    </w:p>
    <w:p w:rsidR="00423B27" w:rsidRPr="00423B27" w:rsidRDefault="00423B27" w:rsidP="00423B27">
      <w:pPr>
        <w:pStyle w:val="NormalWeb"/>
        <w:ind w:left="426" w:hanging="426"/>
        <w:jc w:val="both"/>
      </w:pPr>
      <w:r w:rsidRPr="00423B27">
        <w:t xml:space="preserve">SANTOS, D. C. et al. </w:t>
      </w:r>
      <w:proofErr w:type="spellStart"/>
      <w:r w:rsidRPr="00423B27">
        <w:t>Blockchain</w:t>
      </w:r>
      <w:proofErr w:type="spellEnd"/>
      <w:r w:rsidRPr="00423B27">
        <w:t xml:space="preserve">: conceitos e aplicações na administração pública. </w:t>
      </w:r>
      <w:r w:rsidRPr="00423B27">
        <w:rPr>
          <w:rStyle w:val="nfase"/>
        </w:rPr>
        <w:t>Revista de Administração Pública</w:t>
      </w:r>
      <w:r w:rsidRPr="00423B27">
        <w:t>, Rio de Janeiro, v. 56, n. 2, p. 348-364, 2022.</w:t>
      </w:r>
    </w:p>
    <w:p w:rsidR="00423B27" w:rsidRPr="00423B27" w:rsidRDefault="00423B27" w:rsidP="00423B27">
      <w:pPr>
        <w:pStyle w:val="NormalWeb"/>
        <w:ind w:left="426" w:hanging="426"/>
        <w:jc w:val="both"/>
      </w:pPr>
      <w:r w:rsidRPr="00423B27">
        <w:t xml:space="preserve">SCIELO. </w:t>
      </w:r>
      <w:r w:rsidRPr="00423B27">
        <w:rPr>
          <w:rStyle w:val="nfase"/>
        </w:rPr>
        <w:t>Liderança no processo de inovação colaborativa no setor público</w:t>
      </w:r>
      <w:r w:rsidRPr="00423B27">
        <w:t xml:space="preserve">. Disponível em: </w:t>
      </w:r>
      <w:hyperlink r:id="rId28" w:tgtFrame="_new" w:history="1">
        <w:r w:rsidRPr="00423B27">
          <w:rPr>
            <w:rStyle w:val="Hyperlink"/>
            <w:color w:val="auto"/>
          </w:rPr>
          <w:t>https://www.scielo.br/j/rap/a/KNpLv6SyPKx89SCRgMkRLkH/?format=pdf&amp;lang=pt</w:t>
        </w:r>
      </w:hyperlink>
      <w:r w:rsidRPr="00423B27">
        <w:t>. Acesso em: 5 ago. 2025.</w:t>
      </w:r>
    </w:p>
    <w:p w:rsidR="00423B27" w:rsidRPr="00423B27" w:rsidRDefault="00423B27" w:rsidP="00423B27">
      <w:pPr>
        <w:pStyle w:val="NormalWeb"/>
        <w:ind w:left="426" w:hanging="426"/>
        <w:jc w:val="both"/>
      </w:pPr>
      <w:r w:rsidRPr="00423B27">
        <w:t xml:space="preserve">SYDLE. </w:t>
      </w:r>
      <w:r w:rsidRPr="00423B27">
        <w:rPr>
          <w:rStyle w:val="nfase"/>
        </w:rPr>
        <w:t xml:space="preserve">Ecossistemas de inovação: o que são e como transformam </w:t>
      </w:r>
      <w:proofErr w:type="gramStart"/>
      <w:r w:rsidRPr="00423B27">
        <w:rPr>
          <w:rStyle w:val="nfase"/>
        </w:rPr>
        <w:t>governos?</w:t>
      </w:r>
      <w:r w:rsidRPr="00423B27">
        <w:t>.</w:t>
      </w:r>
      <w:proofErr w:type="gramEnd"/>
      <w:r w:rsidRPr="00423B27">
        <w:t xml:space="preserve"> Disponível em: </w:t>
      </w:r>
      <w:hyperlink r:id="rId29" w:tgtFrame="_new" w:history="1">
        <w:r w:rsidRPr="00423B27">
          <w:rPr>
            <w:rStyle w:val="Hyperlink"/>
            <w:color w:val="auto"/>
          </w:rPr>
          <w:t>https://www.sydle.com/br/blog/ecossistemas-de-inovacao-67a20afc323b1a7474a6904b</w:t>
        </w:r>
      </w:hyperlink>
      <w:r w:rsidRPr="00423B27">
        <w:t>. Acesso em: 5 ago. 2025.</w:t>
      </w:r>
    </w:p>
    <w:p w:rsidR="00423B27" w:rsidRPr="00423B27" w:rsidRDefault="00423B27" w:rsidP="00423B27">
      <w:pPr>
        <w:pStyle w:val="NormalWeb"/>
        <w:ind w:left="426" w:hanging="426"/>
        <w:jc w:val="both"/>
      </w:pPr>
      <w:r w:rsidRPr="00423B27">
        <w:t xml:space="preserve">TIMES BRASIL. </w:t>
      </w:r>
      <w:r w:rsidRPr="00423B27">
        <w:rPr>
          <w:rStyle w:val="nfase"/>
        </w:rPr>
        <w:t xml:space="preserve">Projeto coloca moeda social Aratu na </w:t>
      </w:r>
      <w:proofErr w:type="spellStart"/>
      <w:r w:rsidRPr="00423B27">
        <w:rPr>
          <w:rStyle w:val="nfase"/>
        </w:rPr>
        <w:t>blockchain</w:t>
      </w:r>
      <w:proofErr w:type="spellEnd"/>
      <w:r w:rsidRPr="00423B27">
        <w:rPr>
          <w:rStyle w:val="nfase"/>
        </w:rPr>
        <w:t xml:space="preserve"> para democratizar o acesso financeiro no Brasil</w:t>
      </w:r>
      <w:r w:rsidRPr="00423B27">
        <w:t xml:space="preserve">. Disponível em: </w:t>
      </w:r>
      <w:hyperlink r:id="rId30" w:tgtFrame="_new" w:history="1">
        <w:r w:rsidRPr="00423B27">
          <w:rPr>
            <w:rStyle w:val="Hyperlink"/>
            <w:color w:val="auto"/>
          </w:rPr>
          <w:t>https://timesbrasil.com.br/colunas/rita-wu/projeto-coloca-moeda-social-aratu-na-blockchain-para-democratizar-o-acesso-financeiro-no-brasil/</w:t>
        </w:r>
      </w:hyperlink>
      <w:r w:rsidRPr="00423B27">
        <w:t>. Acesso em: 5 ago. 2025.</w:t>
      </w:r>
    </w:p>
    <w:p w:rsidR="00423B27" w:rsidRPr="00423B27" w:rsidRDefault="00423B27" w:rsidP="00423B27">
      <w:pPr>
        <w:pStyle w:val="NormalWeb"/>
        <w:ind w:left="426" w:hanging="426"/>
        <w:jc w:val="both"/>
      </w:pPr>
      <w:r w:rsidRPr="00423B27">
        <w:t xml:space="preserve">VALOR GLOBO. </w:t>
      </w:r>
      <w:r w:rsidRPr="00423B27">
        <w:rPr>
          <w:rStyle w:val="nfase"/>
        </w:rPr>
        <w:t>Moeda social garante renda e fortalece a economia local</w:t>
      </w:r>
      <w:r w:rsidRPr="00423B27">
        <w:t xml:space="preserve">. Disponível em: </w:t>
      </w:r>
      <w:hyperlink r:id="rId31" w:tgtFrame="_new" w:history="1">
        <w:r w:rsidRPr="00423B27">
          <w:rPr>
            <w:rStyle w:val="Hyperlink"/>
            <w:color w:val="auto"/>
          </w:rPr>
          <w:t>https://valor.globo.com/brasil/g20-no-brasil/noticia/2024/07/30/moeda-social-garante-renda-e-fortalece-a-economia-local.ghtml</w:t>
        </w:r>
      </w:hyperlink>
      <w:r w:rsidRPr="00423B27">
        <w:t>. Acesso em: 5 ago. 2025.</w:t>
      </w:r>
    </w:p>
    <w:p w:rsidR="00D315C2" w:rsidRPr="00423B27" w:rsidRDefault="00B84035" w:rsidP="006D39FA">
      <w:pPr>
        <w:spacing w:before="100" w:beforeAutospacing="1" w:after="100" w:afterAutospacing="1" w:line="240" w:lineRule="auto"/>
        <w:ind w:left="567" w:hanging="567"/>
        <w:jc w:val="both"/>
        <w:rPr>
          <w:rFonts w:ascii="Times New Roman" w:hAnsi="Times New Roman" w:cs="Times New Roman"/>
          <w:sz w:val="24"/>
          <w:szCs w:val="24"/>
        </w:rPr>
      </w:pPr>
    </w:p>
    <w:sectPr w:rsidR="00D315C2" w:rsidRPr="00423B27" w:rsidSect="00423B27">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B27"/>
    <w:rsid w:val="00AA1D8D"/>
    <w:rsid w:val="00B47730"/>
    <w:rsid w:val="00B840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0EB62"/>
  <w14:defaultImageDpi w14:val="300"/>
  <w15:docId w15:val="{034A5331-D151-4730-A141-17A9C439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3B27"/>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Hyperlink">
    <w:name w:val="Hyperlink"/>
    <w:basedOn w:val="Fontepargpadro"/>
    <w:uiPriority w:val="99"/>
    <w:semiHidden/>
    <w:unhideWhenUsed/>
    <w:rsid w:val="00423B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32036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cointelegraph.com/news/7-00-pm-chainlink-partners-with-community-bank-social-contributions-in-brazil" TargetMode="External"/><Relationship Id="rId18" Type="http://schemas.openxmlformats.org/officeDocument/2006/relationships/hyperlink" Target="https://www.fdc.org.br/Documents/imagine-brasil/Guia_de_Governanca_Colaborativa_FDC_v4.pdf" TargetMode="External"/><Relationship Id="rId26" Type="http://schemas.openxmlformats.org/officeDocument/2006/relationships/hyperlink" Target="https://www.researchgate.net/publication/325385551_Beneficios_do_Blockchain_para_moedas_sociais_digitais" TargetMode="External"/><Relationship Id="rId3" Type="http://schemas.openxmlformats.org/officeDocument/2006/relationships/styles" Target="styles.xml"/><Relationship Id="rId21" Type="http://schemas.openxmlformats.org/officeDocument/2006/relationships/hyperlink" Target="https://www.idealist.org/es/ong/72f5b4b59ae740708b7ebc2de28f35b7-banco-mumbuca-marica"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s://repositorio.enap.gov.br/handle/1/6780" TargetMode="External"/><Relationship Id="rId17" Type="http://schemas.openxmlformats.org/officeDocument/2006/relationships/hyperlink" Target="https://fapesq.rpp.br/noticias/startup-paraibana-criou-uma-moeda-social-digital-como-sistema-inovador-de-descarte-de-bens-materiais" TargetMode="External"/><Relationship Id="rId25" Type="http://schemas.openxmlformats.org/officeDocument/2006/relationships/hyperlink" Target="https://repositorioaberto.uab.pt/bitstreams/05004bf3-50da-45a2-a9db-59231611454/downloa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xame.com/future-of-money/parceria-impulsionar-moedas-sociais-brasil-tecnologia-blockchain/" TargetMode="External"/><Relationship Id="rId20" Type="http://schemas.openxmlformats.org/officeDocument/2006/relationships/hyperlink" Target="https://www.gov.br/governodigital/pt-br/estrategias-e-governanca-digital/estrategianacional/objetivo-07" TargetMode="External"/><Relationship Id="rId29" Type="http://schemas.openxmlformats.org/officeDocument/2006/relationships/hyperlink" Target="https://www.sydle.com/br/blog/ecossistemas-de-inovacao-67a20afc323b1a7474a6904b" TargetMode="External"/><Relationship Id="rId1" Type="http://schemas.openxmlformats.org/officeDocument/2006/relationships/customXml" Target="../customXml/item1.xml"/><Relationship Id="rId6" Type="http://schemas.openxmlformats.org/officeDocument/2006/relationships/hyperlink" Target="https://www.bancomumbuca.com.br/" TargetMode="External"/><Relationship Id="rId11" Type="http://schemas.openxmlformats.org/officeDocument/2006/relationships/hyperlink" Target="https://pautabrasil.com.br/2024/05/18/a-tecnologia-blockchain-para-a-nova-governanca-publica-blockchain-technology-for-new-public-governance/" TargetMode="External"/><Relationship Id="rId24" Type="http://schemas.openxmlformats.org/officeDocument/2006/relationships/hyperlink" Target="https://www.nexojornal.com.br/externo/2025/02/06/economia-banco-comunitario-impacto-desenvolvimento-loca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dinheiro.org/" TargetMode="External"/><Relationship Id="rId23" Type="http://schemas.openxmlformats.org/officeDocument/2006/relationships/hyperlink" Target="https://www.marica.rj.gov.br/noticia/nova-sede-do-banco-mumbuca-e-inaugurada-no-centro/" TargetMode="External"/><Relationship Id="rId28" Type="http://schemas.openxmlformats.org/officeDocument/2006/relationships/hyperlink" Target="https://www.scielo.br/j/rap/a/KNpLv6SyPKx89SCRgMkRLkH/?format=pdf&amp;lang=pt" TargetMode="External"/><Relationship Id="rId10" Type="http://schemas.openxmlformats.org/officeDocument/2006/relationships/hyperlink" Target="http://www.planalto.gov.br/ccivil_03/_ato2019-2022/2021/lei/L14129.htm" TargetMode="External"/><Relationship Id="rId19" Type="http://schemas.openxmlformats.org/officeDocument/2006/relationships/hyperlink" Target="https://periodicos.fgv.br/ric/article/download/88331/83217/194039" TargetMode="External"/><Relationship Id="rId31" Type="http://schemas.openxmlformats.org/officeDocument/2006/relationships/hyperlink" Target="https://valor.globo.com/brasil/g20-no-brasil/noticia/2024/07/30/moeda-social-garante-renda-e-fortalece-a-economia-local.ghtml" TargetMode="External"/><Relationship Id="rId4" Type="http://schemas.openxmlformats.org/officeDocument/2006/relationships/settings" Target="settings.xml"/><Relationship Id="rId9" Type="http://schemas.openxmlformats.org/officeDocument/2006/relationships/hyperlink" Target="http://www.planalto.gov.br/ccivil_03/_ato2019-2022/2019/lei/L13874.htm" TargetMode="External"/><Relationship Id="rId14" Type="http://schemas.openxmlformats.org/officeDocument/2006/relationships/hyperlink" Target="https://www.oasisbr.ibict.br/vufind/Record/IPEA_c32f22e845fb49e35bf49372e43564c2" TargetMode="External"/><Relationship Id="rId22" Type="http://schemas.openxmlformats.org/officeDocument/2006/relationships/hyperlink" Target="https://www.nber.org/papers/w33089" TargetMode="External"/><Relationship Id="rId27" Type="http://schemas.openxmlformats.org/officeDocument/2006/relationships/hyperlink" Target="https://www.researchgate.net/publication/355212093_Da_Smart_Governance_as_Smart_Cities_Reflexoes_Comparativas_sobre_o_Caminho_Trilhado_e_o_Futuro_Desejado_com_Base_no_Exemplo_de_Duas_Cidades_Portuguesas" TargetMode="External"/><Relationship Id="rId30" Type="http://schemas.openxmlformats.org/officeDocument/2006/relationships/hyperlink" Target="https://timesbrasil.com.br/colunas/rita-wu/projeto-coloca-moeda-social-aratu-na-blockchain-para-democratizar-o-acesso-financeiro-no-brasil/" TargetMode="External"/><Relationship Id="rId8" Type="http://schemas.openxmlformats.org/officeDocument/2006/relationships/hyperlink" Target="https://www.epe.gov.br/sites-pt/publicacoes-dados-abertos/publicacoes/PublicacoesArquivos/publicacao-527/topico-534/Caderno%20T%C3%A9cnico_IT1_Cidades%20Inteligentes_EPE_2020_10_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D25F3-9BCD-407F-9670-7E7FB9870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6890</Words>
  <Characters>37206</Characters>
  <Application>Microsoft Office Word</Application>
  <DocSecurity>0</DocSecurity>
  <Lines>310</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cp:revision>
  <dcterms:created xsi:type="dcterms:W3CDTF">2013-12-23T23:15:00Z</dcterms:created>
  <dcterms:modified xsi:type="dcterms:W3CDTF">2025-08-11T14:15:00Z</dcterms:modified>
  <cp:category/>
</cp:coreProperties>
</file>