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A005B" w14:textId="77777777" w:rsidR="002F14F4" w:rsidRDefault="002F14F4" w:rsidP="002F14F4">
      <w:pPr>
        <w:jc w:val="both"/>
        <w:rPr>
          <w:rFonts w:ascii="Times New Roman" w:hAnsi="Times New Roman" w:cs="Times New Roman"/>
        </w:rPr>
      </w:pPr>
      <w:r w:rsidRPr="002F14F4">
        <w:rPr>
          <w:rFonts w:ascii="Times New Roman" w:hAnsi="Times New Roman" w:cs="Times New Roman"/>
          <w:b/>
          <w:bCs/>
        </w:rPr>
        <w:t>Artículo 1.-</w:t>
      </w:r>
      <w:r w:rsidRPr="002F14F4">
        <w:rPr>
          <w:rFonts w:ascii="Times New Roman" w:hAnsi="Times New Roman" w:cs="Times New Roman"/>
        </w:rPr>
        <w:t xml:space="preserve"> </w:t>
      </w:r>
      <w:r w:rsidRPr="008470DE">
        <w:rPr>
          <w:rFonts w:ascii="Times New Roman" w:hAnsi="Times New Roman" w:cs="Times New Roman"/>
          <w:b/>
          <w:bCs/>
        </w:rPr>
        <w:t>Declarar el estado de excepción en las provincias de Guayas, Los Ríos, Manabí, Orellana, Santa Elena, El Oro, Sucumbíos, el Distrito Metropolitano de Quito de la provincia de Pichincha, y el cantón Camilo Ponce Enríquez de la provincia de Azuay; así como, en los centros de privación de la libertad que integran el Sistema Nacional de Rehabilitación Social a nivel nacional, por grave conmoción interna</w:t>
      </w:r>
      <w:r w:rsidRPr="002F14F4">
        <w:rPr>
          <w:rFonts w:ascii="Times New Roman" w:hAnsi="Times New Roman" w:cs="Times New Roman"/>
        </w:rPr>
        <w:t>.</w:t>
      </w:r>
    </w:p>
    <w:p w14:paraId="691C8F1A" w14:textId="77777777" w:rsidR="002F14F4" w:rsidRPr="002F14F4" w:rsidRDefault="002F14F4" w:rsidP="002F14F4">
      <w:pPr>
        <w:jc w:val="both"/>
        <w:rPr>
          <w:rFonts w:ascii="Times New Roman" w:hAnsi="Times New Roman" w:cs="Times New Roman"/>
        </w:rPr>
      </w:pPr>
      <w:r w:rsidRPr="002F14F4">
        <w:rPr>
          <w:rFonts w:ascii="Times New Roman" w:hAnsi="Times New Roman" w:cs="Times New Roman"/>
          <w:b/>
          <w:bCs/>
        </w:rPr>
        <w:t>Artículo 2.-</w:t>
      </w:r>
      <w:r w:rsidRPr="002F14F4">
        <w:rPr>
          <w:rFonts w:ascii="Times New Roman" w:hAnsi="Times New Roman" w:cs="Times New Roman"/>
        </w:rPr>
        <w:t xml:space="preserve"> La declaratoria de estado de excepción tendrá vigencia de </w:t>
      </w:r>
      <w:r w:rsidRPr="008470DE">
        <w:rPr>
          <w:rFonts w:ascii="Times New Roman" w:hAnsi="Times New Roman" w:cs="Times New Roman"/>
          <w:b/>
          <w:bCs/>
        </w:rPr>
        <w:t>sesenta (60) días.</w:t>
      </w:r>
    </w:p>
    <w:p w14:paraId="3FD8EEE4" w14:textId="3A87D6EF" w:rsidR="002F14F4" w:rsidRPr="002F14F4" w:rsidRDefault="002F14F4" w:rsidP="002F14F4">
      <w:pPr>
        <w:jc w:val="both"/>
        <w:rPr>
          <w:rFonts w:ascii="Times New Roman" w:hAnsi="Times New Roman" w:cs="Times New Roman"/>
        </w:rPr>
      </w:pPr>
      <w:r w:rsidRPr="002F14F4">
        <w:rPr>
          <w:rFonts w:ascii="Times New Roman" w:hAnsi="Times New Roman" w:cs="Times New Roman"/>
          <w:b/>
          <w:bCs/>
        </w:rPr>
        <w:t>Artículo 3.-</w:t>
      </w:r>
      <w:r w:rsidRPr="002F14F4">
        <w:rPr>
          <w:rFonts w:ascii="Times New Roman" w:hAnsi="Times New Roman" w:cs="Times New Roman"/>
        </w:rPr>
        <w:t xml:space="preserve"> Suspender </w:t>
      </w:r>
      <w:r>
        <w:rPr>
          <w:rFonts w:ascii="Times New Roman" w:hAnsi="Times New Roman" w:cs="Times New Roman"/>
        </w:rPr>
        <w:t xml:space="preserve">en ( ) </w:t>
      </w:r>
      <w:r w:rsidRPr="002F14F4">
        <w:rPr>
          <w:rFonts w:ascii="Times New Roman" w:hAnsi="Times New Roman" w:cs="Times New Roman"/>
        </w:rPr>
        <w:t xml:space="preserve">el </w:t>
      </w:r>
      <w:r w:rsidRPr="008470DE">
        <w:rPr>
          <w:rFonts w:ascii="Times New Roman" w:hAnsi="Times New Roman" w:cs="Times New Roman"/>
          <w:b/>
          <w:bCs/>
        </w:rPr>
        <w:t>derecho a la inviolabilidad de domicilio</w:t>
      </w:r>
      <w:r w:rsidRPr="002F14F4">
        <w:rPr>
          <w:rFonts w:ascii="Times New Roman" w:hAnsi="Times New Roman" w:cs="Times New Roman"/>
        </w:rPr>
        <w:t xml:space="preserve">. La suspensión del derecho a la inviolabilidad de domicilio consistirá en la realización de inspecciones, allanamientos y las requisas correspondientes por parte de las Fuerzas Armadas y la Policía Nacional conducentes a la ubicación y registro de los lugares destinados a ocultarse de las personas pertenecientes a los grupos armados organizados o de personas que estén realizando actividades vinculadas a la delincuencia organizada, así como la toma </w:t>
      </w:r>
      <w:proofErr w:type="spellStart"/>
      <w:r w:rsidRPr="002F14F4">
        <w:rPr>
          <w:rFonts w:ascii="Times New Roman" w:hAnsi="Times New Roman" w:cs="Times New Roman"/>
        </w:rPr>
        <w:t>fisica</w:t>
      </w:r>
      <w:proofErr w:type="spellEnd"/>
      <w:r w:rsidRPr="002F14F4">
        <w:rPr>
          <w:rFonts w:ascii="Times New Roman" w:hAnsi="Times New Roman" w:cs="Times New Roman"/>
        </w:rPr>
        <w:t xml:space="preserve"> de los materiales, o instrumentos para el cometimiento de todo tipo de delitos, como sustancias sujetas a fiscalización, con el fin de desarticular y neutralizar las amenazas en curso o futuras, y proceder con el debido proceso constitucional y legal.</w:t>
      </w:r>
    </w:p>
    <w:p w14:paraId="51433F23" w14:textId="597D83CE" w:rsidR="002F14F4" w:rsidRPr="002F14F4" w:rsidRDefault="002F14F4" w:rsidP="002F14F4">
      <w:pPr>
        <w:jc w:val="both"/>
        <w:rPr>
          <w:rFonts w:ascii="Times New Roman" w:hAnsi="Times New Roman" w:cs="Times New Roman"/>
        </w:rPr>
      </w:pPr>
      <w:r w:rsidRPr="002F14F4">
        <w:rPr>
          <w:rFonts w:ascii="Times New Roman" w:hAnsi="Times New Roman" w:cs="Times New Roman"/>
          <w:b/>
          <w:bCs/>
        </w:rPr>
        <w:t>Artículo 4.-</w:t>
      </w:r>
      <w:r w:rsidRPr="002F14F4">
        <w:rPr>
          <w:rFonts w:ascii="Times New Roman" w:hAnsi="Times New Roman" w:cs="Times New Roman"/>
        </w:rPr>
        <w:t xml:space="preserve"> Suspender</w:t>
      </w:r>
      <w:r>
        <w:rPr>
          <w:rFonts w:ascii="Times New Roman" w:hAnsi="Times New Roman" w:cs="Times New Roman"/>
        </w:rPr>
        <w:t xml:space="preserve"> en</w:t>
      </w:r>
      <w:r w:rsidRPr="002F14F4">
        <w:rPr>
          <w:rFonts w:ascii="Times New Roman" w:hAnsi="Times New Roman" w:cs="Times New Roman"/>
        </w:rPr>
        <w:t xml:space="preserve"> ( ), </w:t>
      </w:r>
      <w:r w:rsidRPr="002F14F4">
        <w:rPr>
          <w:rFonts w:ascii="Times New Roman" w:hAnsi="Times New Roman" w:cs="Times New Roman"/>
          <w:b/>
          <w:bCs/>
        </w:rPr>
        <w:t>el derecho a la inviolabilidad de correspondencia</w:t>
      </w:r>
      <w:r w:rsidRPr="002F14F4">
        <w:rPr>
          <w:rFonts w:ascii="Times New Roman" w:hAnsi="Times New Roman" w:cs="Times New Roman"/>
        </w:rPr>
        <w:t>.</w:t>
      </w:r>
    </w:p>
    <w:p w14:paraId="15468EA1" w14:textId="77777777" w:rsidR="002F14F4" w:rsidRPr="002F14F4" w:rsidRDefault="002F14F4" w:rsidP="002F14F4">
      <w:pPr>
        <w:jc w:val="both"/>
        <w:rPr>
          <w:rFonts w:ascii="Times New Roman" w:hAnsi="Times New Roman" w:cs="Times New Roman"/>
        </w:rPr>
      </w:pPr>
      <w:r w:rsidRPr="002F14F4">
        <w:rPr>
          <w:rFonts w:ascii="Times New Roman" w:hAnsi="Times New Roman" w:cs="Times New Roman"/>
        </w:rPr>
        <w:t xml:space="preserve">La suspensión del derecho a la inviolabilidad de correspondencia pretende la identificación, análisis y recopilación de mensajes, comunicaciones, cartas y/o misivas </w:t>
      </w:r>
      <w:proofErr w:type="spellStart"/>
      <w:r w:rsidRPr="002F14F4">
        <w:rPr>
          <w:rFonts w:ascii="Times New Roman" w:hAnsi="Times New Roman" w:cs="Times New Roman"/>
        </w:rPr>
        <w:t>fisicas</w:t>
      </w:r>
      <w:proofErr w:type="spellEnd"/>
      <w:r w:rsidRPr="002F14F4">
        <w:rPr>
          <w:rFonts w:ascii="Times New Roman" w:hAnsi="Times New Roman" w:cs="Times New Roman"/>
        </w:rPr>
        <w:t xml:space="preserve"> o electrónicas que tengan por objeto el ocultamiento de cualquier miembro del grupo armado organizado u ocultamiento de alguna conducta ilícita que dan lugar a esta declaratoria. Para este efecto se contará con la colaboración de las operadoras, instituciones y demás entidades relacionadas.</w:t>
      </w:r>
    </w:p>
    <w:p w14:paraId="2D4AECF4" w14:textId="4DD77678" w:rsidR="002F14F4" w:rsidRPr="002F14F4" w:rsidRDefault="002F14F4" w:rsidP="002F14F4">
      <w:pPr>
        <w:jc w:val="both"/>
        <w:rPr>
          <w:rFonts w:ascii="Times New Roman" w:hAnsi="Times New Roman" w:cs="Times New Roman"/>
        </w:rPr>
      </w:pPr>
      <w:r w:rsidRPr="002F14F4">
        <w:rPr>
          <w:rFonts w:ascii="Times New Roman" w:hAnsi="Times New Roman" w:cs="Times New Roman"/>
          <w:b/>
          <w:bCs/>
        </w:rPr>
        <w:t>Artículo 5.-</w:t>
      </w:r>
      <w:r w:rsidRPr="002F14F4">
        <w:rPr>
          <w:rFonts w:ascii="Times New Roman" w:hAnsi="Times New Roman" w:cs="Times New Roman"/>
        </w:rPr>
        <w:t xml:space="preserve"> Suspender</w:t>
      </w:r>
      <w:r>
        <w:rPr>
          <w:rFonts w:ascii="Times New Roman" w:hAnsi="Times New Roman" w:cs="Times New Roman"/>
        </w:rPr>
        <w:t xml:space="preserve"> en</w:t>
      </w:r>
      <w:r w:rsidRPr="002F14F4">
        <w:rPr>
          <w:rFonts w:ascii="Times New Roman" w:hAnsi="Times New Roman" w:cs="Times New Roman"/>
        </w:rPr>
        <w:t xml:space="preserve"> ( ) </w:t>
      </w:r>
      <w:r w:rsidRPr="002F14F4">
        <w:rPr>
          <w:rFonts w:ascii="Times New Roman" w:hAnsi="Times New Roman" w:cs="Times New Roman"/>
          <w:b/>
          <w:bCs/>
        </w:rPr>
        <w:t>el derecho a la libertad de reunión</w:t>
      </w:r>
      <w:r w:rsidRPr="002F14F4">
        <w:rPr>
          <w:rFonts w:ascii="Times New Roman" w:hAnsi="Times New Roman" w:cs="Times New Roman"/>
        </w:rPr>
        <w:t xml:space="preserve"> en estricta relación con los motivos del estado de excepción, observándose los principios de proporcionalidad, necesidad e idoneidad, y el estricto apego al respeto de las demás garantías constitucionales. </w:t>
      </w:r>
    </w:p>
    <w:p w14:paraId="2E711F70" w14:textId="77777777" w:rsidR="002F14F4" w:rsidRPr="002F14F4" w:rsidRDefault="002F14F4" w:rsidP="002F14F4">
      <w:pPr>
        <w:jc w:val="both"/>
        <w:rPr>
          <w:rFonts w:ascii="Times New Roman" w:hAnsi="Times New Roman" w:cs="Times New Roman"/>
        </w:rPr>
      </w:pPr>
      <w:r w:rsidRPr="002F14F4">
        <w:rPr>
          <w:rFonts w:ascii="Times New Roman" w:hAnsi="Times New Roman" w:cs="Times New Roman"/>
        </w:rPr>
        <w:t xml:space="preserve">La suspensión de la libertad de reunión de las personas consiste en impedir cualquier acción que afecte la seguridad y el orden público, provocada por los integrantes, colaboradores o cualquier persona </w:t>
      </w:r>
      <w:proofErr w:type="spellStart"/>
      <w:r w:rsidRPr="002F14F4">
        <w:rPr>
          <w:rFonts w:ascii="Times New Roman" w:hAnsi="Times New Roman" w:cs="Times New Roman"/>
        </w:rPr>
        <w:t>afin</w:t>
      </w:r>
      <w:proofErr w:type="spellEnd"/>
      <w:r w:rsidRPr="002F14F4">
        <w:rPr>
          <w:rFonts w:ascii="Times New Roman" w:hAnsi="Times New Roman" w:cs="Times New Roman"/>
        </w:rPr>
        <w:t xml:space="preserve"> a los grupos armados organizados o a los grupos de delincuencia organizada.</w:t>
      </w:r>
    </w:p>
    <w:p w14:paraId="44CFDA83" w14:textId="77777777" w:rsidR="002F14F4" w:rsidRPr="002F14F4" w:rsidRDefault="002F14F4" w:rsidP="002F14F4">
      <w:pPr>
        <w:jc w:val="both"/>
        <w:rPr>
          <w:rFonts w:ascii="Times New Roman" w:hAnsi="Times New Roman" w:cs="Times New Roman"/>
        </w:rPr>
      </w:pPr>
      <w:r w:rsidRPr="002F14F4">
        <w:rPr>
          <w:rFonts w:ascii="Times New Roman" w:hAnsi="Times New Roman" w:cs="Times New Roman"/>
        </w:rPr>
        <w:t>En tal sentido, las Fuerzas Armadas y la Policía Nacional quedan facultadas para impedir y desarticular reuniones en espacios públicos donde se identifiquen posibles amenazas a la seguridad ciudadana e integral y al orden constituido.</w:t>
      </w:r>
    </w:p>
    <w:p w14:paraId="74FEB0B9" w14:textId="77777777" w:rsidR="002F14F4" w:rsidRPr="002F14F4" w:rsidRDefault="002F14F4" w:rsidP="002F14F4">
      <w:pPr>
        <w:jc w:val="both"/>
        <w:rPr>
          <w:rFonts w:ascii="Times New Roman" w:hAnsi="Times New Roman" w:cs="Times New Roman"/>
        </w:rPr>
      </w:pPr>
      <w:r w:rsidRPr="002F14F4">
        <w:rPr>
          <w:rFonts w:ascii="Times New Roman" w:hAnsi="Times New Roman" w:cs="Times New Roman"/>
        </w:rPr>
        <w:t>Lo anterior no implica restricción al derecho a manifestarse pacíficamente, ni la libertad de asociación</w:t>
      </w:r>
    </w:p>
    <w:p w14:paraId="69CEA0F1" w14:textId="66CE1C94" w:rsidR="002F14F4" w:rsidRPr="002F14F4" w:rsidRDefault="002F14F4" w:rsidP="002F14F4">
      <w:pPr>
        <w:jc w:val="both"/>
        <w:rPr>
          <w:rFonts w:ascii="Times New Roman" w:hAnsi="Times New Roman" w:cs="Times New Roman"/>
        </w:rPr>
      </w:pPr>
      <w:r w:rsidRPr="002F14F4">
        <w:rPr>
          <w:rFonts w:ascii="Times New Roman" w:hAnsi="Times New Roman" w:cs="Times New Roman"/>
          <w:b/>
          <w:bCs/>
        </w:rPr>
        <w:t>Artículo 6.- Disponer la movilización e intervención de las Fuerzas Armadas y la Policía Nacional</w:t>
      </w:r>
      <w:r w:rsidRPr="002F14F4">
        <w:rPr>
          <w:rFonts w:ascii="Times New Roman" w:hAnsi="Times New Roman" w:cs="Times New Roman"/>
        </w:rPr>
        <w:t xml:space="preserve"> </w:t>
      </w:r>
      <w:r>
        <w:rPr>
          <w:rFonts w:ascii="Times New Roman" w:hAnsi="Times New Roman" w:cs="Times New Roman"/>
        </w:rPr>
        <w:t>en</w:t>
      </w:r>
      <w:r w:rsidRPr="002F14F4">
        <w:rPr>
          <w:rFonts w:ascii="Times New Roman" w:hAnsi="Times New Roman" w:cs="Times New Roman"/>
        </w:rPr>
        <w:t xml:space="preserve">( ). </w:t>
      </w:r>
    </w:p>
    <w:p w14:paraId="3701216E" w14:textId="77777777" w:rsidR="002F14F4" w:rsidRPr="002F14F4" w:rsidRDefault="002F14F4" w:rsidP="002F14F4">
      <w:pPr>
        <w:jc w:val="both"/>
        <w:rPr>
          <w:rFonts w:ascii="Times New Roman" w:hAnsi="Times New Roman" w:cs="Times New Roman"/>
        </w:rPr>
      </w:pPr>
      <w:r w:rsidRPr="002F14F4">
        <w:rPr>
          <w:rFonts w:ascii="Times New Roman" w:hAnsi="Times New Roman" w:cs="Times New Roman"/>
        </w:rPr>
        <w:t>Respecto a esta medida, la actuación para su ejecución será temporal, subsidiaria, extraordinaria, condicionada, regulada y fiscalizada en lo referente a las medidas extraordinarias que contempla este estado de excepción, y conforme lo prevé la Constitución y la Ley; sin perjuicio de sus competencias dispuestas en el Decreto Ejecutivo No. 218 de 07 de abril de 2024 por persistencia del conflicto armado interno. Será obligación de las Fuerzas Armadas, en ejercicio de este apoyo complementario y ejecución del presente Decreto Ejecutivo, respetar el debido proceso y poner a órdenes de autoridad competente a las personas detenidas, conforme el Código Orgánico Integral Penal.</w:t>
      </w:r>
    </w:p>
    <w:p w14:paraId="746C2BBC" w14:textId="36B417A1" w:rsidR="002F14F4" w:rsidRPr="002F14F4" w:rsidRDefault="002F14F4" w:rsidP="002F14F4">
      <w:pPr>
        <w:jc w:val="both"/>
        <w:rPr>
          <w:rFonts w:ascii="Times New Roman" w:hAnsi="Times New Roman" w:cs="Times New Roman"/>
          <w:b/>
          <w:bCs/>
        </w:rPr>
      </w:pPr>
      <w:r w:rsidRPr="002F14F4">
        <w:rPr>
          <w:rFonts w:ascii="Times New Roman" w:hAnsi="Times New Roman" w:cs="Times New Roman"/>
          <w:b/>
          <w:bCs/>
        </w:rPr>
        <w:t>Artículo 7.- Disponer la restricción de la libertad de tránsito, todos los días, desde las 22h00 hasta las 05h00, en los siguientes cantones y/o parroquias</w:t>
      </w:r>
    </w:p>
    <w:p w14:paraId="74D6CBB9" w14:textId="77777777" w:rsidR="002F14F4" w:rsidRPr="002F14F4" w:rsidRDefault="002F14F4" w:rsidP="002F14F4">
      <w:pPr>
        <w:jc w:val="both"/>
        <w:rPr>
          <w:rFonts w:ascii="Times New Roman" w:hAnsi="Times New Roman" w:cs="Times New Roman"/>
        </w:rPr>
      </w:pPr>
    </w:p>
    <w:p w14:paraId="6F525EC8" w14:textId="77777777" w:rsidR="002F14F4" w:rsidRPr="002F14F4" w:rsidRDefault="002F14F4" w:rsidP="002F14F4">
      <w:pPr>
        <w:jc w:val="both"/>
        <w:rPr>
          <w:rFonts w:ascii="Times New Roman" w:hAnsi="Times New Roman" w:cs="Times New Roman"/>
        </w:rPr>
      </w:pPr>
      <w:r w:rsidRPr="002F14F4">
        <w:rPr>
          <w:rFonts w:ascii="Times New Roman" w:hAnsi="Times New Roman" w:cs="Times New Roman"/>
        </w:rPr>
        <w:lastRenderedPageBreak/>
        <w:t>PROVINCIA</w:t>
      </w:r>
      <w:r w:rsidRPr="002F14F4">
        <w:rPr>
          <w:rFonts w:ascii="Times New Roman" w:hAnsi="Times New Roman" w:cs="Times New Roman"/>
        </w:rPr>
        <w:tab/>
        <w:t>CANTÓN/PARROQUIA</w:t>
      </w:r>
    </w:p>
    <w:p w14:paraId="460B121F" w14:textId="77777777" w:rsidR="002F14F4" w:rsidRPr="002F14F4" w:rsidRDefault="002F14F4" w:rsidP="002F14F4">
      <w:pPr>
        <w:jc w:val="both"/>
        <w:rPr>
          <w:rFonts w:ascii="Times New Roman" w:hAnsi="Times New Roman" w:cs="Times New Roman"/>
        </w:rPr>
      </w:pPr>
      <w:r w:rsidRPr="002F14F4">
        <w:rPr>
          <w:rFonts w:ascii="Times New Roman" w:hAnsi="Times New Roman" w:cs="Times New Roman"/>
        </w:rPr>
        <w:t>Azuay</w:t>
      </w:r>
      <w:r w:rsidRPr="002F14F4">
        <w:rPr>
          <w:rFonts w:ascii="Times New Roman" w:hAnsi="Times New Roman" w:cs="Times New Roman"/>
        </w:rPr>
        <w:tab/>
        <w:t>Cantón Camilo Ponce Enríquez</w:t>
      </w:r>
    </w:p>
    <w:p w14:paraId="31C305A8" w14:textId="77777777" w:rsidR="002F14F4" w:rsidRPr="002F14F4" w:rsidRDefault="002F14F4" w:rsidP="002F14F4">
      <w:pPr>
        <w:jc w:val="both"/>
        <w:rPr>
          <w:rFonts w:ascii="Times New Roman" w:hAnsi="Times New Roman" w:cs="Times New Roman"/>
        </w:rPr>
      </w:pPr>
      <w:r w:rsidRPr="002F14F4">
        <w:rPr>
          <w:rFonts w:ascii="Times New Roman" w:hAnsi="Times New Roman" w:cs="Times New Roman"/>
        </w:rPr>
        <w:t>Guayas</w:t>
      </w:r>
      <w:r w:rsidRPr="002F14F4">
        <w:rPr>
          <w:rFonts w:ascii="Times New Roman" w:hAnsi="Times New Roman" w:cs="Times New Roman"/>
        </w:rPr>
        <w:tab/>
        <w:t>Cantón Durán</w:t>
      </w:r>
    </w:p>
    <w:p w14:paraId="21BCC211" w14:textId="77777777" w:rsidR="002F14F4" w:rsidRPr="002F14F4" w:rsidRDefault="002F14F4" w:rsidP="002F14F4">
      <w:pPr>
        <w:jc w:val="both"/>
        <w:rPr>
          <w:rFonts w:ascii="Times New Roman" w:hAnsi="Times New Roman" w:cs="Times New Roman"/>
        </w:rPr>
      </w:pPr>
      <w:r w:rsidRPr="002F14F4">
        <w:rPr>
          <w:rFonts w:ascii="Times New Roman" w:hAnsi="Times New Roman" w:cs="Times New Roman"/>
        </w:rPr>
        <w:t>Guayas</w:t>
      </w:r>
      <w:r w:rsidRPr="002F14F4">
        <w:rPr>
          <w:rFonts w:ascii="Times New Roman" w:hAnsi="Times New Roman" w:cs="Times New Roman"/>
        </w:rPr>
        <w:tab/>
        <w:t>Cantón Balao</w:t>
      </w:r>
    </w:p>
    <w:p w14:paraId="616DDD51" w14:textId="77777777" w:rsidR="002F14F4" w:rsidRPr="002F14F4" w:rsidRDefault="002F14F4" w:rsidP="002F14F4">
      <w:pPr>
        <w:jc w:val="both"/>
        <w:rPr>
          <w:rFonts w:ascii="Times New Roman" w:hAnsi="Times New Roman" w:cs="Times New Roman"/>
        </w:rPr>
      </w:pPr>
      <w:r w:rsidRPr="002F14F4">
        <w:rPr>
          <w:rFonts w:ascii="Times New Roman" w:hAnsi="Times New Roman" w:cs="Times New Roman"/>
        </w:rPr>
        <w:t>Guayas</w:t>
      </w:r>
      <w:r w:rsidRPr="002F14F4">
        <w:rPr>
          <w:rFonts w:ascii="Times New Roman" w:hAnsi="Times New Roman" w:cs="Times New Roman"/>
        </w:rPr>
        <w:tab/>
        <w:t>Parroquia Tenguel</w:t>
      </w:r>
    </w:p>
    <w:p w14:paraId="4ED04FC8" w14:textId="77777777" w:rsidR="002F14F4" w:rsidRPr="002F14F4" w:rsidRDefault="002F14F4" w:rsidP="002F14F4">
      <w:pPr>
        <w:jc w:val="both"/>
        <w:rPr>
          <w:rFonts w:ascii="Times New Roman" w:hAnsi="Times New Roman" w:cs="Times New Roman"/>
        </w:rPr>
      </w:pPr>
      <w:r w:rsidRPr="002F14F4">
        <w:rPr>
          <w:rFonts w:ascii="Times New Roman" w:hAnsi="Times New Roman" w:cs="Times New Roman"/>
        </w:rPr>
        <w:t>Los Ríos</w:t>
      </w:r>
      <w:r w:rsidRPr="002F14F4">
        <w:rPr>
          <w:rFonts w:ascii="Times New Roman" w:hAnsi="Times New Roman" w:cs="Times New Roman"/>
        </w:rPr>
        <w:tab/>
        <w:t>Cantón Babahoyo</w:t>
      </w:r>
    </w:p>
    <w:p w14:paraId="28917FF4" w14:textId="77777777" w:rsidR="002F14F4" w:rsidRPr="002F14F4" w:rsidRDefault="002F14F4" w:rsidP="002F14F4">
      <w:pPr>
        <w:jc w:val="both"/>
        <w:rPr>
          <w:rFonts w:ascii="Times New Roman" w:hAnsi="Times New Roman" w:cs="Times New Roman"/>
        </w:rPr>
      </w:pPr>
      <w:r w:rsidRPr="002F14F4">
        <w:rPr>
          <w:rFonts w:ascii="Times New Roman" w:hAnsi="Times New Roman" w:cs="Times New Roman"/>
        </w:rPr>
        <w:t>Los Ríos</w:t>
      </w:r>
      <w:r w:rsidRPr="002F14F4">
        <w:rPr>
          <w:rFonts w:ascii="Times New Roman" w:hAnsi="Times New Roman" w:cs="Times New Roman"/>
        </w:rPr>
        <w:tab/>
        <w:t>Cantón Buena Fe</w:t>
      </w:r>
    </w:p>
    <w:p w14:paraId="70E67460" w14:textId="77777777" w:rsidR="002F14F4" w:rsidRPr="002F14F4" w:rsidRDefault="002F14F4" w:rsidP="002F14F4">
      <w:pPr>
        <w:jc w:val="both"/>
        <w:rPr>
          <w:rFonts w:ascii="Times New Roman" w:hAnsi="Times New Roman" w:cs="Times New Roman"/>
        </w:rPr>
      </w:pPr>
      <w:r w:rsidRPr="002F14F4">
        <w:rPr>
          <w:rFonts w:ascii="Times New Roman" w:hAnsi="Times New Roman" w:cs="Times New Roman"/>
        </w:rPr>
        <w:t>Los Ríos</w:t>
      </w:r>
      <w:r w:rsidRPr="002F14F4">
        <w:rPr>
          <w:rFonts w:ascii="Times New Roman" w:hAnsi="Times New Roman" w:cs="Times New Roman"/>
        </w:rPr>
        <w:tab/>
        <w:t>Cantón Quevedo</w:t>
      </w:r>
    </w:p>
    <w:p w14:paraId="540B84AE" w14:textId="77777777" w:rsidR="002F14F4" w:rsidRPr="002F14F4" w:rsidRDefault="002F14F4" w:rsidP="002F14F4">
      <w:pPr>
        <w:jc w:val="both"/>
        <w:rPr>
          <w:rFonts w:ascii="Times New Roman" w:hAnsi="Times New Roman" w:cs="Times New Roman"/>
        </w:rPr>
      </w:pPr>
      <w:r w:rsidRPr="002F14F4">
        <w:rPr>
          <w:rFonts w:ascii="Times New Roman" w:hAnsi="Times New Roman" w:cs="Times New Roman"/>
        </w:rPr>
        <w:t>Los Ríos</w:t>
      </w:r>
      <w:r w:rsidRPr="002F14F4">
        <w:rPr>
          <w:rFonts w:ascii="Times New Roman" w:hAnsi="Times New Roman" w:cs="Times New Roman"/>
        </w:rPr>
        <w:tab/>
        <w:t>Cantón Pueblo Viejo</w:t>
      </w:r>
    </w:p>
    <w:p w14:paraId="58EDE026" w14:textId="77777777" w:rsidR="002F14F4" w:rsidRPr="002F14F4" w:rsidRDefault="002F14F4" w:rsidP="002F14F4">
      <w:pPr>
        <w:jc w:val="both"/>
        <w:rPr>
          <w:rFonts w:ascii="Times New Roman" w:hAnsi="Times New Roman" w:cs="Times New Roman"/>
        </w:rPr>
      </w:pPr>
      <w:r w:rsidRPr="002F14F4">
        <w:rPr>
          <w:rFonts w:ascii="Times New Roman" w:hAnsi="Times New Roman" w:cs="Times New Roman"/>
        </w:rPr>
        <w:t>Los Ríos</w:t>
      </w:r>
      <w:r w:rsidRPr="002F14F4">
        <w:rPr>
          <w:rFonts w:ascii="Times New Roman" w:hAnsi="Times New Roman" w:cs="Times New Roman"/>
        </w:rPr>
        <w:tab/>
        <w:t>Cantón Vinces</w:t>
      </w:r>
    </w:p>
    <w:p w14:paraId="38BD02F2" w14:textId="77777777" w:rsidR="002F14F4" w:rsidRPr="002F14F4" w:rsidRDefault="002F14F4" w:rsidP="002F14F4">
      <w:pPr>
        <w:jc w:val="both"/>
        <w:rPr>
          <w:rFonts w:ascii="Times New Roman" w:hAnsi="Times New Roman" w:cs="Times New Roman"/>
        </w:rPr>
      </w:pPr>
      <w:r w:rsidRPr="002F14F4">
        <w:rPr>
          <w:rFonts w:ascii="Times New Roman" w:hAnsi="Times New Roman" w:cs="Times New Roman"/>
        </w:rPr>
        <w:t>Los Ríos</w:t>
      </w:r>
      <w:r w:rsidRPr="002F14F4">
        <w:rPr>
          <w:rFonts w:ascii="Times New Roman" w:hAnsi="Times New Roman" w:cs="Times New Roman"/>
        </w:rPr>
        <w:tab/>
        <w:t>Cantón Valencia</w:t>
      </w:r>
    </w:p>
    <w:p w14:paraId="4626E265" w14:textId="77777777" w:rsidR="002F14F4" w:rsidRPr="002F14F4" w:rsidRDefault="002F14F4" w:rsidP="002F14F4">
      <w:pPr>
        <w:jc w:val="both"/>
        <w:rPr>
          <w:rFonts w:ascii="Times New Roman" w:hAnsi="Times New Roman" w:cs="Times New Roman"/>
        </w:rPr>
      </w:pPr>
      <w:r w:rsidRPr="002F14F4">
        <w:rPr>
          <w:rFonts w:ascii="Times New Roman" w:hAnsi="Times New Roman" w:cs="Times New Roman"/>
        </w:rPr>
        <w:t>Los Ríos</w:t>
      </w:r>
      <w:r w:rsidRPr="002F14F4">
        <w:rPr>
          <w:rFonts w:ascii="Times New Roman" w:hAnsi="Times New Roman" w:cs="Times New Roman"/>
        </w:rPr>
        <w:tab/>
        <w:t>Cantón Ventanas</w:t>
      </w:r>
    </w:p>
    <w:p w14:paraId="5CC8066B" w14:textId="77777777" w:rsidR="002F14F4" w:rsidRPr="002F14F4" w:rsidRDefault="002F14F4" w:rsidP="002F14F4">
      <w:pPr>
        <w:jc w:val="both"/>
        <w:rPr>
          <w:rFonts w:ascii="Times New Roman" w:hAnsi="Times New Roman" w:cs="Times New Roman"/>
        </w:rPr>
      </w:pPr>
      <w:r w:rsidRPr="002F14F4">
        <w:rPr>
          <w:rFonts w:ascii="Times New Roman" w:hAnsi="Times New Roman" w:cs="Times New Roman"/>
        </w:rPr>
        <w:t>Los Ríos</w:t>
      </w:r>
      <w:r w:rsidRPr="002F14F4">
        <w:rPr>
          <w:rFonts w:ascii="Times New Roman" w:hAnsi="Times New Roman" w:cs="Times New Roman"/>
        </w:rPr>
        <w:tab/>
        <w:t>Cantón Mocache</w:t>
      </w:r>
    </w:p>
    <w:p w14:paraId="00AB2CE3" w14:textId="77777777" w:rsidR="002F14F4" w:rsidRPr="002F14F4" w:rsidRDefault="002F14F4" w:rsidP="002F14F4">
      <w:pPr>
        <w:jc w:val="both"/>
        <w:rPr>
          <w:rFonts w:ascii="Times New Roman" w:hAnsi="Times New Roman" w:cs="Times New Roman"/>
        </w:rPr>
      </w:pPr>
      <w:r w:rsidRPr="002F14F4">
        <w:rPr>
          <w:rFonts w:ascii="Times New Roman" w:hAnsi="Times New Roman" w:cs="Times New Roman"/>
        </w:rPr>
        <w:t>Los Ríos</w:t>
      </w:r>
      <w:r w:rsidRPr="002F14F4">
        <w:rPr>
          <w:rFonts w:ascii="Times New Roman" w:hAnsi="Times New Roman" w:cs="Times New Roman"/>
        </w:rPr>
        <w:tab/>
        <w:t>Cantón Urdaneta</w:t>
      </w:r>
    </w:p>
    <w:p w14:paraId="41E5B72A" w14:textId="77777777" w:rsidR="002F14F4" w:rsidRPr="002F14F4" w:rsidRDefault="002F14F4" w:rsidP="002F14F4">
      <w:pPr>
        <w:jc w:val="both"/>
        <w:rPr>
          <w:rFonts w:ascii="Times New Roman" w:hAnsi="Times New Roman" w:cs="Times New Roman"/>
        </w:rPr>
      </w:pPr>
      <w:r w:rsidRPr="002F14F4">
        <w:rPr>
          <w:rFonts w:ascii="Times New Roman" w:hAnsi="Times New Roman" w:cs="Times New Roman"/>
        </w:rPr>
        <w:t xml:space="preserve"> </w:t>
      </w:r>
    </w:p>
    <w:p w14:paraId="24AA96DC" w14:textId="77777777" w:rsidR="002F14F4" w:rsidRPr="002F14F4" w:rsidRDefault="002F14F4" w:rsidP="002F14F4">
      <w:pPr>
        <w:jc w:val="both"/>
        <w:rPr>
          <w:rFonts w:ascii="Times New Roman" w:hAnsi="Times New Roman" w:cs="Times New Roman"/>
          <w:b/>
          <w:bCs/>
        </w:rPr>
      </w:pPr>
      <w:r w:rsidRPr="002F14F4">
        <w:rPr>
          <w:rFonts w:ascii="Times New Roman" w:hAnsi="Times New Roman" w:cs="Times New Roman"/>
          <w:b/>
          <w:bCs/>
        </w:rPr>
        <w:t>DISPOSICIONES GENERALES</w:t>
      </w:r>
    </w:p>
    <w:p w14:paraId="6BFBA396" w14:textId="77777777" w:rsidR="002F14F4" w:rsidRPr="002F14F4" w:rsidRDefault="002F14F4" w:rsidP="002F14F4">
      <w:pPr>
        <w:jc w:val="both"/>
        <w:rPr>
          <w:rFonts w:ascii="Times New Roman" w:hAnsi="Times New Roman" w:cs="Times New Roman"/>
        </w:rPr>
      </w:pPr>
      <w:r w:rsidRPr="002F14F4">
        <w:rPr>
          <w:rFonts w:ascii="Times New Roman" w:hAnsi="Times New Roman" w:cs="Times New Roman"/>
        </w:rPr>
        <w:t>PRIMERA.- Las actividades dispuestas en el marco del conflicto armado interno, conforme lo previsto en el Decreto Ejecutivo No. 218 del 07 de abril de 2024, continuarán ejecutándose en armonía con lo previsto en el presente Decreto.</w:t>
      </w:r>
    </w:p>
    <w:p w14:paraId="7982FB07" w14:textId="7755CCEB" w:rsidR="002F14F4" w:rsidRPr="002F14F4" w:rsidRDefault="002F14F4" w:rsidP="002F14F4">
      <w:pPr>
        <w:jc w:val="both"/>
        <w:rPr>
          <w:rFonts w:ascii="Times New Roman" w:hAnsi="Times New Roman" w:cs="Times New Roman"/>
        </w:rPr>
      </w:pPr>
      <w:r w:rsidRPr="002F14F4">
        <w:rPr>
          <w:rFonts w:ascii="Times New Roman" w:hAnsi="Times New Roman" w:cs="Times New Roman"/>
        </w:rPr>
        <w:t>SEGUNDA.- Encárguese de la ejecución del presente Decreto Ejecutivo al Ministerio de Defensa Nacional, al Ministerio del Interior y al Servicio Nacional de Atención Integral a Personas Adultas</w:t>
      </w:r>
      <w:r>
        <w:rPr>
          <w:rFonts w:ascii="Times New Roman" w:hAnsi="Times New Roman" w:cs="Times New Roman"/>
        </w:rPr>
        <w:t xml:space="preserve"> </w:t>
      </w:r>
      <w:r w:rsidRPr="002F14F4">
        <w:rPr>
          <w:rFonts w:ascii="Times New Roman" w:hAnsi="Times New Roman" w:cs="Times New Roman"/>
        </w:rPr>
        <w:t>Privadas de la Libertad y a Adolescentes Infractores, en coordinación con todas las entidades e instituciones competentes.</w:t>
      </w:r>
    </w:p>
    <w:p w14:paraId="30E52604" w14:textId="77777777" w:rsidR="002F14F4" w:rsidRPr="002F14F4" w:rsidRDefault="002F14F4" w:rsidP="002F14F4">
      <w:pPr>
        <w:jc w:val="both"/>
        <w:rPr>
          <w:rFonts w:ascii="Times New Roman" w:hAnsi="Times New Roman" w:cs="Times New Roman"/>
        </w:rPr>
      </w:pPr>
    </w:p>
    <w:p w14:paraId="61F045A3" w14:textId="77777777" w:rsidR="002F14F4" w:rsidRPr="002F14F4" w:rsidRDefault="002F14F4" w:rsidP="002F14F4">
      <w:pPr>
        <w:jc w:val="both"/>
        <w:rPr>
          <w:rFonts w:ascii="Times New Roman" w:hAnsi="Times New Roman" w:cs="Times New Roman"/>
        </w:rPr>
      </w:pPr>
      <w:r w:rsidRPr="002F14F4">
        <w:rPr>
          <w:rFonts w:ascii="Times New Roman" w:hAnsi="Times New Roman" w:cs="Times New Roman"/>
        </w:rPr>
        <w:t xml:space="preserve">TERCERA.- </w:t>
      </w:r>
      <w:proofErr w:type="spellStart"/>
      <w:r w:rsidRPr="002F14F4">
        <w:rPr>
          <w:rFonts w:ascii="Times New Roman" w:hAnsi="Times New Roman" w:cs="Times New Roman"/>
        </w:rPr>
        <w:t>Notifiquese</w:t>
      </w:r>
      <w:proofErr w:type="spellEnd"/>
      <w:r w:rsidRPr="002F14F4">
        <w:rPr>
          <w:rFonts w:ascii="Times New Roman" w:hAnsi="Times New Roman" w:cs="Times New Roman"/>
        </w:rPr>
        <w:t xml:space="preserve"> a la ciudadanía de la suspensión del derecho a la inviolabilidad de domicilio, inviolabilidad de correspondencia, libertad de reunión y restricción de la libertad de tránsito.</w:t>
      </w:r>
    </w:p>
    <w:p w14:paraId="749E78C4" w14:textId="77777777" w:rsidR="00AB4E3E" w:rsidRPr="002F14F4" w:rsidRDefault="00AB4E3E" w:rsidP="002F14F4">
      <w:pPr>
        <w:jc w:val="both"/>
        <w:rPr>
          <w:rFonts w:ascii="Times New Roman" w:hAnsi="Times New Roman" w:cs="Times New Roman"/>
        </w:rPr>
      </w:pPr>
    </w:p>
    <w:sectPr w:rsidR="00AB4E3E" w:rsidRPr="002F14F4" w:rsidSect="00180457">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4F4"/>
    <w:rsid w:val="000159BF"/>
    <w:rsid w:val="00180457"/>
    <w:rsid w:val="002F14F4"/>
    <w:rsid w:val="003C59D5"/>
    <w:rsid w:val="00613838"/>
    <w:rsid w:val="00621546"/>
    <w:rsid w:val="007567A1"/>
    <w:rsid w:val="008470DE"/>
    <w:rsid w:val="00AB4E3E"/>
    <w:rsid w:val="00EF74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9E525C0"/>
  <w15:chartTrackingRefBased/>
  <w15:docId w15:val="{3F195C23-A658-9943-AD07-0896D004E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1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F1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14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14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14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14F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14F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14F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14F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14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F14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F14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14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14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14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14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14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14F4"/>
    <w:rPr>
      <w:rFonts w:eastAsiaTheme="majorEastAsia" w:cstheme="majorBidi"/>
      <w:color w:val="272727" w:themeColor="text1" w:themeTint="D8"/>
    </w:rPr>
  </w:style>
  <w:style w:type="paragraph" w:styleId="Ttulo">
    <w:name w:val="Title"/>
    <w:basedOn w:val="Normal"/>
    <w:next w:val="Normal"/>
    <w:link w:val="TtuloCar"/>
    <w:uiPriority w:val="10"/>
    <w:qFormat/>
    <w:rsid w:val="002F14F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14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14F4"/>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14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14F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F14F4"/>
    <w:rPr>
      <w:i/>
      <w:iCs/>
      <w:color w:val="404040" w:themeColor="text1" w:themeTint="BF"/>
    </w:rPr>
  </w:style>
  <w:style w:type="paragraph" w:styleId="Prrafodelista">
    <w:name w:val="List Paragraph"/>
    <w:basedOn w:val="Normal"/>
    <w:uiPriority w:val="34"/>
    <w:qFormat/>
    <w:rsid w:val="002F14F4"/>
    <w:pPr>
      <w:ind w:left="720"/>
      <w:contextualSpacing/>
    </w:pPr>
  </w:style>
  <w:style w:type="character" w:styleId="nfasisintenso">
    <w:name w:val="Intense Emphasis"/>
    <w:basedOn w:val="Fuentedeprrafopredeter"/>
    <w:uiPriority w:val="21"/>
    <w:qFormat/>
    <w:rsid w:val="002F14F4"/>
    <w:rPr>
      <w:i/>
      <w:iCs/>
      <w:color w:val="0F4761" w:themeColor="accent1" w:themeShade="BF"/>
    </w:rPr>
  </w:style>
  <w:style w:type="paragraph" w:styleId="Citadestacada">
    <w:name w:val="Intense Quote"/>
    <w:basedOn w:val="Normal"/>
    <w:next w:val="Normal"/>
    <w:link w:val="CitadestacadaCar"/>
    <w:uiPriority w:val="30"/>
    <w:qFormat/>
    <w:rsid w:val="002F1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14F4"/>
    <w:rPr>
      <w:i/>
      <w:iCs/>
      <w:color w:val="0F4761" w:themeColor="accent1" w:themeShade="BF"/>
    </w:rPr>
  </w:style>
  <w:style w:type="character" w:styleId="Referenciaintensa">
    <w:name w:val="Intense Reference"/>
    <w:basedOn w:val="Fuentedeprrafopredeter"/>
    <w:uiPriority w:val="32"/>
    <w:qFormat/>
    <w:rsid w:val="002F14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739</Words>
  <Characters>4066</Characters>
  <Application>Microsoft Office Word</Application>
  <DocSecurity>0</DocSecurity>
  <Lines>33</Lines>
  <Paragraphs>9</Paragraphs>
  <ScaleCrop>false</ScaleCrop>
  <Company/>
  <LinksUpToDate>false</LinksUpToDate>
  <CharactersWithSpaces>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GUAMAN HERNANDEZ, ADORACION REYES</dc:creator>
  <cp:keywords/>
  <dc:description/>
  <cp:lastModifiedBy>GUAMAN HERNANDEZ, ADORACION REYES</cp:lastModifiedBy>
  <cp:revision>3</cp:revision>
  <dcterms:created xsi:type="dcterms:W3CDTF">2025-04-12T14:46:00Z</dcterms:created>
  <dcterms:modified xsi:type="dcterms:W3CDTF">2025-04-12T14:52:00Z</dcterms:modified>
</cp:coreProperties>
</file>