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ind w:firstLine="0"/>
        <w:jc w:val="center"/>
      </w:pPr>
      <w:r>
        <w:rPr>
          <w:rFonts w:ascii="Times New Roman" w:hAnsi="Times New Roman" w:cs="Times New Roman"/>
          <w:b/>
          <w:bCs/>
          <w:color w:val="000000"/>
        </w:rPr>
        <w:t xml:space="preserve">INSTITUTO BRASILEIRO DE ENSINO, DESENVOLVIMENTO E PESQUISA</w:t>
      </w:r>
    </w:p>
    <w:p>
      <w:pPr>
        <w:pStyle w:val="BodyText"/>
        <w:ind w:firstLine="0"/>
        <w:jc w:val="center"/>
      </w:pPr>
      <w:r>
        <w:rPr>
          <w:rFonts w:ascii="Times New Roman" w:hAnsi="Times New Roman" w:cs="Times New Roman"/>
          <w:b/>
          <w:bCs/>
          <w:color w:val="000000"/>
        </w:rPr>
        <w:t xml:space="preserve">MESTRADO PROFISSIONAL EM CIÊNCIA POLÍTICA E RELAÇÕES INTERNACIONAIS</w:t>
      </w:r>
    </w:p>
    <w:p>
      <w:pPr>
        <w:pStyle w:val="BodyText"/>
      </w:pPr>
      <w:r>
        <w:rPr>
          <w:rFonts w:ascii="Times New Roman" w:hAnsi="Times New Roman" w:cs="Times New Roman"/>
          <w:color w:val="000000"/>
        </w:rPr>
        <w:br/>
      </w:r>
    </w:p>
    <w:p>
      <w:pPr>
        <w:pStyle w:val="BodyText"/>
        <w:ind w:firstLine="0"/>
        <w:jc w:val="center"/>
      </w:pPr>
      <w:r>
        <w:rPr>
          <w:rFonts w:ascii="Times New Roman" w:hAnsi="Times New Roman" w:cs="Times New Roman"/>
          <w:b/>
          <w:bCs/>
          <w:color w:val="000000"/>
        </w:rPr>
        <w:t xml:space="preserve">PEDRO PAULO HENRICHS NETO</w:t>
      </w:r>
    </w:p>
    <w:p>
      <w:pPr>
        <w:pStyle w:val="BodyText"/>
      </w:pPr>
      <w:r>
        <w:rPr>
          <w:rFonts w:ascii="Times New Roman" w:hAnsi="Times New Roman" w:cs="Times New Roman"/>
          <w:color w:val="000000"/>
        </w:rPr>
        <w:br/>
      </w:r>
    </w:p>
    <w:p>
      <w:pPr>
        <w:pStyle w:val="BodyText"/>
        <w:ind w:firstLine="0"/>
        <w:jc w:val="center"/>
      </w:pPr>
      <w:r>
        <w:rPr>
          <w:rFonts w:ascii="Times New Roman" w:hAnsi="Times New Roman" w:cs="Times New Roman"/>
          <w:b/>
          <w:bCs/>
          <w:color w:val="000000"/>
        </w:rPr>
        <w:t xml:space="preserve">ENTRE HEGEMONIA E AUTONOMIA: OEA E CELAC NA DISPUTA PELA GOVERNANÇA REGIONAL LATINO-AMERICANA</w:t>
      </w:r>
    </w:p>
    <w:p>
      <w:pPr>
        <w:pStyle w:val="BodyText"/>
      </w:pPr>
      <w:r>
        <w:rPr>
          <w:rFonts w:ascii="Times New Roman" w:hAnsi="Times New Roman" w:cs="Times New Roman"/>
          <w:color w:val="000000"/>
        </w:rPr>
        <w:br/>
      </w:r>
    </w:p>
    <w:p>
      <w:pPr>
        <w:pStyle w:val="BodyText"/>
        <w:ind w:firstLine="0"/>
        <w:jc w:val="center"/>
      </w:pPr>
      <w:r>
        <w:rPr>
          <w:rFonts w:ascii="Times New Roman" w:hAnsi="Times New Roman" w:cs="Times New Roman"/>
          <w:b/>
          <w:bCs/>
          <w:color w:val="000000"/>
        </w:rPr>
        <w:t xml:space="preserve">BRASÍLIA/DF</w:t>
      </w:r>
    </w:p>
    <w:p>
      <w:pPr>
        <w:pStyle w:val="BodyText"/>
        <w:ind w:firstLine="0"/>
        <w:jc w:val="center"/>
      </w:pPr>
      <w:r>
        <w:rPr>
          <w:rFonts w:ascii="Times New Roman" w:hAnsi="Times New Roman" w:cs="Times New Roman"/>
          <w:b/>
          <w:bCs/>
          <w:color w:val="000000"/>
        </w:rPr>
        <w:t xml:space="preserve">JUNHO/2026</w:t>
      </w:r>
    </w:p>
    <w:p>
      <w:r>
        <w:rPr>
          <w:rFonts w:ascii="Times New Roman" w:hAnsi="Times New Roman" w:cs="Times New Roman"/>
          <w:color w:val="000000"/>
        </w:rPr>
        <w:br w:type="page"/>
      </w:r>
    </w:p>
    <w:p>
      <w:pPr>
        <w:pStyle w:val="BodyText"/>
        <w:ind w:firstLine="0"/>
        <w:jc w:val="center"/>
      </w:pPr>
      <w:r>
        <w:rPr>
          <w:rFonts w:ascii="Times New Roman" w:hAnsi="Times New Roman" w:cs="Times New Roman"/>
          <w:b/>
          <w:bCs/>
          <w:color w:val="000000"/>
        </w:rPr>
        <w:t xml:space="preserve">PEDRO PAULO HENRICHS NETO</w:t>
      </w:r>
    </w:p>
    <w:p>
      <w:pPr>
        <w:pStyle w:val="BodyText"/>
      </w:pPr>
      <w:r>
        <w:rPr>
          <w:rFonts w:ascii="Times New Roman" w:hAnsi="Times New Roman" w:cs="Times New Roman"/>
          <w:color w:val="000000"/>
        </w:rPr>
        <w:br/>
      </w:r>
    </w:p>
    <w:p>
      <w:pPr>
        <w:pStyle w:val="BodyText"/>
        <w:ind w:firstLine="0"/>
        <w:jc w:val="center"/>
      </w:pPr>
      <w:r>
        <w:rPr>
          <w:rFonts w:ascii="Times New Roman" w:hAnsi="Times New Roman" w:cs="Times New Roman"/>
          <w:b/>
          <w:bCs/>
          <w:color w:val="000000"/>
        </w:rPr>
        <w:t xml:space="preserve">ENTRE HEGEMONIA E AUTONOMIA: OEA E CELAC NA DISPUTA PELA GOVERNANÇA REGIONAL LATINO-AMERICANA</w:t>
      </w:r>
    </w:p>
    <w:p>
      <w:pPr>
        <w:pStyle w:val="BodyText"/>
      </w:pPr>
      <w:r>
        <w:rPr>
          <w:rFonts w:ascii="Times New Roman" w:hAnsi="Times New Roman" w:cs="Times New Roman"/>
          <w:color w:val="000000"/>
        </w:rPr>
        <w:br/>
      </w:r>
    </w:p>
    <w:p>
      <w:pPr>
        <w:pStyle w:val="BlockText"/>
        <w:ind w:left="3969" w:firstLine="0"/>
        <w:jc w:val="both"/>
      </w:pPr>
      <w:r>
        <w:rPr>
          <w:rFonts w:ascii="Times New Roman" w:hAnsi="Times New Roman" w:cs="Times New Roman"/>
          <w:color w:val="000000"/>
        </w:rPr>
        <w:t xml:space="preserve">Projeto de pesquisa apresentado como requisito final para qualificação no âmbito do Mestrado Profissional em Ciência Política e Relações Internacionais, do Instituto Brasileiro de Ensino, Desenvolvimento e Pesquisa (IDP).</w:t>
      </w:r>
    </w:p>
    <w:p>
      <w:pPr>
        <w:pStyle w:val="BlockText"/>
        <w:ind w:left="3969" w:firstLine="0"/>
        <w:jc w:val="left"/>
      </w:pPr>
      <w:r>
        <w:rPr>
          <w:rFonts w:ascii="Times New Roman" w:hAnsi="Times New Roman" w:cs="Times New Roman"/>
          <w:color w:val="000000"/>
        </w:rPr>
        <w:t xml:space="preserve">Docentes orientadores: [a definir]</w:t>
      </w:r>
    </w:p>
    <w:p>
      <w:pPr>
        <w:pStyle w:val="FirstParagraph"/>
      </w:pPr>
      <w:r>
        <w:rPr>
          <w:rFonts w:ascii="Times New Roman" w:hAnsi="Times New Roman" w:cs="Times New Roman"/>
          <w:color w:val="000000"/>
        </w:rPr>
        <w:br/>
      </w:r>
    </w:p>
    <w:p>
      <w:pPr>
        <w:pStyle w:val="BodyText"/>
        <w:ind w:firstLine="0"/>
        <w:jc w:val="center"/>
      </w:pPr>
      <w:r>
        <w:rPr>
          <w:rFonts w:ascii="Times New Roman" w:hAnsi="Times New Roman" w:cs="Times New Roman"/>
          <w:b/>
          <w:bCs/>
          <w:color w:val="000000"/>
        </w:rPr>
        <w:t xml:space="preserve">BRASÍLIA/DF</w:t>
      </w:r>
    </w:p>
    <w:p>
      <w:pPr>
        <w:pStyle w:val="BodyText"/>
        <w:ind w:firstLine="0"/>
        <w:jc w:val="center"/>
      </w:pPr>
      <w:r>
        <w:rPr>
          <w:rFonts w:ascii="Times New Roman" w:hAnsi="Times New Roman" w:cs="Times New Roman"/>
          <w:b/>
          <w:bCs/>
          <w:color w:val="000000"/>
        </w:rPr>
        <w:t xml:space="preserve">JUNHO/2026</w:t>
      </w:r>
    </w:p>
    <w:p>
      <w:r>
        <w:rPr>
          <w:rFonts w:ascii="Times New Roman" w:hAnsi="Times New Roman" w:cs="Times New Roman"/>
          <w:color w:val="000000"/>
        </w:rPr>
        <w:br w:type="page"/>
      </w:r>
    </w:p>
    <w:bookmarkStart w:id="20" w:name="lista-de-quadros"/>
    <w:p>
      <w:pPr>
        <w:pStyle w:val="Heading2"/>
      </w:pPr>
      <w:r>
        <w:rPr>
          <w:rFonts w:ascii="Times New Roman" w:hAnsi="Times New Roman" w:cs="Times New Roman"/>
          <w:color w:val="000000"/>
        </w:rPr>
        <w:t xml:space="preserve">LISTA DE QUADROS</w:t>
      </w:r>
    </w:p>
    <w:p>
      <w:pPr>
        <w:pStyle w:val="FirstParagraph"/>
      </w:pPr>
      <w:r>
        <w:rPr>
          <w:rFonts w:ascii="Times New Roman" w:hAnsi="Times New Roman" w:cs="Times New Roman"/>
          <w:color w:val="000000"/>
        </w:rPr>
        <w:t xml:space="preserve">Quadro 1 - Casos selecionados</w:t>
      </w:r>
    </w:p>
    <w:p>
      <w:pPr>
        <w:pStyle w:val="BodyText"/>
      </w:pPr>
      <w:r>
        <w:rPr>
          <w:rFonts w:ascii="Times New Roman" w:hAnsi="Times New Roman" w:cs="Times New Roman"/>
          <w:color w:val="000000"/>
        </w:rPr>
        <w:t xml:space="preserve">Quadro 2 - Cronograma da pesquisa</w:t>
      </w:r>
    </w:p>
    <w:bookmarkEnd w:id="20"/>
    <w:bookmarkStart w:id="21" w:name="dicionário-de-abreviaturas-e-siglas"/>
    <w:p>
      <w:pPr>
        <w:pStyle w:val="Heading2"/>
      </w:pPr>
      <w:r>
        <w:rPr>
          <w:rFonts w:ascii="Times New Roman" w:hAnsi="Times New Roman" w:cs="Times New Roman"/>
          <w:color w:val="000000"/>
        </w:rPr>
        <w:t xml:space="preserve">DICIONÁRIO DE ABREVIATURAS E SIGLAS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spacing w:line="240" w:lineRule="auto" w:before="40" w:after="40"/>
              <w:ind w:firstLine="0"/>
              <w:jc w:val="left"/>
            </w:pPr>
            <w:r>
              <w:rPr>
                <w:rFonts w:ascii="Times New Roman" w:hAnsi="Times New Roman" w:cs="Times New Roman"/>
                <w:sz w:val="20"/>
              </w:rPr>
              <w:t xml:space="preserve">Sigla / Abreviatura</w:t>
            </w:r>
          </w:p>
        </w:tc>
        <w:tc>
          <w:tcPr/>
          <w:p>
            <w:pPr>
              <w:pStyle w:val="Compact"/>
              <w:spacing w:line="240" w:lineRule="auto" w:before="40" w:after="40"/>
              <w:ind w:firstLine="0"/>
              <w:jc w:val="left"/>
            </w:pPr>
            <w:r>
              <w:rPr>
                <w:rFonts w:ascii="Times New Roman" w:hAnsi="Times New Roman" w:cs="Times New Roman"/>
                <w:sz w:val="20"/>
              </w:rPr>
              <w:t xml:space="preserve">Significado Completo</w:t>
            </w:r>
          </w:p>
        </w:tc>
        <w:tc>
          <w:tcPr/>
          <w:p>
            <w:pPr>
              <w:pStyle w:val="Compact"/>
              <w:spacing w:line="240" w:lineRule="auto" w:before="40" w:after="40"/>
              <w:ind w:firstLine="0"/>
              <w:jc w:val="left"/>
            </w:pPr>
            <w:r>
              <w:rPr>
                <w:rFonts w:ascii="Times New Roman" w:hAnsi="Times New Roman" w:cs="Times New Roman"/>
                <w:sz w:val="20"/>
              </w:rPr>
              <w:t xml:space="preserve">Contexto no Projeto</w:t>
            </w:r>
          </w:p>
        </w:tc>
      </w:tr>
      <w:tr>
        <w:tc>
          <w:tcPr/>
          <w:p>
            <w:pPr>
              <w:pStyle w:val="Compact"/>
              <w:spacing w:line="240" w:lineRule="auto" w:before="40" w:after="40"/>
              <w:ind w:firstLine="0"/>
              <w:jc w:val="left"/>
            </w:pPr>
            <w:r>
              <w:rPr>
                <w:rFonts w:ascii="Times New Roman" w:hAnsi="Times New Roman" w:cs="Times New Roman"/>
                <w:sz w:val="20"/>
              </w:rPr>
              <w:t xml:space="preserve">ACQ</w:t>
            </w:r>
          </w:p>
        </w:tc>
        <w:tc>
          <w:tcPr/>
          <w:p>
            <w:pPr>
              <w:pStyle w:val="Compact"/>
              <w:spacing w:line="240" w:lineRule="auto" w:before="40" w:after="40"/>
              <w:ind w:firstLine="0"/>
              <w:jc w:val="left"/>
            </w:pPr>
            <w:r>
              <w:rPr>
                <w:rFonts w:ascii="Times New Roman" w:hAnsi="Times New Roman" w:cs="Times New Roman"/>
                <w:sz w:val="20"/>
              </w:rPr>
              <w:t xml:space="preserve">Análise de Conteúdo Qualitativa</w:t>
            </w:r>
          </w:p>
        </w:tc>
        <w:tc>
          <w:tcPr/>
          <w:p>
            <w:pPr>
              <w:pStyle w:val="Compact"/>
              <w:spacing w:line="240" w:lineRule="auto" w:before="40" w:after="40"/>
              <w:ind w:firstLine="0"/>
              <w:jc w:val="left"/>
            </w:pPr>
            <w:r>
              <w:rPr>
                <w:rFonts w:ascii="Times New Roman" w:hAnsi="Times New Roman" w:cs="Times New Roman"/>
                <w:sz w:val="20"/>
              </w:rPr>
              <w:t xml:space="preserve">Técnica metodológica utilizada para analisar a Narrativa Política.</w:t>
            </w:r>
          </w:p>
        </w:tc>
      </w:tr>
      <w:tr>
        <w:tc>
          <w:tcPr/>
          <w:p>
            <w:pPr>
              <w:pStyle w:val="Compact"/>
              <w:spacing w:line="240" w:lineRule="auto" w:before="40" w:after="40"/>
              <w:ind w:firstLine="0"/>
              <w:jc w:val="left"/>
            </w:pPr>
            <w:r>
              <w:rPr>
                <w:rFonts w:ascii="Times New Roman" w:hAnsi="Times New Roman" w:cs="Times New Roman"/>
                <w:sz w:val="20"/>
              </w:rPr>
              <w:t xml:space="preserve">ALBA</w:t>
            </w:r>
          </w:p>
        </w:tc>
        <w:tc>
          <w:tcPr/>
          <w:p>
            <w:pPr>
              <w:pStyle w:val="Compact"/>
              <w:spacing w:line="240" w:lineRule="auto" w:before="40" w:after="40"/>
              <w:ind w:firstLine="0"/>
              <w:jc w:val="left"/>
            </w:pPr>
            <w:r>
              <w:rPr>
                <w:rFonts w:ascii="Times New Roman" w:hAnsi="Times New Roman" w:cs="Times New Roman"/>
                <w:sz w:val="20"/>
              </w:rPr>
              <w:t xml:space="preserve">Aliança Bolivariana para os Povos de Nossa América</w:t>
            </w:r>
          </w:p>
        </w:tc>
        <w:tc>
          <w:tcPr/>
          <w:p>
            <w:pPr>
              <w:pStyle w:val="Compact"/>
              <w:spacing w:line="240" w:lineRule="auto" w:before="40" w:after="40"/>
              <w:ind w:firstLine="0"/>
              <w:jc w:val="left"/>
            </w:pPr>
            <w:r>
              <w:rPr>
                <w:rFonts w:ascii="Times New Roman" w:hAnsi="Times New Roman" w:cs="Times New Roman"/>
                <w:sz w:val="20"/>
              </w:rPr>
              <w:t xml:space="preserve">Organismo pós-hegemônico correlato, citado na Revisão da Literatura.</w:t>
            </w:r>
          </w:p>
        </w:tc>
      </w:tr>
      <w:tr>
        <w:tc>
          <w:tcPr/>
          <w:p>
            <w:pPr>
              <w:pStyle w:val="Compact"/>
              <w:spacing w:line="240" w:lineRule="auto" w:before="40" w:after="40"/>
              <w:ind w:firstLine="0"/>
              <w:jc w:val="left"/>
            </w:pPr>
            <w:r>
              <w:rPr>
                <w:rFonts w:ascii="Times New Roman" w:hAnsi="Times New Roman" w:cs="Times New Roman"/>
                <w:sz w:val="20"/>
              </w:rPr>
              <w:t xml:space="preserve">CELAC</w:t>
            </w:r>
          </w:p>
        </w:tc>
        <w:tc>
          <w:tcPr/>
          <w:p>
            <w:pPr>
              <w:pStyle w:val="Compact"/>
              <w:spacing w:line="240" w:lineRule="auto" w:before="40" w:after="40"/>
              <w:ind w:firstLine="0"/>
              <w:jc w:val="left"/>
            </w:pPr>
            <w:r>
              <w:rPr>
                <w:rFonts w:ascii="Times New Roman" w:hAnsi="Times New Roman" w:cs="Times New Roman"/>
                <w:sz w:val="20"/>
              </w:rPr>
              <w:t xml:space="preserve">Comunidade de Estados Latino-Americanos e Caribenhos</w:t>
            </w:r>
          </w:p>
        </w:tc>
        <w:tc>
          <w:tcPr/>
          <w:p>
            <w:pPr>
              <w:pStyle w:val="Compact"/>
              <w:spacing w:line="240" w:lineRule="auto" w:before="40" w:after="40"/>
              <w:ind w:firstLine="0"/>
              <w:jc w:val="left"/>
            </w:pPr>
            <w:r>
              <w:rPr>
                <w:rFonts w:ascii="Times New Roman" w:hAnsi="Times New Roman" w:cs="Times New Roman"/>
                <w:sz w:val="20"/>
              </w:rPr>
              <w:t xml:space="preserve">Fórum pós-hegemônico e foco principal da comparação.</w:t>
            </w:r>
          </w:p>
        </w:tc>
      </w:tr>
      <w:tr>
        <w:tc>
          <w:tcPr/>
          <w:p>
            <w:pPr>
              <w:pStyle w:val="Compact"/>
              <w:spacing w:line="240" w:lineRule="auto" w:before="40" w:after="40"/>
              <w:ind w:firstLine="0"/>
              <w:jc w:val="left"/>
            </w:pPr>
            <w:r>
              <w:rPr>
                <w:rFonts w:ascii="Times New Roman" w:hAnsi="Times New Roman" w:cs="Times New Roman"/>
                <w:sz w:val="20"/>
              </w:rPr>
              <w:t xml:space="preserve">CEPAL</w:t>
            </w:r>
          </w:p>
        </w:tc>
        <w:tc>
          <w:tcPr/>
          <w:p>
            <w:pPr>
              <w:pStyle w:val="Compact"/>
              <w:spacing w:line="240" w:lineRule="auto" w:before="40" w:after="40"/>
              <w:ind w:firstLine="0"/>
              <w:jc w:val="left"/>
            </w:pPr>
            <w:r>
              <w:rPr>
                <w:rFonts w:ascii="Times New Roman" w:hAnsi="Times New Roman" w:cs="Times New Roman"/>
                <w:sz w:val="20"/>
              </w:rPr>
              <w:t xml:space="preserve">Comissão Econômica para a América Latina e o Caribe</w:t>
            </w:r>
          </w:p>
        </w:tc>
        <w:tc>
          <w:tcPr/>
          <w:p>
            <w:pPr>
              <w:pStyle w:val="Compact"/>
              <w:spacing w:line="240" w:lineRule="auto" w:before="40" w:after="40"/>
              <w:ind w:firstLine="0"/>
              <w:jc w:val="left"/>
            </w:pPr>
            <w:r>
              <w:rPr>
                <w:rFonts w:ascii="Times New Roman" w:hAnsi="Times New Roman" w:cs="Times New Roman"/>
                <w:sz w:val="20"/>
              </w:rPr>
              <w:t xml:space="preserve">Fonte de dados e contexto para o regionalismo.</w:t>
            </w:r>
          </w:p>
        </w:tc>
      </w:tr>
      <w:tr>
        <w:tc>
          <w:tcPr/>
          <w:p>
            <w:pPr>
              <w:pStyle w:val="Compact"/>
              <w:spacing w:line="240" w:lineRule="auto" w:before="40" w:after="40"/>
              <w:ind w:firstLine="0"/>
              <w:jc w:val="left"/>
            </w:pPr>
            <w:r>
              <w:rPr>
                <w:rFonts w:ascii="Times New Roman" w:hAnsi="Times New Roman" w:cs="Times New Roman"/>
                <w:sz w:val="20"/>
              </w:rPr>
              <w:t xml:space="preserve">CIDH</w:t>
            </w:r>
          </w:p>
        </w:tc>
        <w:tc>
          <w:tcPr/>
          <w:p>
            <w:pPr>
              <w:pStyle w:val="Compact"/>
              <w:spacing w:line="240" w:lineRule="auto" w:before="40" w:after="40"/>
              <w:ind w:firstLine="0"/>
              <w:jc w:val="left"/>
            </w:pPr>
            <w:r>
              <w:rPr>
                <w:rFonts w:ascii="Times New Roman" w:hAnsi="Times New Roman" w:cs="Times New Roman"/>
                <w:sz w:val="20"/>
              </w:rPr>
              <w:t xml:space="preserve">Comissão Interamericana de Direitos Humanos</w:t>
            </w:r>
          </w:p>
        </w:tc>
        <w:tc>
          <w:tcPr/>
          <w:p>
            <w:pPr>
              <w:pStyle w:val="Compact"/>
              <w:spacing w:line="240" w:lineRule="auto" w:before="40" w:after="40"/>
              <w:ind w:firstLine="0"/>
              <w:jc w:val="left"/>
            </w:pPr>
            <w:r>
              <w:rPr>
                <w:rFonts w:ascii="Times New Roman" w:hAnsi="Times New Roman" w:cs="Times New Roman"/>
                <w:sz w:val="20"/>
              </w:rPr>
              <w:t xml:space="preserve">Órgão especializado da OEA, crucial na avaliação de direitos humanos.</w:t>
            </w:r>
          </w:p>
        </w:tc>
      </w:tr>
      <w:tr>
        <w:tc>
          <w:tcPr/>
          <w:p>
            <w:pPr>
              <w:pStyle w:val="Compact"/>
              <w:spacing w:line="240" w:lineRule="auto" w:before="40" w:after="40"/>
              <w:ind w:firstLine="0"/>
              <w:jc w:val="left"/>
            </w:pPr>
            <w:r>
              <w:rPr>
                <w:rFonts w:ascii="Times New Roman" w:hAnsi="Times New Roman" w:cs="Times New Roman"/>
                <w:sz w:val="20"/>
              </w:rPr>
              <w:t xml:space="preserve">EUA</w:t>
            </w:r>
          </w:p>
        </w:tc>
        <w:tc>
          <w:tcPr/>
          <w:p>
            <w:pPr>
              <w:pStyle w:val="Compact"/>
              <w:spacing w:line="240" w:lineRule="auto" w:before="40" w:after="40"/>
              <w:ind w:firstLine="0"/>
              <w:jc w:val="left"/>
            </w:pPr>
            <w:r>
              <w:rPr>
                <w:rFonts w:ascii="Times New Roman" w:hAnsi="Times New Roman" w:cs="Times New Roman"/>
                <w:sz w:val="20"/>
              </w:rPr>
              <w:t xml:space="preserve">Estados Unidos da América</w:t>
            </w:r>
          </w:p>
        </w:tc>
        <w:tc>
          <w:tcPr/>
          <w:p>
            <w:pPr>
              <w:pStyle w:val="Compact"/>
              <w:spacing w:line="240" w:lineRule="auto" w:before="40" w:after="40"/>
              <w:ind w:firstLine="0"/>
              <w:jc w:val="left"/>
            </w:pPr>
            <w:r>
              <w:rPr>
                <w:rFonts w:ascii="Times New Roman" w:hAnsi="Times New Roman" w:cs="Times New Roman"/>
                <w:sz w:val="20"/>
              </w:rPr>
              <w:t xml:space="preserve">Principal ator da hegemonia regional, excluído da CELAC.</w:t>
            </w:r>
          </w:p>
        </w:tc>
      </w:tr>
      <w:tr>
        <w:tc>
          <w:tcPr/>
          <w:p>
            <w:pPr>
              <w:pStyle w:val="Compact"/>
              <w:spacing w:line="240" w:lineRule="auto" w:before="40" w:after="40"/>
              <w:ind w:firstLine="0"/>
              <w:jc w:val="left"/>
            </w:pPr>
            <w:r>
              <w:rPr>
                <w:rFonts w:ascii="Times New Roman" w:hAnsi="Times New Roman" w:cs="Times New Roman"/>
                <w:sz w:val="20"/>
              </w:rPr>
              <w:t xml:space="preserve">MAPP</w:t>
            </w:r>
          </w:p>
        </w:tc>
        <w:tc>
          <w:tcPr/>
          <w:p>
            <w:pPr>
              <w:pStyle w:val="Compact"/>
              <w:spacing w:line="240" w:lineRule="auto" w:before="40" w:after="40"/>
              <w:ind w:firstLine="0"/>
              <w:jc w:val="left"/>
            </w:pPr>
            <w:r>
              <w:rPr>
                <w:rFonts w:ascii="Times New Roman" w:hAnsi="Times New Roman" w:cs="Times New Roman"/>
                <w:sz w:val="20"/>
              </w:rPr>
              <w:t xml:space="preserve">Missão de Apoio ao Processo de Paz na Colômbia</w:t>
            </w:r>
          </w:p>
        </w:tc>
        <w:tc>
          <w:tcPr/>
          <w:p>
            <w:pPr>
              <w:pStyle w:val="Compact"/>
              <w:spacing w:line="240" w:lineRule="auto" w:before="40" w:after="40"/>
              <w:ind w:firstLine="0"/>
              <w:jc w:val="left"/>
            </w:pPr>
            <w:r>
              <w:rPr>
                <w:rFonts w:ascii="Times New Roman" w:hAnsi="Times New Roman" w:cs="Times New Roman"/>
                <w:sz w:val="20"/>
              </w:rPr>
              <w:t xml:space="preserve">Mecanismo de atuação da OEA em um dos estudos de caso.</w:t>
            </w:r>
          </w:p>
        </w:tc>
      </w:tr>
      <w:tr>
        <w:tc>
          <w:tcPr/>
          <w:p>
            <w:pPr>
              <w:pStyle w:val="Compact"/>
              <w:spacing w:line="240" w:lineRule="auto" w:before="40" w:after="40"/>
              <w:ind w:firstLine="0"/>
              <w:jc w:val="left"/>
            </w:pPr>
            <w:r>
              <w:rPr>
                <w:rFonts w:ascii="Times New Roman" w:hAnsi="Times New Roman" w:cs="Times New Roman"/>
                <w:sz w:val="20"/>
              </w:rPr>
              <w:t xml:space="preserve">MERCOSUL</w:t>
            </w:r>
          </w:p>
        </w:tc>
        <w:tc>
          <w:tcPr/>
          <w:p>
            <w:pPr>
              <w:pStyle w:val="Compact"/>
              <w:spacing w:line="240" w:lineRule="auto" w:before="40" w:after="40"/>
              <w:ind w:firstLine="0"/>
              <w:jc w:val="left"/>
            </w:pPr>
            <w:r>
              <w:rPr>
                <w:rFonts w:ascii="Times New Roman" w:hAnsi="Times New Roman" w:cs="Times New Roman"/>
                <w:sz w:val="20"/>
              </w:rPr>
              <w:t xml:space="preserve">Mercado Comum do Sul</w:t>
            </w:r>
          </w:p>
        </w:tc>
        <w:tc>
          <w:tcPr/>
          <w:p>
            <w:pPr>
              <w:pStyle w:val="Compact"/>
              <w:spacing w:line="240" w:lineRule="auto" w:before="40" w:after="40"/>
              <w:ind w:firstLine="0"/>
              <w:jc w:val="left"/>
            </w:pPr>
            <w:r>
              <w:rPr>
                <w:rFonts w:ascii="Times New Roman" w:hAnsi="Times New Roman" w:cs="Times New Roman"/>
                <w:sz w:val="20"/>
              </w:rPr>
              <w:t xml:space="preserve">Bloco regional citado na comparação de ações no caso Paraguai.</w:t>
            </w:r>
          </w:p>
        </w:tc>
      </w:tr>
      <w:tr>
        <w:tc>
          <w:tcPr/>
          <w:p>
            <w:pPr>
              <w:pStyle w:val="Compact"/>
              <w:spacing w:line="240" w:lineRule="auto" w:before="40" w:after="40"/>
              <w:ind w:firstLine="0"/>
              <w:jc w:val="left"/>
            </w:pPr>
            <w:r>
              <w:rPr>
                <w:rFonts w:ascii="Times New Roman" w:hAnsi="Times New Roman" w:cs="Times New Roman"/>
                <w:sz w:val="20"/>
              </w:rPr>
              <w:t xml:space="preserve">NV-AUT</w:t>
            </w:r>
          </w:p>
        </w:tc>
        <w:tc>
          <w:tcPr/>
          <w:p>
            <w:pPr>
              <w:pStyle w:val="Compact"/>
              <w:spacing w:line="240" w:lineRule="auto" w:before="40" w:after="40"/>
              <w:ind w:firstLine="0"/>
              <w:jc w:val="left"/>
            </w:pPr>
            <w:r>
              <w:rPr>
                <w:rFonts w:ascii="Times New Roman" w:hAnsi="Times New Roman" w:cs="Times New Roman"/>
                <w:sz w:val="20"/>
              </w:rPr>
              <w:t xml:space="preserve">Autodeterminação dos Povos (Código de Análise)</w:t>
            </w:r>
          </w:p>
        </w:tc>
        <w:tc>
          <w:tcPr/>
          <w:p>
            <w:pPr>
              <w:pStyle w:val="Compact"/>
              <w:spacing w:line="240" w:lineRule="auto" w:before="40" w:after="40"/>
              <w:ind w:firstLine="0"/>
              <w:jc w:val="left"/>
            </w:pPr>
            <w:r>
              <w:rPr>
                <w:rFonts w:ascii="Times New Roman" w:hAnsi="Times New Roman" w:cs="Times New Roman"/>
                <w:sz w:val="20"/>
              </w:rPr>
              <w:t xml:space="preserve">Código primário para a codificação da Narrativa Política.</w:t>
            </w:r>
          </w:p>
        </w:tc>
      </w:tr>
      <w:tr>
        <w:tc>
          <w:tcPr/>
          <w:p>
            <w:pPr>
              <w:pStyle w:val="Compact"/>
              <w:spacing w:line="240" w:lineRule="auto" w:before="40" w:after="40"/>
              <w:ind w:firstLine="0"/>
              <w:jc w:val="left"/>
            </w:pPr>
            <w:r>
              <w:rPr>
                <w:rFonts w:ascii="Times New Roman" w:hAnsi="Times New Roman" w:cs="Times New Roman"/>
                <w:sz w:val="20"/>
              </w:rPr>
              <w:t xml:space="preserve">NV-NI</w:t>
            </w:r>
          </w:p>
        </w:tc>
        <w:tc>
          <w:tcPr/>
          <w:p>
            <w:pPr>
              <w:pStyle w:val="Compact"/>
              <w:spacing w:line="240" w:lineRule="auto" w:before="40" w:after="40"/>
              <w:ind w:firstLine="0"/>
              <w:jc w:val="left"/>
            </w:pPr>
            <w:r>
              <w:rPr>
                <w:rFonts w:ascii="Times New Roman" w:hAnsi="Times New Roman" w:cs="Times New Roman"/>
                <w:sz w:val="20"/>
              </w:rPr>
              <w:t xml:space="preserve">Não-Intervenção / Não-Ingerência (Código de Análise)</w:t>
            </w:r>
          </w:p>
        </w:tc>
        <w:tc>
          <w:tcPr/>
          <w:p>
            <w:pPr>
              <w:pStyle w:val="Compact"/>
              <w:spacing w:line="240" w:lineRule="auto" w:before="40" w:after="40"/>
              <w:ind w:firstLine="0"/>
              <w:jc w:val="left"/>
            </w:pPr>
            <w:r>
              <w:rPr>
                <w:rFonts w:ascii="Times New Roman" w:hAnsi="Times New Roman" w:cs="Times New Roman"/>
                <w:sz w:val="20"/>
              </w:rPr>
              <w:t xml:space="preserve">Código primário para a codificação da Narrativa Política.</w:t>
            </w:r>
          </w:p>
        </w:tc>
      </w:tr>
      <w:tr>
        <w:tc>
          <w:tcPr/>
          <w:p>
            <w:pPr>
              <w:pStyle w:val="Compact"/>
              <w:spacing w:line="240" w:lineRule="auto" w:before="40" w:after="40"/>
              <w:ind w:firstLine="0"/>
              <w:jc w:val="left"/>
            </w:pPr>
            <w:r>
              <w:rPr>
                <w:rFonts w:ascii="Times New Roman" w:hAnsi="Times New Roman" w:cs="Times New Roman"/>
                <w:sz w:val="20"/>
              </w:rPr>
              <w:t xml:space="preserve">NV-SOB</w:t>
            </w:r>
          </w:p>
        </w:tc>
        <w:tc>
          <w:tcPr/>
          <w:p>
            <w:pPr>
              <w:pStyle w:val="Compact"/>
              <w:spacing w:line="240" w:lineRule="auto" w:before="40" w:after="40"/>
              <w:ind w:firstLine="0"/>
              <w:jc w:val="left"/>
            </w:pPr>
            <w:r>
              <w:rPr>
                <w:rFonts w:ascii="Times New Roman" w:hAnsi="Times New Roman" w:cs="Times New Roman"/>
                <w:sz w:val="20"/>
              </w:rPr>
              <w:t xml:space="preserve">Soberania Nacional (Código de Análise)</w:t>
            </w:r>
          </w:p>
        </w:tc>
        <w:tc>
          <w:tcPr/>
          <w:p>
            <w:pPr>
              <w:pStyle w:val="Compact"/>
              <w:spacing w:line="240" w:lineRule="auto" w:before="40" w:after="40"/>
              <w:ind w:firstLine="0"/>
              <w:jc w:val="left"/>
            </w:pPr>
            <w:r>
              <w:rPr>
                <w:rFonts w:ascii="Times New Roman" w:hAnsi="Times New Roman" w:cs="Times New Roman"/>
                <w:sz w:val="20"/>
              </w:rPr>
              <w:t xml:space="preserve">Código primário para a codificação da Narrativa Política.</w:t>
            </w:r>
          </w:p>
        </w:tc>
      </w:tr>
      <w:tr>
        <w:tc>
          <w:tcPr/>
          <w:p>
            <w:pPr>
              <w:pStyle w:val="Compact"/>
              <w:spacing w:line="240" w:lineRule="auto" w:before="40" w:after="40"/>
              <w:ind w:firstLine="0"/>
              <w:jc w:val="left"/>
            </w:pPr>
            <w:r>
              <w:rPr>
                <w:rFonts w:ascii="Times New Roman" w:hAnsi="Times New Roman" w:cs="Times New Roman"/>
                <w:sz w:val="20"/>
              </w:rPr>
              <w:t xml:space="preserve">OEA</w:t>
            </w:r>
          </w:p>
        </w:tc>
        <w:tc>
          <w:tcPr/>
          <w:p>
            <w:pPr>
              <w:pStyle w:val="Compact"/>
              <w:spacing w:line="240" w:lineRule="auto" w:before="40" w:after="40"/>
              <w:ind w:firstLine="0"/>
              <w:jc w:val="left"/>
            </w:pPr>
            <w:r>
              <w:rPr>
                <w:rFonts w:ascii="Times New Roman" w:hAnsi="Times New Roman" w:cs="Times New Roman"/>
                <w:sz w:val="20"/>
              </w:rPr>
              <w:t xml:space="preserve">Organização dos Estados Americanos</w:t>
            </w:r>
          </w:p>
        </w:tc>
        <w:tc>
          <w:tcPr/>
          <w:p>
            <w:pPr>
              <w:pStyle w:val="Compact"/>
              <w:spacing w:line="240" w:lineRule="auto" w:before="40" w:after="40"/>
              <w:ind w:firstLine="0"/>
              <w:jc w:val="left"/>
            </w:pPr>
            <w:r>
              <w:rPr>
                <w:rFonts w:ascii="Times New Roman" w:hAnsi="Times New Roman" w:cs="Times New Roman"/>
                <w:sz w:val="20"/>
              </w:rPr>
              <w:t xml:space="preserve">Instituição hegemônica e foco principal da comparação.</w:t>
            </w:r>
          </w:p>
        </w:tc>
      </w:tr>
      <w:tr>
        <w:tc>
          <w:tcPr/>
          <w:p>
            <w:pPr>
              <w:pStyle w:val="Compact"/>
              <w:spacing w:line="240" w:lineRule="auto" w:before="40" w:after="40"/>
              <w:ind w:firstLine="0"/>
              <w:jc w:val="left"/>
            </w:pPr>
            <w:r>
              <w:rPr>
                <w:rFonts w:ascii="Times New Roman" w:hAnsi="Times New Roman" w:cs="Times New Roman"/>
                <w:sz w:val="20"/>
              </w:rPr>
              <w:t xml:space="preserve">ONU</w:t>
            </w:r>
          </w:p>
        </w:tc>
        <w:tc>
          <w:tcPr/>
          <w:p>
            <w:pPr>
              <w:pStyle w:val="Compact"/>
              <w:spacing w:line="240" w:lineRule="auto" w:before="40" w:after="40"/>
              <w:ind w:firstLine="0"/>
              <w:jc w:val="left"/>
            </w:pPr>
            <w:r>
              <w:rPr>
                <w:rFonts w:ascii="Times New Roman" w:hAnsi="Times New Roman" w:cs="Times New Roman"/>
                <w:sz w:val="20"/>
              </w:rPr>
              <w:t xml:space="preserve">Organização das Nações Unidas</w:t>
            </w:r>
          </w:p>
        </w:tc>
        <w:tc>
          <w:tcPr/>
          <w:p>
            <w:pPr>
              <w:pStyle w:val="Compact"/>
              <w:spacing w:line="240" w:lineRule="auto" w:before="40" w:after="40"/>
              <w:ind w:firstLine="0"/>
              <w:jc w:val="left"/>
            </w:pPr>
            <w:r>
              <w:rPr>
                <w:rFonts w:ascii="Times New Roman" w:hAnsi="Times New Roman" w:cs="Times New Roman"/>
                <w:sz w:val="20"/>
              </w:rPr>
              <w:t xml:space="preserve">Organismo multilateral de referência, citado na coleta de dados.</w:t>
            </w:r>
          </w:p>
        </w:tc>
      </w:tr>
      <w:tr>
        <w:tc>
          <w:tcPr/>
          <w:p>
            <w:pPr>
              <w:pStyle w:val="Compact"/>
              <w:spacing w:line="240" w:lineRule="auto" w:before="40" w:after="40"/>
              <w:ind w:firstLine="0"/>
              <w:jc w:val="left"/>
            </w:pPr>
            <w:r>
              <w:rPr>
                <w:rFonts w:ascii="Times New Roman" w:hAnsi="Times New Roman" w:cs="Times New Roman"/>
                <w:sz w:val="20"/>
              </w:rPr>
              <w:t xml:space="preserve">PPT</w:t>
            </w:r>
          </w:p>
        </w:tc>
        <w:tc>
          <w:tcPr/>
          <w:p>
            <w:pPr>
              <w:pStyle w:val="Compact"/>
              <w:spacing w:line="240" w:lineRule="auto" w:before="40" w:after="40"/>
              <w:ind w:firstLine="0"/>
              <w:jc w:val="left"/>
            </w:pPr>
            <w:r>
              <w:rPr>
                <w:rFonts w:ascii="Times New Roman" w:hAnsi="Times New Roman" w:cs="Times New Roman"/>
                <w:sz w:val="20"/>
              </w:rPr>
              <w:t xml:space="preserve">Presidência Pro Tempore</w:t>
            </w:r>
          </w:p>
        </w:tc>
        <w:tc>
          <w:tcPr/>
          <w:p>
            <w:pPr>
              <w:pStyle w:val="Compact"/>
              <w:spacing w:line="240" w:lineRule="auto" w:before="40" w:after="40"/>
              <w:ind w:firstLine="0"/>
              <w:jc w:val="left"/>
            </w:pPr>
            <w:r>
              <w:rPr>
                <w:rFonts w:ascii="Times New Roman" w:hAnsi="Times New Roman" w:cs="Times New Roman"/>
                <w:sz w:val="20"/>
              </w:rPr>
              <w:t xml:space="preserve">Mecanismo de liderança temporária e rotativa da CELAC.</w:t>
            </w:r>
          </w:p>
        </w:tc>
      </w:tr>
      <w:tr>
        <w:tc>
          <w:tcPr/>
          <w:p>
            <w:pPr>
              <w:pStyle w:val="Compact"/>
              <w:spacing w:line="240" w:lineRule="auto" w:before="40" w:after="40"/>
              <w:ind w:firstLine="0"/>
              <w:jc w:val="left"/>
            </w:pPr>
            <w:r>
              <w:rPr>
                <w:rFonts w:ascii="Times New Roman" w:hAnsi="Times New Roman" w:cs="Times New Roman"/>
                <w:sz w:val="20"/>
              </w:rPr>
              <w:t xml:space="preserve">UNASUL</w:t>
            </w:r>
          </w:p>
        </w:tc>
        <w:tc>
          <w:tcPr/>
          <w:p>
            <w:pPr>
              <w:pStyle w:val="Compact"/>
              <w:spacing w:line="240" w:lineRule="auto" w:before="40" w:after="40"/>
              <w:ind w:firstLine="0"/>
              <w:jc w:val="left"/>
            </w:pPr>
            <w:r>
              <w:rPr>
                <w:rFonts w:ascii="Times New Roman" w:hAnsi="Times New Roman" w:cs="Times New Roman"/>
                <w:sz w:val="20"/>
              </w:rPr>
              <w:t xml:space="preserve">União de Nações Sul-Americanas</w:t>
            </w:r>
          </w:p>
        </w:tc>
        <w:tc>
          <w:tcPr/>
          <w:p>
            <w:pPr>
              <w:pStyle w:val="Compact"/>
              <w:spacing w:line="240" w:lineRule="auto" w:before="40" w:after="40"/>
              <w:ind w:firstLine="0"/>
              <w:jc w:val="left"/>
            </w:pPr>
            <w:r>
              <w:rPr>
                <w:rFonts w:ascii="Times New Roman" w:hAnsi="Times New Roman" w:cs="Times New Roman"/>
                <w:sz w:val="20"/>
              </w:rPr>
              <w:t xml:space="preserve">Organismo pós-hegemônico correlato, citado na Revisão da Literatura.</w:t>
            </w:r>
          </w:p>
        </w:tc>
      </w:tr>
    </w:tbl>
    <w:bookmarkEnd w:id="21"/>
    <w:bookmarkStart w:id="22" w:name="sumário"/>
    <w:p>
      <w:pPr>
        <w:pStyle w:val="Heading2"/>
      </w:pPr>
      <w:r>
        <w:rPr>
          <w:rFonts w:ascii="Times New Roman" w:hAnsi="Times New Roman" w:cs="Times New Roman"/>
          <w:color w:val="000000"/>
        </w:rPr>
        <w:t xml:space="preserve">SUMÁRIO</w:t>
      </w:r>
    </w:p>
    <w:p>
      <w:pPr>
        <w:pStyle w:val="FirstParagraph"/>
      </w:pPr>
      <w:r>
        <w:rPr>
          <w:rFonts w:ascii="Times New Roman" w:hAnsi="Times New Roman" w:cs="Times New Roman"/>
          <w:b/>
          <w:bCs/>
          <w:color w:val="000000"/>
        </w:rPr>
        <w:t xml:space="preserve">1 TEMA</w:t>
      </w:r>
    </w:p>
    <w:p>
      <w:pPr>
        <w:pStyle w:val="BodyText"/>
      </w:pPr>
      <w:r>
        <w:rPr>
          <w:rFonts w:ascii="Times New Roman" w:hAnsi="Times New Roman" w:cs="Times New Roman"/>
          <w:b/>
          <w:bCs/>
          <w:color w:val="000000"/>
        </w:rPr>
        <w:t xml:space="preserve">2 PERGUNTA DE PESQUISA</w:t>
      </w:r>
    </w:p>
    <w:p>
      <w:pPr>
        <w:pStyle w:val="BodyText"/>
      </w:pPr>
      <w:r>
        <w:rPr>
          <w:rFonts w:ascii="Times New Roman" w:hAnsi="Times New Roman" w:cs="Times New Roman"/>
          <w:b/>
          <w:bCs/>
          <w:color w:val="000000"/>
        </w:rPr>
        <w:t xml:space="preserve">3 JUSTIFICATIVA</w:t>
      </w:r>
    </w:p>
    <w:p>
      <w:pPr>
        <w:pStyle w:val="BodyText"/>
      </w:pPr>
      <w:r>
        <w:rPr>
          <w:rFonts w:ascii="Times New Roman" w:hAnsi="Times New Roman" w:cs="Times New Roman"/>
          <w:color w:val="000000"/>
        </w:rPr>
        <w:t xml:space="preserve">3.1 Relevância Acadêmica e Lacuna de Pesquisa</w:t>
      </w:r>
    </w:p>
    <w:p>
      <w:pPr>
        <w:pStyle w:val="BodyText"/>
      </w:pPr>
      <w:r>
        <w:rPr>
          <w:rFonts w:ascii="Times New Roman" w:hAnsi="Times New Roman" w:cs="Times New Roman"/>
          <w:color w:val="000000"/>
        </w:rPr>
        <w:t xml:space="preserve">3.2 Relevância Política e de Governança</w:t>
      </w:r>
    </w:p>
    <w:p>
      <w:pPr>
        <w:pStyle w:val="BodyText"/>
      </w:pPr>
      <w:r>
        <w:rPr>
          <w:rFonts w:ascii="Times New Roman" w:hAnsi="Times New Roman" w:cs="Times New Roman"/>
          <w:b/>
          <w:bCs/>
          <w:color w:val="000000"/>
        </w:rPr>
        <w:t xml:space="preserve">4 REVISÃO DA LITERATURA E REFERENCIAL TEÓRICO</w:t>
      </w:r>
    </w:p>
    <w:p>
      <w:pPr>
        <w:pStyle w:val="BodyText"/>
      </w:pPr>
      <w:r>
        <w:rPr>
          <w:rFonts w:ascii="Times New Roman" w:hAnsi="Times New Roman" w:cs="Times New Roman"/>
          <w:color w:val="000000"/>
        </w:rPr>
        <w:t xml:space="preserve">4.1 A OEA e a tradição interamericana</w:t>
      </w:r>
    </w:p>
    <w:p>
      <w:pPr>
        <w:pStyle w:val="BodyText"/>
      </w:pPr>
      <w:r>
        <w:rPr>
          <w:rFonts w:ascii="Times New Roman" w:hAnsi="Times New Roman" w:cs="Times New Roman"/>
          <w:color w:val="000000"/>
        </w:rPr>
        <w:t xml:space="preserve">4.2 A emergência da CELAC</w:t>
      </w:r>
    </w:p>
    <w:p>
      <w:pPr>
        <w:pStyle w:val="BodyText"/>
      </w:pPr>
      <w:r>
        <w:rPr>
          <w:rFonts w:ascii="Times New Roman" w:hAnsi="Times New Roman" w:cs="Times New Roman"/>
          <w:color w:val="000000"/>
        </w:rPr>
        <w:t xml:space="preserve">4.3 Regionalismo pós-hegemônico</w:t>
      </w:r>
    </w:p>
    <w:p>
      <w:pPr>
        <w:pStyle w:val="BodyText"/>
      </w:pPr>
      <w:r>
        <w:rPr>
          <w:rFonts w:ascii="Times New Roman" w:hAnsi="Times New Roman" w:cs="Times New Roman"/>
          <w:color w:val="000000"/>
        </w:rPr>
        <w:t xml:space="preserve">4.4 Hegemonia, autonomia e política externa</w:t>
      </w:r>
    </w:p>
    <w:p>
      <w:pPr>
        <w:pStyle w:val="BodyText"/>
      </w:pPr>
      <w:r>
        <w:rPr>
          <w:rFonts w:ascii="Times New Roman" w:hAnsi="Times New Roman" w:cs="Times New Roman"/>
          <w:b/>
          <w:bCs/>
          <w:color w:val="000000"/>
        </w:rPr>
        <w:t xml:space="preserve">5 ESTUDOS DE CASO</w:t>
      </w:r>
    </w:p>
    <w:p>
      <w:pPr>
        <w:pStyle w:val="BodyText"/>
      </w:pPr>
      <w:r>
        <w:rPr>
          <w:rFonts w:ascii="Times New Roman" w:hAnsi="Times New Roman" w:cs="Times New Roman"/>
          <w:b/>
          <w:bCs/>
          <w:color w:val="000000"/>
        </w:rPr>
        <w:t xml:space="preserve">6 HIPÓTESES</w:t>
      </w:r>
    </w:p>
    <w:p>
      <w:pPr>
        <w:pStyle w:val="BodyText"/>
      </w:pPr>
      <w:r>
        <w:rPr>
          <w:rFonts w:ascii="Times New Roman" w:hAnsi="Times New Roman" w:cs="Times New Roman"/>
          <w:color w:val="000000"/>
        </w:rPr>
        <w:t xml:space="preserve">6.1 Hipótese Central</w:t>
      </w:r>
    </w:p>
    <w:p>
      <w:pPr>
        <w:pStyle w:val="BodyText"/>
      </w:pPr>
      <w:r>
        <w:rPr>
          <w:rFonts w:ascii="Times New Roman" w:hAnsi="Times New Roman" w:cs="Times New Roman"/>
          <w:color w:val="000000"/>
        </w:rPr>
        <w:t xml:space="preserve">6.2 Hipótese Secundária</w:t>
      </w:r>
    </w:p>
    <w:p>
      <w:pPr>
        <w:pStyle w:val="BodyText"/>
      </w:pPr>
      <w:r>
        <w:rPr>
          <w:rFonts w:ascii="Times New Roman" w:hAnsi="Times New Roman" w:cs="Times New Roman"/>
          <w:b/>
          <w:bCs/>
          <w:color w:val="000000"/>
        </w:rPr>
        <w:t xml:space="preserve">7 MÉTODO DE ABORDAGEM</w:t>
      </w:r>
    </w:p>
    <w:p>
      <w:pPr>
        <w:pStyle w:val="BodyText"/>
      </w:pPr>
      <w:r>
        <w:rPr>
          <w:rFonts w:ascii="Times New Roman" w:hAnsi="Times New Roman" w:cs="Times New Roman"/>
          <w:color w:val="000000"/>
        </w:rPr>
        <w:t xml:space="preserve">7.1 Método Comparativo e Variáveis de Estudo</w:t>
      </w:r>
    </w:p>
    <w:p>
      <w:pPr>
        <w:pStyle w:val="BodyText"/>
      </w:pPr>
      <w:r>
        <w:rPr>
          <w:rFonts w:ascii="Times New Roman" w:hAnsi="Times New Roman" w:cs="Times New Roman"/>
          <w:color w:val="000000"/>
        </w:rPr>
        <w:t xml:space="preserve">7.2 Seleção e Justificativa dos Casos</w:t>
      </w:r>
    </w:p>
    <w:p>
      <w:pPr>
        <w:pStyle w:val="BodyText"/>
      </w:pPr>
      <w:r>
        <w:rPr>
          <w:rFonts w:ascii="Times New Roman" w:hAnsi="Times New Roman" w:cs="Times New Roman"/>
          <w:color w:val="000000"/>
        </w:rPr>
        <w:t xml:space="preserve">7.3 Pesquisa Documental</w:t>
      </w:r>
    </w:p>
    <w:p>
      <w:pPr>
        <w:pStyle w:val="BodyText"/>
      </w:pPr>
      <w:r>
        <w:rPr>
          <w:rFonts w:ascii="Times New Roman" w:hAnsi="Times New Roman" w:cs="Times New Roman"/>
          <w:color w:val="000000"/>
        </w:rPr>
        <w:t xml:space="preserve">7.4 Entrevistas (Etapa Complementar, Pós-Qualificação)</w:t>
      </w:r>
    </w:p>
    <w:p>
      <w:pPr>
        <w:pStyle w:val="BodyText"/>
      </w:pPr>
      <w:r>
        <w:rPr>
          <w:rFonts w:ascii="Times New Roman" w:hAnsi="Times New Roman" w:cs="Times New Roman"/>
          <w:color w:val="000000"/>
        </w:rPr>
        <w:t xml:space="preserve">7.5 Procedimentos de Análise</w:t>
      </w:r>
    </w:p>
    <w:p>
      <w:pPr>
        <w:pStyle w:val="BodyText"/>
      </w:pPr>
      <w:r>
        <w:rPr>
          <w:rFonts w:ascii="Times New Roman" w:hAnsi="Times New Roman" w:cs="Times New Roman"/>
          <w:color w:val="000000"/>
        </w:rPr>
        <w:t xml:space="preserve">7.6 Limitações Metodológicas</w:t>
      </w:r>
    </w:p>
    <w:p>
      <w:pPr>
        <w:pStyle w:val="BodyText"/>
      </w:pPr>
      <w:r>
        <w:rPr>
          <w:rFonts w:ascii="Times New Roman" w:hAnsi="Times New Roman" w:cs="Times New Roman"/>
          <w:b/>
          <w:bCs/>
          <w:color w:val="000000"/>
        </w:rPr>
        <w:t xml:space="preserve">8 CRONOGRAMA DE PESQUISA</w:t>
      </w:r>
    </w:p>
    <w:p>
      <w:pPr>
        <w:pStyle w:val="BodyText"/>
      </w:pPr>
      <w:r>
        <w:rPr>
          <w:rFonts w:ascii="Times New Roman" w:hAnsi="Times New Roman" w:cs="Times New Roman"/>
          <w:b/>
          <w:bCs/>
          <w:color w:val="000000"/>
        </w:rPr>
        <w:t xml:space="preserve">9 REFERÊNCIAS</w:t>
      </w:r>
    </w:p>
    <w:p>
      <w:r>
        <w:rPr>
          <w:rFonts w:ascii="Times New Roman" w:hAnsi="Times New Roman" w:cs="Times New Roman"/>
          <w:color w:val="000000"/>
        </w:rPr>
        <w:pict>
          <v:rect style="width:0;height:1.5pt" o:hralign="center" o:hrstd="t" o:hr="t"/>
        </w:pict>
      </w:r>
    </w:p>
    <w:bookmarkEnd w:id="22"/>
    <w:bookmarkStart w:id="23" w:name="tema"/>
    <w:p>
      <w:pPr>
        <w:pStyle w:val="Heading2"/>
        <w:pageBreakBefore/>
      </w:pPr>
      <w:r>
        <w:rPr>
          <w:rFonts w:ascii="Times New Roman" w:hAnsi="Times New Roman" w:cs="Times New Roman"/>
          <w:color w:val="000000"/>
        </w:rPr>
        <w:t xml:space="preserve">1 TEMA</w:t>
      </w:r>
    </w:p>
    <w:p>
      <w:pPr>
        <w:pStyle w:val="FirstParagraph"/>
      </w:pPr>
      <w:r>
        <w:rPr>
          <w:rFonts w:ascii="Times New Roman" w:hAnsi="Times New Roman" w:cs="Times New Roman"/>
          <w:color w:val="000000"/>
        </w:rPr>
        <w:t xml:space="preserve">O presente trabalho de pesquisa propõe investigar a disputa entre diferentes modelos de governança regional na América Latina e no Caribe, tendo como foco comparativo a Organização dos Estados Americanos (OEA) e a Comunidade de Estados Latino-Americanos e Caribenhos (CELAC).</w:t>
      </w:r>
    </w:p>
    <w:p>
      <w:pPr>
        <w:pStyle w:val="BodyText"/>
      </w:pPr>
      <w:r>
        <w:rPr>
          <w:rFonts w:ascii="Times New Roman" w:hAnsi="Times New Roman" w:cs="Times New Roman"/>
          <w:color w:val="000000"/>
        </w:rPr>
        <w:t xml:space="preserve">O tema insere-se no debate mais amplo sobre o regionalismo pós-hegemônico, conceito formulado por autoras como Pía Riggirozzi e Diana Tussie que descrevem um modelo de integração surgido nos anos 2000, em reação tanto ao neoliberalismo quanto à hegemonia estadunidense. O objetivo central é compreender em que medida a CELAC, mesmo sem a institucionalidade rígida de organismos tradicionais, pode ser interpretada como uma alternativa pós-hegemônica diante da OEA, que historicamente se consolidou como braço institucional da hegemonia estadunidense no hemisfério.</w:t>
      </w:r>
    </w:p>
    <w:p>
      <w:pPr>
        <w:pStyle w:val="BodyText"/>
      </w:pPr>
      <w:r>
        <w:rPr>
          <w:rFonts w:ascii="Times New Roman" w:hAnsi="Times New Roman" w:cs="Times New Roman"/>
          <w:color w:val="000000"/>
        </w:rPr>
        <w:t xml:space="preserve">A OEA, fundada em 1948, no contexto da Guerra Fria, com sede em Washington, foi dotada de uma estrutura robusta, com carta constitutiva, orçamento regular, secretariado permanente e órgãos especializados, como a Comissão Interamericana de Direitos Humanos (CIDH). Contudo, essa institucionalidade gerou a percepção de que a OEA é um mecanismo instrumentalizado pelos Estados Unidos para projetar sua influência política na região. Já a CELAC, criada em 2010 e formalmente institucionalizada em 2011, distingue-se por ser um fórum intergovernamental flexível, sem sede permanente, carta constitutiva ou orçamento fixo. O seu traço mais marcante é a exclusão deliberada dos Estados Unidos e do Canadá, reunindo os 33 países da América Latina e do Caribe. Ao se organizar dessa forma, a CELAC afirma sua vocação política de criar um espaço de diálogo regional livre da tutela de Washington.</w:t>
      </w:r>
    </w:p>
    <w:p>
      <w:pPr>
        <w:pStyle w:val="BodyText"/>
      </w:pPr>
      <w:r>
        <w:rPr>
          <w:rFonts w:ascii="Times New Roman" w:hAnsi="Times New Roman" w:cs="Times New Roman"/>
          <w:color w:val="000000"/>
        </w:rPr>
        <w:t xml:space="preserve">A relevância deste estudo reside na lacuna de uma análise comparativa aprofundada que examine como a coexistência desses dois modelos, o interamericanismo tradicional da OEA e o regionalismo pós-hegemônico da CELAC, se manifesta nas crises regionais específicas, investigando as dinâmicas de governança, legitimidade e eficácia de cada organismo.</w:t>
      </w:r>
    </w:p>
    <w:bookmarkEnd w:id="23"/>
    <w:bookmarkStart w:id="24" w:name="pergunta-de-pesquisa"/>
    <w:p>
      <w:pPr>
        <w:pStyle w:val="Heading2"/>
      </w:pPr>
      <w:r>
        <w:rPr>
          <w:rFonts w:ascii="Times New Roman" w:hAnsi="Times New Roman" w:cs="Times New Roman"/>
          <w:color w:val="000000"/>
        </w:rPr>
        <w:t xml:space="preserve">2 PERGUNTA DE PESQUISA</w:t>
      </w:r>
    </w:p>
    <w:p>
      <w:pPr>
        <w:pStyle w:val="FirstParagraph"/>
      </w:pPr>
      <w:r>
        <w:rPr>
          <w:rFonts w:ascii="Times New Roman" w:hAnsi="Times New Roman" w:cs="Times New Roman"/>
          <w:color w:val="000000"/>
        </w:rPr>
        <w:t xml:space="preserve">Em que medida a dualidade entre a Institucionalidade da OEA e a Narrativa Política da CELAC se manifesta na eficácia e seletividade da governança regional latino-americana em crises de ruptura democrática?</w:t>
      </w:r>
    </w:p>
    <w:bookmarkEnd w:id="24"/>
    <w:bookmarkStart w:id="27" w:name="justificativa"/>
    <w:p>
      <w:pPr>
        <w:pStyle w:val="Heading2"/>
      </w:pPr>
      <w:r>
        <w:rPr>
          <w:rFonts w:ascii="Times New Roman" w:hAnsi="Times New Roman" w:cs="Times New Roman"/>
          <w:color w:val="000000"/>
        </w:rPr>
        <w:t xml:space="preserve">3 JUSTIFICATIVA</w:t>
      </w:r>
    </w:p>
    <w:p>
      <w:pPr>
        <w:pStyle w:val="FirstParagraph"/>
      </w:pPr>
      <w:r>
        <w:rPr>
          <w:rFonts w:ascii="Times New Roman" w:hAnsi="Times New Roman" w:cs="Times New Roman"/>
          <w:color w:val="000000"/>
        </w:rPr>
        <w:t xml:space="preserve">O presente trabalho de pesquisa é de fundamental importância e justifica-se plenamente em três dimensões distintas: a contribuição robusta para o debate acadêmico, a relevância crítica para a política externa e a governança regional e o rigor metodológico que atesta sua viabilidade.</w:t>
      </w:r>
    </w:p>
    <w:bookmarkStart w:id="25" w:name="X477f8e8a88dfc552d57f42d8ac79a0bff7f8975"/>
    <w:p>
      <w:pPr>
        <w:pStyle w:val="Heading3"/>
      </w:pPr>
      <w:r>
        <w:rPr>
          <w:rFonts w:ascii="Times New Roman" w:hAnsi="Times New Roman" w:cs="Times New Roman"/>
          <w:color w:val="000000"/>
        </w:rPr>
        <w:t xml:space="preserve">3.1 Relevância Acadêmica e Lacuna de Pesquisa</w:t>
      </w:r>
    </w:p>
    <w:p>
      <w:pPr>
        <w:pStyle w:val="FirstParagraph"/>
      </w:pPr>
      <w:r>
        <w:rPr>
          <w:rFonts w:ascii="Times New Roman" w:hAnsi="Times New Roman" w:cs="Times New Roman"/>
          <w:color w:val="000000"/>
        </w:rPr>
        <w:t xml:space="preserve">A literatura sobre governança regional latino-americana é ampla, mas carece de estudos que comparem sistematicamente os modelos de integração em ação. O valor da pesquisa reside em ir além da descrição, propondo um avanço ao debate teórico sobre Hegemonia e Autonomia. Ao utilizar um método comparativo e a triangulação de dados, o estudo visa testar empiricamente a hipótese de que a legitimidade da CELAC reside na coerência discursiva (sua narrativa de soberania e não-intervenção), ao passo que a OEA tem sua legitimidade condicionada pela institucionalidade formal e pela seletividade. O trabalho justifica-se ao fornecer critérios claros para se medir a autonomia regional para além da mera retórica, focando na ruptura ideológica.</w:t>
      </w:r>
    </w:p>
    <w:p>
      <w:pPr>
        <w:pStyle w:val="BodyText"/>
      </w:pPr>
      <w:r>
        <w:rPr>
          <w:rFonts w:ascii="Times New Roman" w:hAnsi="Times New Roman" w:cs="Times New Roman"/>
          <w:color w:val="000000"/>
        </w:rPr>
        <w:t xml:space="preserve">A pertinência da lacuna não é meramente postulada: o autor vem realizando coleta documental sistemática desde março de 2025, quando da apresentação do projeto preliminar de seleção do mestrado, e o exercício mais recente, sobre o caso Honduras 2009, indica que uma comparação</w:t>
      </w:r>
      <w:r>
        <w:rPr>
          <w:rFonts w:ascii="Times New Roman" w:hAnsi="Times New Roman" w:cs="Times New Roman"/>
          <w:color w:val="000000"/>
        </w:rPr>
        <w:t xml:space="preserve"> </w:t>
      </w:r>
      <w:r>
        <w:rPr>
          <w:rFonts w:ascii="Times New Roman" w:hAnsi="Times New Roman" w:cs="Times New Roman"/>
          <w:b/>
          <w:bCs/>
          <w:color w:val="000000"/>
        </w:rPr>
        <w:t xml:space="preserve">trinária</w:t>
      </w:r>
      <w:r>
        <w:rPr>
          <w:rFonts w:ascii="Times New Roman" w:hAnsi="Times New Roman" w:cs="Times New Roman"/>
          <w:color w:val="000000"/>
        </w:rPr>
        <w:t xml:space="preserve"> </w:t>
      </w:r>
      <w:r>
        <w:rPr>
          <w:rFonts w:ascii="Times New Roman" w:hAnsi="Times New Roman" w:cs="Times New Roman"/>
          <w:color w:val="000000"/>
        </w:rPr>
        <w:t xml:space="preserve">entre OEA, SICA e proto-CELAC se mostra analíticamente mais informativa do que a leitura habitual da literatura, que tipicamente contrapõe apenas OEA e CELAC. Os dados primários coletados sugerem que, em junho-julho de 2009, a ação mais célere e materialmente mais incisiva contra o regime de fato em Honduras partiu de uma instância sub-regional centro-americana (SICA, em 29/06/2009), seis dias antes da suspensão formal pela OEA via Carta Democrática Interamericana (04/07/2009), e que a cúpula fundacional da CELAC, em fevereiro de 2010 em Cancún, foi articulada politicamente pela diplomacia mexicana como resposta direta a esse episódio, em coletiva de imprensa de sua Chanceler. Esse achado preliminar, devidamente fichado no banco documental do projeto, reforça a relevância acadêmica da pesquisa ao indicar que há, de fato, dados empíricos primários em volume suficiente para sustentar as hipóteses formuladas, e que tais dados produzem inflexões interpretativas não triviais em relação à leitura predominante.</w:t>
      </w:r>
    </w:p>
    <w:bookmarkEnd w:id="25"/>
    <w:bookmarkStart w:id="26" w:name="relevância-política-e-de-governança"/>
    <w:p>
      <w:pPr>
        <w:pStyle w:val="Heading3"/>
      </w:pPr>
      <w:r>
        <w:rPr>
          <w:rFonts w:ascii="Times New Roman" w:hAnsi="Times New Roman" w:cs="Times New Roman"/>
          <w:color w:val="000000"/>
        </w:rPr>
        <w:t xml:space="preserve">3.2 Relevância Política e de Governança</w:t>
      </w:r>
    </w:p>
    <w:p>
      <w:pPr>
        <w:pStyle w:val="FirstParagraph"/>
      </w:pPr>
      <w:r>
        <w:rPr>
          <w:rFonts w:ascii="Times New Roman" w:hAnsi="Times New Roman" w:cs="Times New Roman"/>
          <w:color w:val="000000"/>
        </w:rPr>
        <w:t xml:space="preserve">Do ponto de vista da Política Externa e das Relações Internacionais, o estudo é crucial para entender a utilidade funcional de cada organismo e a dinâmica de acomodação e autonomia da política externa latino-americana. A análise detalhada da seletividade da OEA (como nos casos de Honduras e Paraguai) e da legitimidade discursiva da CELAC (discurso de soberania) fornece subsídios essenciais para diplomatas e formuladores de política externa. A pesquisa justifica-se ao indicar caminhos para fortalecer mecanismos regionais de resolução de crises que sejam percebidos como legítimos pelos Estados latino-americanos, reduzindo a dependência da influência externa. A compreensão dessa dualidade funcional, OEA normativa/coercitiva vs. CELAC política/dialógica, é vital para os países que atuam em ambos os arranjos institucionais.</w:t>
      </w:r>
    </w:p>
    <w:bookmarkEnd w:id="26"/>
    <w:bookmarkEnd w:id="27"/>
    <w:bookmarkStart w:id="32" w:name="X81e83ad287208d8927d48b753ccf1f1c27da98f"/>
    <w:p>
      <w:pPr>
        <w:pStyle w:val="Heading2"/>
      </w:pPr>
      <w:r>
        <w:rPr>
          <w:rFonts w:ascii="Times New Roman" w:hAnsi="Times New Roman" w:cs="Times New Roman"/>
          <w:color w:val="000000"/>
        </w:rPr>
        <w:t xml:space="preserve">4 REVISÃO DA LITERATURA E REFERENCIAL TEÓRICO</w:t>
      </w:r>
    </w:p>
    <w:p>
      <w:pPr>
        <w:pStyle w:val="FirstParagraph"/>
      </w:pPr>
      <w:r>
        <w:rPr>
          <w:rFonts w:ascii="Times New Roman" w:hAnsi="Times New Roman" w:cs="Times New Roman"/>
          <w:color w:val="000000"/>
        </w:rPr>
        <w:t xml:space="preserve">A revisão de literatura e o referencial teórico são organizados em quatro blocos: (a) a tradição interamericana representada pela OEA; (b) a emergência da CELAC como fórum político; (c) a conceituação do regionalismo pós-hegemônico; e (d) os debates sobre hegemonia e autonomia na política externa latino-americana.</w:t>
      </w:r>
    </w:p>
    <w:bookmarkStart w:id="28" w:name="a-oea-e-a-tradição-interamericana"/>
    <w:p>
      <w:pPr>
        <w:pStyle w:val="Heading3"/>
      </w:pPr>
      <w:r>
        <w:rPr>
          <w:rFonts w:ascii="Times New Roman" w:hAnsi="Times New Roman" w:cs="Times New Roman"/>
          <w:color w:val="000000"/>
        </w:rPr>
        <w:t xml:space="preserve">4.1 A OEA e a tradição interamericana</w:t>
      </w:r>
    </w:p>
    <w:p>
      <w:pPr>
        <w:pStyle w:val="FirstParagraph"/>
      </w:pPr>
      <w:r>
        <w:rPr>
          <w:rFonts w:ascii="Times New Roman" w:hAnsi="Times New Roman" w:cs="Times New Roman"/>
          <w:color w:val="000000"/>
        </w:rPr>
        <w:t xml:space="preserve">A OEA foi criada na Conferência de Bogotá, em 1948, como parte do esforço estadunidense de consolidar sua liderança hemisférica no início da Guerra Fria. A Carta da OEA estabeleceu princípios como democracia representativa, defesa coletiva e não intervenção (Meyer, 2025). Contudo, na prática, a organização operou como instrumento da política externa dos EUA (Harmer, 2019).</w:t>
      </w:r>
    </w:p>
    <w:p>
      <w:pPr>
        <w:pStyle w:val="BodyText"/>
      </w:pPr>
      <w:r>
        <w:rPr>
          <w:rFonts w:ascii="Times New Roman" w:hAnsi="Times New Roman" w:cs="Times New Roman"/>
          <w:color w:val="000000"/>
        </w:rPr>
        <w:t xml:space="preserve">Exemplos não faltam. Em 1962, a OEA suspendeu Cuba após a revolução socialista liderada por Fidel Castro, alegando incompatibilidade entre marxismo-leninismo e os princípios do sistema interamericano. Essa decisão simbolizou a exclusão ideológica e reforçou a percepção de que a OEA servia como braço da Guerra Fria (Harmer, 2019).</w:t>
      </w:r>
    </w:p>
    <w:p>
      <w:pPr>
        <w:pStyle w:val="BodyText"/>
      </w:pPr>
      <w:r>
        <w:rPr>
          <w:rFonts w:ascii="Times New Roman" w:hAnsi="Times New Roman" w:cs="Times New Roman"/>
          <w:color w:val="000000"/>
        </w:rPr>
        <w:t xml:space="preserve">Outro episódio foi a intervenção na República Dominicana em 1965. Sob o pretexto de conter o avanço do comunismo, os EUA enviaram tropas ao país caribenho e a OEA legitimou a ação, estabelecendo a Força Interamericana de Paz. Esse caso reforçou críticas de que a organização, em vez de garantir a não intervenção, funcionava como mecanismo de validação para a política de segurança de Washington (Lowenthal, 1995).</w:t>
      </w:r>
    </w:p>
    <w:p>
      <w:pPr>
        <w:pStyle w:val="BodyText"/>
      </w:pPr>
      <w:r>
        <w:rPr>
          <w:rFonts w:ascii="Times New Roman" w:hAnsi="Times New Roman" w:cs="Times New Roman"/>
          <w:color w:val="000000"/>
        </w:rPr>
        <w:t xml:space="preserve">Nas décadas de 1970 e 1980, a OEA conviveu com ditaduras militares em diversos países do Cone Sul. Apesar de dispor da CIDH desde 1959, o organismo teve dificuldades para enfrentar violações de direitos humanos. Ainda assim, a CIDH publicou relatórios históricos denunciando abusos na Argentina (1979) e no Chile (1985). Tais relatórios, embora relevantes, foram insuficientes para reverter a percepção de seletividade e ineficácia (Sikkink, 2014).</w:t>
      </w:r>
    </w:p>
    <w:p>
      <w:pPr>
        <w:pStyle w:val="BodyText"/>
      </w:pPr>
      <w:r>
        <w:rPr>
          <w:rFonts w:ascii="Times New Roman" w:hAnsi="Times New Roman" w:cs="Times New Roman"/>
          <w:color w:val="000000"/>
        </w:rPr>
        <w:t xml:space="preserve">Nos anos 1990, com a redemocratização da região e o fim da Guerra Fria, a OEA buscou se reposicionar como defensora da democracia. Foi nesse contexto que lançou missões de observação eleitoral e, em 2001, aprovou a Carta Democrática Interamericana. Esse documento representou um avanço normativo importante, ao afirmar a democracia como princípio constitutivo da ordem hemisférica, mas sua aplicação prática continuou desigual e dependente da vontade política dos Estados membros (Perina, 2003).</w:t>
      </w:r>
    </w:p>
    <w:p>
      <w:pPr>
        <w:pStyle w:val="BodyText"/>
      </w:pPr>
      <w:r>
        <w:rPr>
          <w:rFonts w:ascii="Times New Roman" w:hAnsi="Times New Roman" w:cs="Times New Roman"/>
          <w:color w:val="000000"/>
        </w:rPr>
        <w:t xml:space="preserve">Em Honduras (2009), após o golpe contra Manuel Zelaya, a OEA suspendeu o país em apenas seis dias, a resolução AG/RES 2 (XXXVII-E/09), aprovada em sessão extraordinária da Assembleia Geral em 4 de julho de 2009, foi o primeiro acionamento integral da Carta Democrática Interamericana de 2001, demonstrando rapidez normativa sem precedentes (Cooper; Legler, 2006; Heine; Weiffen, 2015). O relatório integral da Comissão Interamericana de Direitos Humanos (CIDH, 2009), publicado em dezembro do mesmo ano, documentou em 155 páginas violações sistemáticas durante o governo de fato. No entanto, a rapidez normativa não se converteu em eficácia operacional: as eleições de 29 de novembro de 2009 ocorreram sob a administração Micheletti e foram reconhecidas pelos Estados Unidos antes mesmo da reintegração formal de Honduras à OEA (Long, 2017). Já no Paraguai (2012), diante do impeachment sumário de Fernando Lugo, a organização foi criticada por complacência e timidez, em contraste direto com a célere reação ao caso hondurenho. Essa seletividade reforça a tese de Malamud (2017), segundo a qual a OEA é ao mesmo tempo necessária e irrelevante: necessária porque mantém institucionalidade, irrelevante porque raramente atua de forma autônoma em relação aos EUA (Perina, 2003; Closa; Palestini, 2015).</w:t>
      </w:r>
    </w:p>
    <w:p>
      <w:pPr>
        <w:pStyle w:val="BodyText"/>
      </w:pPr>
      <w:r>
        <w:rPr>
          <w:rFonts w:ascii="Times New Roman" w:hAnsi="Times New Roman" w:cs="Times New Roman"/>
          <w:color w:val="000000"/>
        </w:rPr>
        <w:t xml:space="preserve">Do ponto de vista teórico, a OEA encarna o interamericanismo tradicional, baseado na centralidade de Washington e na crença de que a democracia e a estabilidade hemisférica só podem ser garantidas sob liderança estadunidense. Essa concepção, entretanto, entrou em crise à medida que emergiram alternativas regionais orientadas para a autonomia latino-americana e caribenha, como a CELAC, formuladas no marco do chamado regionalismo pós-hegemônico (Riggirozzi; Tussie, 2012).</w:t>
      </w:r>
    </w:p>
    <w:bookmarkEnd w:id="28"/>
    <w:bookmarkStart w:id="29" w:name="a-emergência-da-celac"/>
    <w:p>
      <w:pPr>
        <w:pStyle w:val="Heading3"/>
      </w:pPr>
      <w:r>
        <w:rPr>
          <w:rFonts w:ascii="Times New Roman" w:hAnsi="Times New Roman" w:cs="Times New Roman"/>
          <w:color w:val="000000"/>
        </w:rPr>
        <w:t xml:space="preserve">4.2 A emergência da CELAC</w:t>
      </w:r>
    </w:p>
    <w:p>
      <w:pPr>
        <w:pStyle w:val="FirstParagraph"/>
      </w:pPr>
      <w:r>
        <w:rPr>
          <w:rFonts w:ascii="Times New Roman" w:hAnsi="Times New Roman" w:cs="Times New Roman"/>
          <w:color w:val="000000"/>
        </w:rPr>
        <w:t xml:space="preserve">A CELAC surgiu em 2010, na Cúpula da Unidade da América Latina e do Caribe realizada em Cancún entre 22 e 23 de fevereiro daquele ano, e foi institucionalizada em 2011, em Caracas. Diferente da OEA, não é um organismo internacional com carta constitutiva, mas sim um fórum intergovernamental baseado no consenso. Reúne todos os 33 países da América Latina e Caribe, excluindo explicitamente os Estados Unidos e o Canadá (Malamud, 2017; Rojas Aravena, 2012).</w:t>
      </w:r>
    </w:p>
    <w:p>
      <w:pPr>
        <w:pStyle w:val="BodyText"/>
      </w:pPr>
      <w:r>
        <w:rPr>
          <w:rFonts w:ascii="Times New Roman" w:hAnsi="Times New Roman" w:cs="Times New Roman"/>
          <w:color w:val="000000"/>
        </w:rPr>
        <w:t xml:space="preserve">O caso hondurenho operou como</w:t>
      </w:r>
      <w:r>
        <w:rPr>
          <w:rFonts w:ascii="Times New Roman" w:hAnsi="Times New Roman" w:cs="Times New Roman"/>
          <w:color w:val="000000"/>
        </w:rPr>
        <w:t xml:space="preserve"> </w:t>
      </w:r>
      <w:r>
        <w:rPr>
          <w:rFonts w:ascii="Times New Roman" w:hAnsi="Times New Roman" w:cs="Times New Roman"/>
          <w:b/>
          <w:bCs/>
          <w:color w:val="000000"/>
        </w:rPr>
        <w:t xml:space="preserve">gatilho fundacional verbalizado</w:t>
      </w:r>
      <w:r>
        <w:rPr>
          <w:rFonts w:ascii="Times New Roman" w:hAnsi="Times New Roman" w:cs="Times New Roman"/>
          <w:color w:val="000000"/>
        </w:rPr>
        <w:t xml:space="preserve"> </w:t>
      </w:r>
      <w:r>
        <w:rPr>
          <w:rFonts w:ascii="Times New Roman" w:hAnsi="Times New Roman" w:cs="Times New Roman"/>
          <w:color w:val="000000"/>
        </w:rPr>
        <w:t xml:space="preserve">da CELAC. A coleta documental conduzida para este projeto sobre a cúpula de Cancún registra dois fatos relevantes: (i) a Honduras governada por Roberto Micheletti</w:t>
      </w:r>
      <w:r>
        <w:rPr>
          <w:rFonts w:ascii="Times New Roman" w:hAnsi="Times New Roman" w:cs="Times New Roman"/>
          <w:color w:val="000000"/>
        </w:rPr>
        <w:t xml:space="preserve"> </w:t>
      </w:r>
      <w:r>
        <w:rPr>
          <w:rFonts w:ascii="Times New Roman" w:hAnsi="Times New Roman" w:cs="Times New Roman"/>
          <w:b/>
          <w:bCs/>
          <w:color w:val="000000"/>
        </w:rPr>
        <w:t xml:space="preserve">não foi convidada</w:t>
      </w:r>
      <w:r>
        <w:rPr>
          <w:rFonts w:ascii="Times New Roman" w:hAnsi="Times New Roman" w:cs="Times New Roman"/>
          <w:color w:val="000000"/>
        </w:rPr>
        <w:t xml:space="preserve"> </w:t>
      </w:r>
      <w:r>
        <w:rPr>
          <w:rFonts w:ascii="Times New Roman" w:hAnsi="Times New Roman" w:cs="Times New Roman"/>
          <w:color w:val="000000"/>
        </w:rPr>
        <w:t xml:space="preserve">à cúpula; (ii) a Chanceler mexicana Patricia Espinosa, anfitriã e principal articuladora do encontro, afirmou em coletiva de imprensa que a CELAC nasceria com o propósito de</w:t>
      </w:r>
      <w:r>
        <w:rPr>
          <w:rFonts w:ascii="Times New Roman" w:hAnsi="Times New Roman" w:cs="Times New Roman"/>
          <w:color w:val="000000"/>
        </w:rPr>
        <w:t xml:space="preserve"> </w:t>
      </w:r>
      <w:r>
        <w:rPr>
          <w:rFonts w:ascii="Times New Roman" w:hAnsi="Times New Roman" w:cs="Times New Roman"/>
          <w:color w:val="000000"/>
        </w:rPr>
        <w:t xml:space="preserve">“</w:t>
      </w:r>
      <w:r>
        <w:rPr>
          <w:rFonts w:ascii="Times New Roman" w:hAnsi="Times New Roman" w:cs="Times New Roman"/>
          <w:color w:val="000000"/>
        </w:rPr>
        <w:t xml:space="preserve">evitar irrupções da ordem constitucional como a ocorrida em Honduras em junho de 2009</w:t>
      </w:r>
      <w:r>
        <w:rPr>
          <w:rFonts w:ascii="Times New Roman" w:hAnsi="Times New Roman" w:cs="Times New Roman"/>
          <w:color w:val="000000"/>
        </w:rPr>
        <w:t xml:space="preserve">”</w:t>
      </w:r>
      <w:r>
        <w:rPr>
          <w:rFonts w:ascii="Times New Roman" w:hAnsi="Times New Roman" w:cs="Times New Roman"/>
          <w:color w:val="000000"/>
        </w:rPr>
        <w:t xml:space="preserve">. A declaração final da cúpula não menciona Honduras nominalmente, silêncio diplomaticamente calculado e analiticamente revelador da gramática consensual do novo fórum, mas as falas oficiais paralelas inscrevem o episódio hondurenho como condição de possibilidade política do novo arranjo regional.</w:t>
      </w:r>
    </w:p>
    <w:p>
      <w:pPr>
        <w:pStyle w:val="BodyText"/>
      </w:pPr>
      <w:r>
        <w:rPr>
          <w:rFonts w:ascii="Times New Roman" w:hAnsi="Times New Roman" w:cs="Times New Roman"/>
          <w:color w:val="000000"/>
        </w:rPr>
        <w:t xml:space="preserve">A criação da CELAC reflete também o contexto político mais amplo da chamada</w:t>
      </w:r>
      <w:r>
        <w:rPr>
          <w:rFonts w:ascii="Times New Roman" w:hAnsi="Times New Roman" w:cs="Times New Roman"/>
          <w:color w:val="000000"/>
        </w:rPr>
        <w:t xml:space="preserve"> </w:t>
      </w:r>
      <w:r>
        <w:rPr>
          <w:rFonts w:ascii="Times New Roman" w:hAnsi="Times New Roman" w:cs="Times New Roman"/>
          <w:color w:val="000000"/>
        </w:rPr>
        <w:t xml:space="preserve">“</w:t>
      </w:r>
      <w:r>
        <w:rPr>
          <w:rFonts w:ascii="Times New Roman" w:hAnsi="Times New Roman" w:cs="Times New Roman"/>
          <w:color w:val="000000"/>
        </w:rPr>
        <w:t xml:space="preserve">onda progressista</w:t>
      </w:r>
      <w:r>
        <w:rPr>
          <w:rFonts w:ascii="Times New Roman" w:hAnsi="Times New Roman" w:cs="Times New Roman"/>
          <w:color w:val="000000"/>
        </w:rPr>
        <w:t xml:space="preserve">”</w:t>
      </w:r>
      <w:r>
        <w:rPr>
          <w:rFonts w:ascii="Times New Roman" w:hAnsi="Times New Roman" w:cs="Times New Roman"/>
          <w:color w:val="000000"/>
        </w:rPr>
        <w:t xml:space="preserve"> </w:t>
      </w:r>
      <w:r>
        <w:rPr>
          <w:rFonts w:ascii="Times New Roman" w:hAnsi="Times New Roman" w:cs="Times New Roman"/>
          <w:color w:val="000000"/>
        </w:rPr>
        <w:t xml:space="preserve">latino-americana. Presidentes como Hugo Chávez (Venezuela), Luiz Inácio Lula da Silva (Brasil), Rafael Correa (Equador) e Evo Morales (Bolívia) buscavam maior autonomia regional, afastando-se da lógica hegemônica da OEA. Nesse sentido, a CELAC nasceu como espaço de concertação política, e não como instituição com poderes jurídicos vinculantes.</w:t>
      </w:r>
    </w:p>
    <w:p>
      <w:pPr>
        <w:pStyle w:val="BodyText"/>
      </w:pPr>
      <w:r>
        <w:rPr>
          <w:rFonts w:ascii="Times New Roman" w:hAnsi="Times New Roman" w:cs="Times New Roman"/>
          <w:color w:val="000000"/>
        </w:rPr>
        <w:t xml:space="preserve">Sua fragilidade institucional é evidente: não possui sede, orçamento fixo, secretariado permanente ou mecanismos formais de sanção. No entanto, essa mesma fragilidade é interpretada por alguns autores como recurso político. Sanahuja (2014) argumenta que a CELAC é símbolo do regionalismo pós-hegemônico: ao excluir Washington, afirma autonomia regional; ao funcionar com base no consenso, reforça soberania dos Estados.</w:t>
      </w:r>
    </w:p>
    <w:p>
      <w:pPr>
        <w:pStyle w:val="BodyText"/>
      </w:pPr>
      <w:r>
        <w:rPr>
          <w:rFonts w:ascii="Times New Roman" w:hAnsi="Times New Roman" w:cs="Times New Roman"/>
          <w:color w:val="000000"/>
        </w:rPr>
        <w:t xml:space="preserve">A CELAC protagonizou declarações políticas relevantes. Em Havana, em 2014, proclamou a América Latina e o Caribe como uma</w:t>
      </w:r>
      <w:r>
        <w:rPr>
          <w:rFonts w:ascii="Times New Roman" w:hAnsi="Times New Roman" w:cs="Times New Roman"/>
          <w:color w:val="000000"/>
        </w:rPr>
        <w:t xml:space="preserve"> </w:t>
      </w:r>
      <w:r>
        <w:rPr>
          <w:rFonts w:ascii="Times New Roman" w:hAnsi="Times New Roman" w:cs="Times New Roman"/>
          <w:color w:val="000000"/>
        </w:rPr>
        <w:t xml:space="preserve">“</w:t>
      </w:r>
      <w:r>
        <w:rPr>
          <w:rFonts w:ascii="Times New Roman" w:hAnsi="Times New Roman" w:cs="Times New Roman"/>
          <w:color w:val="000000"/>
        </w:rPr>
        <w:t xml:space="preserve">zona de paz</w:t>
      </w:r>
      <w:r>
        <w:rPr>
          <w:rFonts w:ascii="Times New Roman" w:hAnsi="Times New Roman" w:cs="Times New Roman"/>
          <w:color w:val="000000"/>
        </w:rPr>
        <w:t xml:space="preserve">”</w:t>
      </w:r>
      <w:r>
        <w:rPr>
          <w:rFonts w:ascii="Times New Roman" w:hAnsi="Times New Roman" w:cs="Times New Roman"/>
          <w:color w:val="000000"/>
        </w:rPr>
        <w:t xml:space="preserve">, destacando a solução pacífica de controvérsias e o respeito à soberania (Serbin, 2012). Em outros momentos, atuou como espaço de diálogo sobre integração produtiva, infraestrutura e desenvolvimento sustentável, funcionando como um mecanismo político entre chefes de Estado e de governo, mais do que como uma organização internacional tradicional (Sanahuja, 2014).</w:t>
      </w:r>
    </w:p>
    <w:p>
      <w:pPr>
        <w:pStyle w:val="BodyText"/>
      </w:pPr>
      <w:r>
        <w:rPr>
          <w:rFonts w:ascii="Times New Roman" w:hAnsi="Times New Roman" w:cs="Times New Roman"/>
          <w:color w:val="000000"/>
        </w:rPr>
        <w:t xml:space="preserve">A CELAC também exerceu papel simbólico na reinserção de Cuba no cenário regional. Enquanto a OEA manteve a suspensão de Havana por décadas, a CELAC sempre contou com Cuba como membro pleno. Esse contraste evidencia o caráter inclusivo da CELAC e sua disposição de contestar exclusões ideológicas herdadas da Guerra Fria (Serbin, 2012; Sanahuja, 2014).</w:t>
      </w:r>
    </w:p>
    <w:p>
      <w:pPr>
        <w:pStyle w:val="BodyText"/>
      </w:pPr>
      <w:r>
        <w:rPr>
          <w:rFonts w:ascii="Times New Roman" w:hAnsi="Times New Roman" w:cs="Times New Roman"/>
          <w:color w:val="000000"/>
        </w:rPr>
        <w:t xml:space="preserve">Ainda que limitada em termos de capacidade operacional, a CELAC consolidou-se como foro alternativo que dá voz a uma concepção distinta de governança regional, mais orientada à autonomia política latino-americana e caribenha (Sanahuja, 2014).</w:t>
      </w:r>
    </w:p>
    <w:bookmarkEnd w:id="29"/>
    <w:bookmarkStart w:id="30" w:name="regionalismo-pós-hegemônico"/>
    <w:p>
      <w:pPr>
        <w:pStyle w:val="Heading3"/>
      </w:pPr>
      <w:r>
        <w:rPr>
          <w:rFonts w:ascii="Times New Roman" w:hAnsi="Times New Roman" w:cs="Times New Roman"/>
          <w:color w:val="000000"/>
        </w:rPr>
        <w:t xml:space="preserve">4.3 Regionalismo pós-hegemônico</w:t>
      </w:r>
    </w:p>
    <w:p>
      <w:pPr>
        <w:pStyle w:val="FirstParagraph"/>
      </w:pPr>
      <w:r>
        <w:rPr>
          <w:rFonts w:ascii="Times New Roman" w:hAnsi="Times New Roman" w:cs="Times New Roman"/>
          <w:color w:val="000000"/>
        </w:rPr>
        <w:t xml:space="preserve">O conceito de regionalismo pós-hegemônico é central para compreender a CELAC. Formulado por autores como Riggirozzi e Tussie (2012), descreve um modelo de integração que emergiu nos anos 2000, em reação tanto ao neoliberalismo dos anos 1990 quanto à hegemonia estadunidense.</w:t>
      </w:r>
    </w:p>
    <w:p>
      <w:pPr>
        <w:pStyle w:val="BodyText"/>
      </w:pPr>
      <w:r>
        <w:rPr>
          <w:rFonts w:ascii="Times New Roman" w:hAnsi="Times New Roman" w:cs="Times New Roman"/>
          <w:color w:val="000000"/>
        </w:rPr>
        <w:t xml:space="preserve">Três características principais marcam esse regionalismo:</w:t>
      </w:r>
    </w:p>
    <w:p>
      <w:pPr>
        <w:pStyle w:val="Compact"/>
        <w:numPr>
          <w:ilvl w:val="0"/>
          <w:numId w:val="1001"/>
        </w:numPr>
      </w:pPr>
      <w:r>
        <w:rPr>
          <w:rFonts w:ascii="Times New Roman" w:hAnsi="Times New Roman" w:cs="Times New Roman"/>
          <w:color w:val="000000"/>
        </w:rPr>
        <w:t xml:space="preserve">Exclusão dos EUA dos processos decisórios.</w:t>
      </w:r>
    </w:p>
    <w:p>
      <w:pPr>
        <w:pStyle w:val="Compact"/>
        <w:numPr>
          <w:ilvl w:val="0"/>
          <w:numId w:val="1001"/>
        </w:numPr>
      </w:pPr>
      <w:r>
        <w:rPr>
          <w:rFonts w:ascii="Times New Roman" w:hAnsi="Times New Roman" w:cs="Times New Roman"/>
          <w:color w:val="000000"/>
        </w:rPr>
        <w:t xml:space="preserve">Ênfase na soberania e na não intervenção.</w:t>
      </w:r>
    </w:p>
    <w:p>
      <w:pPr>
        <w:pStyle w:val="Compact"/>
        <w:numPr>
          <w:ilvl w:val="0"/>
          <w:numId w:val="1001"/>
        </w:numPr>
      </w:pPr>
      <w:r>
        <w:rPr>
          <w:rFonts w:ascii="Times New Roman" w:hAnsi="Times New Roman" w:cs="Times New Roman"/>
          <w:color w:val="000000"/>
        </w:rPr>
        <w:t xml:space="preserve">Flexibilidade institucional, sem regras vinculantes.</w:t>
      </w:r>
    </w:p>
    <w:p>
      <w:pPr>
        <w:pStyle w:val="FirstParagraph"/>
      </w:pPr>
      <w:r>
        <w:rPr>
          <w:rFonts w:ascii="Times New Roman" w:hAnsi="Times New Roman" w:cs="Times New Roman"/>
          <w:color w:val="000000"/>
        </w:rPr>
        <w:t xml:space="preserve">Briceño-Ruiz (2013) sustenta que o pós-hegemonismo não deve ser entendido apenas como resistência, mas também como afirmação de agendas próprias de desenvolvimento e inclusão social. Autores como Nolte (2018) acrescentam que o regionalismo pós-hegemônico expressa a fragmentação das iniciativas regionais, resultando em múltiplos arranjos parcialmente sobrepostos, entre eles CELAC, UNASUL e ALBA. Briceño-Ruiz (2018) refina o argumento ao distinguir entre regionalismo pós-liberal (oriented to development) e regionalismo pós-hegemônico (oriented to political autonomy), categorias que ajudam a precisar o lugar teórico da CELAC nesta pesquisa.</w:t>
      </w:r>
    </w:p>
    <w:p>
      <w:pPr>
        <w:pStyle w:val="BodyText"/>
      </w:pPr>
      <w:r>
        <w:rPr>
          <w:rFonts w:ascii="Times New Roman" w:hAnsi="Times New Roman" w:cs="Times New Roman"/>
          <w:color w:val="000000"/>
        </w:rPr>
        <w:t xml:space="preserve">Uma observação empírica complementar emerge do material do projeto sobre Honduras 2009: arranjos sub-regionais centro-americanos, em particular o Sistema da Integração Centro-Americana (SICA), exerceram em 29/06/2009 uma ação político-econômica concreta contra o regime de fato (suspensão de empréstimos pelo BCIE, fechamento de comércio terrestre por 48 horas, veto à delegação hondurenha)</w:t>
      </w:r>
      <w:r>
        <w:rPr>
          <w:rFonts w:ascii="Times New Roman" w:hAnsi="Times New Roman" w:cs="Times New Roman"/>
          <w:color w:val="000000"/>
        </w:rPr>
        <w:t xml:space="preserve"> </w:t>
      </w:r>
      <w:r>
        <w:rPr>
          <w:rFonts w:ascii="Times New Roman" w:hAnsi="Times New Roman" w:cs="Times New Roman"/>
          <w:b/>
          <w:bCs/>
          <w:color w:val="000000"/>
        </w:rPr>
        <w:t xml:space="preserve">um dia após</w:t>
      </w:r>
      <w:r>
        <w:rPr>
          <w:rFonts w:ascii="Times New Roman" w:hAnsi="Times New Roman" w:cs="Times New Roman"/>
          <w:color w:val="000000"/>
        </w:rPr>
        <w:t xml:space="preserve"> </w:t>
      </w:r>
      <w:r>
        <w:rPr>
          <w:rFonts w:ascii="Times New Roman" w:hAnsi="Times New Roman" w:cs="Times New Roman"/>
          <w:color w:val="000000"/>
        </w:rPr>
        <w:t xml:space="preserve">o golpe e cinco dias antes da suspensão pela OEA. Esse precedente sub-regional sugere que o regionalismo pós-hegemônico, antes de cristalizar-se em CELAC, já operava em camadas sub-continentais com capacidade operacional própria, hipótese a ser examinada na dissertação, sem onerar o recorte central do projeto.</w:t>
      </w:r>
    </w:p>
    <w:p>
      <w:pPr>
        <w:pStyle w:val="BodyText"/>
      </w:pPr>
      <w:r>
        <w:rPr>
          <w:rFonts w:ascii="Times New Roman" w:hAnsi="Times New Roman" w:cs="Times New Roman"/>
          <w:color w:val="000000"/>
        </w:rPr>
        <w:t xml:space="preserve">A CELAC exemplifica esse modelo ao priorizar soberania, consenso e inclusão. Seu funcionamento contrasta com a OEA, que dispõe de institucionalidade rígida, mas é percebida como instrumento hegemônico.</w:t>
      </w:r>
    </w:p>
    <w:bookmarkEnd w:id="30"/>
    <w:bookmarkStart w:id="31" w:name="hegemonia-autonomia-e-política-externa"/>
    <w:p>
      <w:pPr>
        <w:pStyle w:val="Heading3"/>
      </w:pPr>
      <w:r>
        <w:rPr>
          <w:rFonts w:ascii="Times New Roman" w:hAnsi="Times New Roman" w:cs="Times New Roman"/>
          <w:color w:val="000000"/>
        </w:rPr>
        <w:t xml:space="preserve">4.4 Hegemonia, autonomia e política externa</w:t>
      </w:r>
    </w:p>
    <w:p>
      <w:pPr>
        <w:pStyle w:val="FirstParagraph"/>
      </w:pPr>
      <w:r>
        <w:rPr>
          <w:rFonts w:ascii="Times New Roman" w:hAnsi="Times New Roman" w:cs="Times New Roman"/>
          <w:color w:val="000000"/>
        </w:rPr>
        <w:t xml:space="preserve">O conceito de hegemonia, inspirado em Gramsci, é aplicado às relações internacionais por Cox (1987), que define hegemonia como combinação entre poder material, liderança ideológica e institucionalização de normas. No sistema interamericano, a OEA representa a institucionalização da hegemonia estadunidense.</w:t>
      </w:r>
    </w:p>
    <w:p>
      <w:pPr>
        <w:pStyle w:val="BodyText"/>
      </w:pPr>
      <w:r>
        <w:rPr>
          <w:rFonts w:ascii="Times New Roman" w:hAnsi="Times New Roman" w:cs="Times New Roman"/>
          <w:color w:val="000000"/>
        </w:rPr>
        <w:t xml:space="preserve">Por outro lado, Tokatlian (2011) argumenta que a política externa latino-americana oscila entre acomodação e autonomia. A CELAC encarna essa busca de autonomia coletiva, funcionando como espaço de contestação e resistência.</w:t>
      </w:r>
    </w:p>
    <w:p>
      <w:pPr>
        <w:pStyle w:val="BodyText"/>
      </w:pPr>
      <w:r>
        <w:rPr>
          <w:rFonts w:ascii="Times New Roman" w:hAnsi="Times New Roman" w:cs="Times New Roman"/>
          <w:color w:val="000000"/>
        </w:rPr>
        <w:t xml:space="preserve">Hurrell (1995) acrescenta que os projetos de integração regional refletem não apenas condições externas, mas também disputas internas de identidade e legitimidade. A CELAC, nesse quadro, simboliza a tentativa de construir identidade política latino-americana autônoma, ainda que sem mecanismos de enforcement.</w:t>
      </w:r>
    </w:p>
    <w:bookmarkEnd w:id="31"/>
    <w:bookmarkEnd w:id="32"/>
    <w:bookmarkStart w:id="33" w:name="estudos-de-caso"/>
    <w:p>
      <w:pPr>
        <w:pStyle w:val="Heading2"/>
      </w:pPr>
      <w:r>
        <w:rPr>
          <w:rFonts w:ascii="Times New Roman" w:hAnsi="Times New Roman" w:cs="Times New Roman"/>
          <w:color w:val="000000"/>
        </w:rPr>
        <w:t xml:space="preserve">5 ESTUDOS DE CASO</w:t>
      </w:r>
    </w:p>
    <w:p>
      <w:pPr>
        <w:pStyle w:val="FirstParagraph"/>
      </w:pPr>
      <w:r>
        <w:rPr>
          <w:rFonts w:ascii="Times New Roman" w:hAnsi="Times New Roman" w:cs="Times New Roman"/>
          <w:color w:val="000000"/>
        </w:rPr>
        <w:t xml:space="preserve">Os estudos de caso escolhidos ilustram como a OEA e a CELAC se posicionaram diante de crises específicas da governança regional latino-americana, garantindo a variação necessária para a comparação sistemática. O recorte concentra-se em três casos cruciais de crise institucional, selecionados em razão da presença simultânea e contrastante de ambos os organismos e da disponibilidade robusta de documentação pública:</w:t>
      </w:r>
    </w:p>
    <w:p>
      <w:pPr>
        <w:numPr>
          <w:ilvl w:val="0"/>
          <w:numId w:val="1002"/>
        </w:numPr>
      </w:pPr>
      <w:r>
        <w:rPr>
          <w:rFonts w:ascii="Times New Roman" w:hAnsi="Times New Roman" w:cs="Times New Roman"/>
          <w:b/>
          <w:bCs/>
          <w:color w:val="000000"/>
        </w:rPr>
        <w:t xml:space="preserve">Honduras (2009):</w:t>
      </w:r>
      <w:r>
        <w:rPr>
          <w:rFonts w:ascii="Times New Roman" w:hAnsi="Times New Roman" w:cs="Times New Roman"/>
          <w:color w:val="000000"/>
        </w:rPr>
        <w:t xml:space="preserve"> </w:t>
      </w:r>
      <w:r>
        <w:rPr>
          <w:rFonts w:ascii="Times New Roman" w:hAnsi="Times New Roman" w:cs="Times New Roman"/>
          <w:color w:val="000000"/>
        </w:rPr>
        <w:t xml:space="preserve">Golpe cívico-militar contra Manuel Zelaya em 28/06/2009. A OEA suspendeu o país em seis dias por força da Carta Democrática Interamericana, primeiro acionamento integral da Carta desde 2001, e a CIDH publicou em dezembro de 2009 relatório integral (OEA/Ser.L/V/II Doc.55, 155 páginas) documentando violações sistemáticas. Em paralelo, o SICA agiu em 29/06/2009 com sanções econômicas concretas (BCIE, comércio terrestre). Apesar da rapidez normativa hemisférica e da reação sub-regional, nenhuma das duas instâncias logrou reverter a ruptura: as eleições de 29/11/2009 ocorreram sob o governo de fato. Em fevereiro de 2010, a cúpula fundacional da CELAC em Cancún foi articulada politicamente como resposta ao episódio, ainda que sem menção nominal na declaração final. Honduras opera, portanto, como</w:t>
      </w:r>
      <w:r>
        <w:rPr>
          <w:rFonts w:ascii="Times New Roman" w:hAnsi="Times New Roman" w:cs="Times New Roman"/>
          <w:color w:val="000000"/>
        </w:rPr>
        <w:t xml:space="preserve"> </w:t>
      </w:r>
      <w:r>
        <w:rPr>
          <w:rFonts w:ascii="Times New Roman" w:hAnsi="Times New Roman" w:cs="Times New Roman"/>
          <w:b/>
          <w:bCs/>
          <w:color w:val="000000"/>
        </w:rPr>
        <w:t xml:space="preserve">caso catalisador</w:t>
      </w:r>
      <w:r>
        <w:rPr>
          <w:rFonts w:ascii="Times New Roman" w:hAnsi="Times New Roman" w:cs="Times New Roman"/>
          <w:color w:val="000000"/>
        </w:rPr>
        <w:t xml:space="preserve"> </w:t>
      </w:r>
      <w:r>
        <w:rPr>
          <w:rFonts w:ascii="Times New Roman" w:hAnsi="Times New Roman" w:cs="Times New Roman"/>
          <w:color w:val="000000"/>
        </w:rPr>
        <w:t xml:space="preserve">que evidencia simultaneamente os limites operacionais da institucionalidade interamericana tradicional e a pressão política que impulsionou a construção de uma alternativa regional pós-hegemônica.</w:t>
      </w:r>
    </w:p>
    <w:p>
      <w:pPr>
        <w:numPr>
          <w:ilvl w:val="0"/>
          <w:numId w:val="1002"/>
        </w:numPr>
      </w:pPr>
      <w:r>
        <w:rPr>
          <w:rFonts w:ascii="Times New Roman" w:hAnsi="Times New Roman" w:cs="Times New Roman"/>
          <w:b/>
          <w:bCs/>
          <w:color w:val="000000"/>
        </w:rPr>
        <w:t xml:space="preserve">Paraguai (2012):</w:t>
      </w:r>
      <w:r>
        <w:rPr>
          <w:rFonts w:ascii="Times New Roman" w:hAnsi="Times New Roman" w:cs="Times New Roman"/>
          <w:color w:val="000000"/>
        </w:rPr>
        <w:t xml:space="preserve"> </w:t>
      </w:r>
      <w:r>
        <w:rPr>
          <w:rFonts w:ascii="Times New Roman" w:hAnsi="Times New Roman" w:cs="Times New Roman"/>
          <w:color w:val="000000"/>
        </w:rPr>
        <w:t xml:space="preserve">Impeachment sumário de Fernando Lugo. Caso crítico de seletividade da OEA, com tratamento consideravelmente mais brando do que o dispensado a Honduras. A reação interestatal mais incisiva partiu do MERCOSUL e da UNASUL, que suspenderam formalmente o Paraguai com base em cláusulas democráticas próprias; a CELAC, sem mecanismos formais de sanção, manifestou-se politicamente e, na prática, deixou de convidar o governo Federico Franco para a Cúpula de Santiago de 2013, configurando uma exclusão de fato, não uma suspensão formal. O caso permite testar diretamente a tese de instrumentalização do mecanismo democrático hemisférico, ao mesmo tempo em que expõe os limites operacionais (não discursivos) da CELAC.</w:t>
      </w:r>
    </w:p>
    <w:p>
      <w:pPr>
        <w:numPr>
          <w:ilvl w:val="0"/>
          <w:numId w:val="1002"/>
        </w:numPr>
      </w:pPr>
      <w:r>
        <w:rPr>
          <w:rFonts w:ascii="Times New Roman" w:hAnsi="Times New Roman" w:cs="Times New Roman"/>
          <w:b/>
          <w:bCs/>
          <w:color w:val="000000"/>
        </w:rPr>
        <w:t xml:space="preserve">Colômbia (2016+):</w:t>
      </w:r>
      <w:r>
        <w:rPr>
          <w:rFonts w:ascii="Times New Roman" w:hAnsi="Times New Roman" w:cs="Times New Roman"/>
          <w:color w:val="000000"/>
        </w:rPr>
        <w:t xml:space="preserve"> </w:t>
      </w:r>
      <w:r>
        <w:rPr>
          <w:rFonts w:ascii="Times New Roman" w:hAnsi="Times New Roman" w:cs="Times New Roman"/>
          <w:color w:val="000000"/>
        </w:rPr>
        <w:t xml:space="preserve">Acompanhamento do Acordo de Paz pela OEA (por meio da Missão de Apoio ao Processo de Paz na Colômbia, MAPP) e apoio político da CELAC. Caso de funções complementares, que demonstra como os dois organismos podem atuar de forma não excludente, cada um dentro de sua lógica institucional e discursiva. A II Cúpula da CELAC (Quito, 2016) registrou inclusive a oferta de observadores latino-americanos para a missão da ONU encarregada da verificação do cessar-fogo, evidência de que a contribuição da CELAC ao caso colombiano não se limitou ao plano simbólico.</w:t>
      </w:r>
    </w:p>
    <w:p>
      <w:pPr>
        <w:pStyle w:val="FirstParagraph"/>
      </w:pPr>
      <w:r>
        <w:rPr>
          <w:rFonts w:ascii="Times New Roman" w:hAnsi="Times New Roman" w:cs="Times New Roman"/>
          <w:color w:val="000000"/>
        </w:rPr>
        <w:t xml:space="preserve">A seleção intencional dos casos obedece ao critério de presença e contraste simultâneo de OEA e CELAC em cada episódio, assegurando as condições de comparabilidade exigidas pela Comparação Focada e Estruturada (Structured Focused Comparison).</w:t>
      </w:r>
    </w:p>
    <w:p>
      <w:pPr>
        <w:pStyle w:val="BodyText"/>
      </w:pPr>
      <w:r>
        <w:rPr>
          <w:rFonts w:ascii="Times New Roman" w:hAnsi="Times New Roman" w:cs="Times New Roman"/>
          <w:b/>
          <w:bCs/>
          <w:color w:val="000000"/>
        </w:rPr>
        <w:t xml:space="preserve">Nota sobre heterogeneidade ontológica dos casos.</w:t>
      </w:r>
      <w:r>
        <w:rPr>
          <w:rFonts w:ascii="Times New Roman" w:hAnsi="Times New Roman" w:cs="Times New Roman"/>
          <w:color w:val="000000"/>
        </w:rPr>
        <w:t xml:space="preserve"> </w:t>
      </w:r>
      <w:r>
        <w:rPr>
          <w:rFonts w:ascii="Times New Roman" w:hAnsi="Times New Roman" w:cs="Times New Roman"/>
          <w:color w:val="000000"/>
        </w:rPr>
        <w:t xml:space="preserve">Honduras (2009) configura golpe cívico-militar com ruptura institucional manifesta; Paraguai (2012), impeachment parlamentar formalmente conduzido sob a Constituição de 1992. A literatura sobre Paraguai 2012 (Closa; Palestini, 2015; Marsteintredet et al., 2013) registra essa diferença ontológica e debate se o episódio configura ou não</w:t>
      </w:r>
      <w:r>
        <w:rPr>
          <w:rFonts w:ascii="Times New Roman" w:hAnsi="Times New Roman" w:cs="Times New Roman"/>
          <w:color w:val="000000"/>
        </w:rPr>
        <w:t xml:space="preserve"> </w:t>
      </w:r>
      <w:r>
        <w:rPr>
          <w:rFonts w:ascii="Times New Roman" w:hAnsi="Times New Roman" w:cs="Times New Roman"/>
          <w:color w:val="000000"/>
        </w:rPr>
        <w:t xml:space="preserve">“</w:t>
      </w:r>
      <w:r>
        <w:rPr>
          <w:rFonts w:ascii="Times New Roman" w:hAnsi="Times New Roman" w:cs="Times New Roman"/>
          <w:color w:val="000000"/>
        </w:rPr>
        <w:t xml:space="preserve">ruptura democrática</w:t>
      </w:r>
      <w:r>
        <w:rPr>
          <w:rFonts w:ascii="Times New Roman" w:hAnsi="Times New Roman" w:cs="Times New Roman"/>
          <w:color w:val="000000"/>
        </w:rPr>
        <w:t xml:space="preserve">”</w:t>
      </w:r>
      <w:r>
        <w:rPr>
          <w:rFonts w:ascii="Times New Roman" w:hAnsi="Times New Roman" w:cs="Times New Roman"/>
          <w:color w:val="000000"/>
        </w:rPr>
        <w:t xml:space="preserve"> </w:t>
      </w:r>
      <w:r>
        <w:rPr>
          <w:rFonts w:ascii="Times New Roman" w:hAnsi="Times New Roman" w:cs="Times New Roman"/>
          <w:color w:val="000000"/>
        </w:rPr>
        <w:t xml:space="preserve">no sentido da Carta Democrática. Esta pesquisa</w:t>
      </w:r>
      <w:r>
        <w:rPr>
          <w:rFonts w:ascii="Times New Roman" w:hAnsi="Times New Roman" w:cs="Times New Roman"/>
          <w:color w:val="000000"/>
        </w:rPr>
        <w:t xml:space="preserve"> </w:t>
      </w:r>
      <w:r>
        <w:rPr>
          <w:rFonts w:ascii="Times New Roman" w:hAnsi="Times New Roman" w:cs="Times New Roman"/>
          <w:b/>
          <w:bCs/>
          <w:color w:val="000000"/>
        </w:rPr>
        <w:t xml:space="preserve">não trata essa heterogeneidade como problema de incomparabilidade</w:t>
      </w:r>
      <w:r>
        <w:rPr>
          <w:rFonts w:ascii="Times New Roman" w:hAnsi="Times New Roman" w:cs="Times New Roman"/>
          <w:color w:val="000000"/>
        </w:rPr>
        <w:t xml:space="preserve">, mas como variável teórica deliberada: é precisamente porque os dois casos são ontologicamente distintos que a variação no comportamento da OEA torna-se analíticamente informativa. Se a OEA reagisse de forma equivalente a ambos, a hipótese de seletividade seria refutada; se reagisse de forma proporcional à gravidade da ruptura formal, seria parcialmente sustentada; o que a literatura sugere, e o que esta pesquisa testará sistematicamente, é que a OEA reagiu de forma</w:t>
      </w:r>
      <w:r>
        <w:rPr>
          <w:rFonts w:ascii="Times New Roman" w:hAnsi="Times New Roman" w:cs="Times New Roman"/>
          <w:color w:val="000000"/>
        </w:rPr>
        <w:t xml:space="preserve"> </w:t>
      </w:r>
      <w:r>
        <w:rPr>
          <w:rFonts w:ascii="Times New Roman" w:hAnsi="Times New Roman" w:cs="Times New Roman"/>
          <w:b/>
          <w:bCs/>
          <w:color w:val="000000"/>
        </w:rPr>
        <w:t xml:space="preserve">inversamente proporcional</w:t>
      </w:r>
      <w:r>
        <w:rPr>
          <w:rFonts w:ascii="Times New Roman" w:hAnsi="Times New Roman" w:cs="Times New Roman"/>
          <w:color w:val="000000"/>
        </w:rPr>
        <w:t xml:space="preserve"> </w:t>
      </w:r>
      <w:r>
        <w:rPr>
          <w:rFonts w:ascii="Times New Roman" w:hAnsi="Times New Roman" w:cs="Times New Roman"/>
          <w:color w:val="000000"/>
        </w:rPr>
        <w:t xml:space="preserve">à expectativa normativa, o que aponta para a hipótese de instrumentalização por parte da hegemonia estadunidense. A heterogeneidade ontológica entre Honduras e Paraguai é, portanto, condição de possibilidade da comparação, não seu obstáculo.</w:t>
      </w:r>
    </w:p>
    <w:p>
      <w:pPr>
        <w:pStyle w:val="BodyText"/>
      </w:pPr>
      <w:r>
        <w:rPr>
          <w:rFonts w:ascii="Times New Roman" w:hAnsi="Times New Roman" w:cs="Times New Roman"/>
          <w:color w:val="000000"/>
        </w:rPr>
        <w:t xml:space="preserve">A seguir, o Quadro 1 sistematiza a racionalidade metodológica de cada caso.</w:t>
      </w:r>
    </w:p>
    <w:p>
      <w:pPr>
        <w:pStyle w:val="BodyText"/>
      </w:pPr>
      <w:r>
        <w:rPr>
          <w:rFonts w:ascii="Times New Roman" w:hAnsi="Times New Roman" w:cs="Times New Roman"/>
          <w:b/>
          <w:bCs/>
          <w:color w:val="000000"/>
        </w:rPr>
        <w:t xml:space="preserve">Quadro 1 - Casos selecionados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spacing w:line="240" w:lineRule="auto" w:before="40" w:after="40"/>
              <w:ind w:firstLine="0"/>
              <w:jc w:val="left"/>
            </w:pPr>
            <w:r>
              <w:rPr>
                <w:rFonts w:ascii="Times New Roman" w:hAnsi="Times New Roman" w:cs="Times New Roman"/>
                <w:sz w:val="20"/>
              </w:rPr>
              <w:t xml:space="preserve">Caso / Padrão</w:t>
            </w:r>
          </w:p>
        </w:tc>
        <w:tc>
          <w:tcPr/>
          <w:p>
            <w:pPr>
              <w:pStyle w:val="Compact"/>
              <w:spacing w:line="240" w:lineRule="auto" w:before="40" w:after="40"/>
              <w:ind w:firstLine="0"/>
              <w:jc w:val="left"/>
            </w:pPr>
            <w:r>
              <w:rPr>
                <w:rFonts w:ascii="Times New Roman" w:hAnsi="Times New Roman" w:cs="Times New Roman"/>
                <w:sz w:val="20"/>
              </w:rPr>
              <w:t xml:space="preserve">Tipo de Caso</w:t>
            </w:r>
          </w:p>
        </w:tc>
        <w:tc>
          <w:tcPr/>
          <w:p>
            <w:pPr>
              <w:pStyle w:val="Compact"/>
              <w:spacing w:line="240" w:lineRule="auto" w:before="40" w:after="40"/>
              <w:ind w:firstLine="0"/>
              <w:jc w:val="left"/>
            </w:pPr>
            <w:r>
              <w:rPr>
                <w:rFonts w:ascii="Times New Roman" w:hAnsi="Times New Roman" w:cs="Times New Roman"/>
                <w:sz w:val="20"/>
              </w:rPr>
              <w:t xml:space="preserve">Racional Metodológico</w:t>
            </w:r>
          </w:p>
        </w:tc>
      </w:tr>
      <w:tr>
        <w:tc>
          <w:tcPr/>
          <w:p>
            <w:pPr>
              <w:pStyle w:val="Compact"/>
              <w:spacing w:line="240" w:lineRule="auto" w:before="40" w:after="40"/>
              <w:ind w:firstLine="0"/>
              <w:jc w:val="left"/>
            </w:pPr>
            <w:r>
              <w:rPr>
                <w:rFonts w:ascii="Times New Roman" w:hAnsi="Times New Roman" w:cs="Times New Roman"/>
                <w:sz w:val="20"/>
              </w:rPr>
              <w:t xml:space="preserve">Honduras (2009)</w:t>
            </w:r>
          </w:p>
        </w:tc>
        <w:tc>
          <w:tcPr/>
          <w:p>
            <w:pPr>
              <w:pStyle w:val="Compact"/>
              <w:spacing w:line="240" w:lineRule="auto" w:before="40" w:after="40"/>
              <w:ind w:firstLine="0"/>
              <w:jc w:val="left"/>
            </w:pPr>
            <w:r>
              <w:rPr>
                <w:rFonts w:ascii="Times New Roman" w:hAnsi="Times New Roman" w:cs="Times New Roman"/>
                <w:sz w:val="20"/>
              </w:rPr>
              <w:t xml:space="preserve">Caso Catalisador</w:t>
            </w:r>
          </w:p>
        </w:tc>
        <w:tc>
          <w:tcPr/>
          <w:p>
            <w:pPr>
              <w:pStyle w:val="Compact"/>
              <w:spacing w:line="240" w:lineRule="auto" w:before="40" w:after="40"/>
              <w:ind w:firstLine="0"/>
              <w:jc w:val="left"/>
            </w:pPr>
            <w:r>
              <w:rPr>
                <w:rFonts w:ascii="Times New Roman" w:hAnsi="Times New Roman" w:cs="Times New Roman"/>
                <w:sz w:val="20"/>
              </w:rPr>
              <w:t xml:space="preserve">Demonstra a ineficácia operacional da OEA em reverter o golpe apesar do primeiro acionamento integral da Carta Democrática Interamericana (resolução AG/RES 2 XXXVII-E/09, 04/07/2009) e do relatório integral da CIDH (OEA/Ser.L/V/II Doc.55, 30/12/2009, 155 páginas). Testa simultaneamente os limites da Institucionalidade da OEA e a pressão política que culminou na cúpula fundacional da CELAC em Cancún (23/02/2010), cujo caráter de resposta articulada ao caso hondurenho foi verbalizado pela Chanceler anfitriã em coletiva, ainda que omitido da declaração final por consenso diplomático.</w:t>
            </w:r>
          </w:p>
        </w:tc>
      </w:tr>
      <w:tr>
        <w:tc>
          <w:tcPr/>
          <w:p>
            <w:pPr>
              <w:pStyle w:val="Compact"/>
              <w:spacing w:line="240" w:lineRule="auto" w:before="40" w:after="40"/>
              <w:ind w:firstLine="0"/>
              <w:jc w:val="left"/>
            </w:pPr>
            <w:r>
              <w:rPr>
                <w:rFonts w:ascii="Times New Roman" w:hAnsi="Times New Roman" w:cs="Times New Roman"/>
                <w:sz w:val="20"/>
              </w:rPr>
              <w:t xml:space="preserve">Paraguai (2012)</w:t>
            </w:r>
          </w:p>
        </w:tc>
        <w:tc>
          <w:tcPr/>
          <w:p>
            <w:pPr>
              <w:pStyle w:val="Compact"/>
              <w:spacing w:line="240" w:lineRule="auto" w:before="40" w:after="40"/>
              <w:ind w:firstLine="0"/>
              <w:jc w:val="left"/>
            </w:pPr>
            <w:r>
              <w:rPr>
                <w:rFonts w:ascii="Times New Roman" w:hAnsi="Times New Roman" w:cs="Times New Roman"/>
                <w:sz w:val="20"/>
              </w:rPr>
              <w:t xml:space="preserve">Caso Crítico de Seletividade</w:t>
            </w:r>
          </w:p>
        </w:tc>
        <w:tc>
          <w:tcPr/>
          <w:p>
            <w:pPr>
              <w:pStyle w:val="Compact"/>
              <w:spacing w:line="240" w:lineRule="auto" w:before="40" w:after="40"/>
              <w:ind w:firstLine="0"/>
              <w:jc w:val="left"/>
            </w:pPr>
            <w:r>
              <w:rPr>
                <w:rFonts w:ascii="Times New Roman" w:hAnsi="Times New Roman" w:cs="Times New Roman"/>
                <w:sz w:val="20"/>
              </w:rPr>
              <w:t xml:space="preserve">Contrasta diretamente com Honduras. A resposta branda da OEA ao impeachment sumário de Fernando Lugo, em contraposição à suspensão célere no caso hondurenho, é essencial para testar a seletividade da OEA e a tese de instrumentalização pelos EUA. A sanção interestatal mais dura partiu do MERCOSUL/UNASUL (suspensão formal); a CELAC operou exclusão de fato (não-convite à Cúpula de Santiago 2013), o que também ilumina os limites operacionais do fórum pós-hegemônico.</w:t>
            </w:r>
          </w:p>
        </w:tc>
      </w:tr>
      <w:tr>
        <w:tc>
          <w:tcPr/>
          <w:p>
            <w:pPr>
              <w:pStyle w:val="Compact"/>
              <w:spacing w:line="240" w:lineRule="auto" w:before="40" w:after="40"/>
              <w:ind w:firstLine="0"/>
              <w:jc w:val="left"/>
            </w:pPr>
            <w:r>
              <w:rPr>
                <w:rFonts w:ascii="Times New Roman" w:hAnsi="Times New Roman" w:cs="Times New Roman"/>
                <w:sz w:val="20"/>
              </w:rPr>
              <w:t xml:space="preserve">Colômbia (2016+)</w:t>
            </w:r>
          </w:p>
        </w:tc>
        <w:tc>
          <w:tcPr/>
          <w:p>
            <w:pPr>
              <w:pStyle w:val="Compact"/>
              <w:spacing w:line="240" w:lineRule="auto" w:before="40" w:after="40"/>
              <w:ind w:firstLine="0"/>
              <w:jc w:val="left"/>
            </w:pPr>
            <w:r>
              <w:rPr>
                <w:rFonts w:ascii="Times New Roman" w:hAnsi="Times New Roman" w:cs="Times New Roman"/>
                <w:sz w:val="20"/>
              </w:rPr>
              <w:t xml:space="preserve">Caso de Funções Complementares</w:t>
            </w:r>
          </w:p>
        </w:tc>
        <w:tc>
          <w:tcPr/>
          <w:p>
            <w:pPr>
              <w:pStyle w:val="Compact"/>
              <w:spacing w:line="240" w:lineRule="auto" w:before="40" w:after="40"/>
              <w:ind w:firstLine="0"/>
              <w:jc w:val="left"/>
            </w:pPr>
            <w:r>
              <w:rPr>
                <w:rFonts w:ascii="Times New Roman" w:hAnsi="Times New Roman" w:cs="Times New Roman"/>
                <w:sz w:val="20"/>
              </w:rPr>
              <w:t xml:space="preserve">Demonstra a atuação técnico-normativa da OEA (MAPP) em paralelo ao apoio político da CELAC ao processo de paz, incluindo oferta de observadores à missão da ONU. Evidencia a coexistência funcional dos dois modelos de governança e permite testar a hipótese da dualidade não excludente.</w:t>
            </w:r>
          </w:p>
        </w:tc>
      </w:tr>
    </w:tbl>
    <w:p>
      <w:pPr>
        <w:pStyle w:val="BodyText"/>
      </w:pPr>
      <w:r>
        <w:rPr>
          <w:rFonts w:ascii="Times New Roman" w:hAnsi="Times New Roman" w:cs="Times New Roman"/>
          <w:color w:val="000000"/>
        </w:rPr>
        <w:t xml:space="preserve">Fonte: Autoria própria (2026).</w:t>
      </w:r>
    </w:p>
    <w:p>
      <w:pPr>
        <w:pStyle w:val="BodyText"/>
      </w:pPr>
      <w:r>
        <w:rPr>
          <w:rFonts w:ascii="Times New Roman" w:hAnsi="Times New Roman" w:cs="Times New Roman"/>
          <w:color w:val="000000"/>
        </w:rPr>
        <w:t xml:space="preserve">O projeto justifica, ainda, a exclusão de casos relevantes no debate acadêmico, mas que extrapolam os limites empíricos do presente escopo:</w:t>
      </w:r>
    </w:p>
    <w:p>
      <w:pPr>
        <w:numPr>
          <w:ilvl w:val="0"/>
          <w:numId w:val="1003"/>
        </w:numPr>
      </w:pPr>
      <w:r>
        <w:rPr>
          <w:rFonts w:ascii="Times New Roman" w:hAnsi="Times New Roman" w:cs="Times New Roman"/>
          <w:b/>
          <w:bCs/>
          <w:color w:val="000000"/>
        </w:rPr>
        <w:t xml:space="preserve">Exclusão de Cuba (1962–2014) e Haiti (2010):</w:t>
      </w:r>
      <w:r>
        <w:rPr>
          <w:rFonts w:ascii="Times New Roman" w:hAnsi="Times New Roman" w:cs="Times New Roman"/>
          <w:color w:val="000000"/>
        </w:rPr>
        <w:t xml:space="preserve"> </w:t>
      </w:r>
      <w:r>
        <w:rPr>
          <w:rFonts w:ascii="Times New Roman" w:hAnsi="Times New Roman" w:cs="Times New Roman"/>
          <w:color w:val="000000"/>
        </w:rPr>
        <w:t xml:space="preserve">embora o caso cubano seja central para o contraste ideológico interamericano e o haitiano seja relevante para compreender a atuação da OEA em contextos de instabilidade, ambos foram excluídos em razão da dificuldade de acesso a fontes primárias recentes e da complexidade institucional específica de cada contexto.</w:t>
      </w:r>
    </w:p>
    <w:p>
      <w:pPr>
        <w:numPr>
          <w:ilvl w:val="0"/>
          <w:numId w:val="1003"/>
        </w:numPr>
      </w:pPr>
      <w:r>
        <w:rPr>
          <w:rFonts w:ascii="Times New Roman" w:hAnsi="Times New Roman" w:cs="Times New Roman"/>
          <w:b/>
          <w:bCs/>
          <w:color w:val="000000"/>
        </w:rPr>
        <w:t xml:space="preserve">Exclusão da Crise da Venezuela (2015 em diante):</w:t>
      </w:r>
      <w:r>
        <w:rPr>
          <w:rFonts w:ascii="Times New Roman" w:hAnsi="Times New Roman" w:cs="Times New Roman"/>
          <w:color w:val="000000"/>
        </w:rPr>
        <w:t xml:space="preserve"> </w:t>
      </w:r>
      <w:r>
        <w:rPr>
          <w:rFonts w:ascii="Times New Roman" w:hAnsi="Times New Roman" w:cs="Times New Roman"/>
          <w:color w:val="000000"/>
        </w:rPr>
        <w:t xml:space="preserve">excluída por sua assimetria político-ideológica crescente. A fragmentação regional que se aprofundou no período, com a OEA em confronto direto com o regime e a CELAC progressivamente dividida, inviabiliza a análise da dualidade funcional estável que constitui o objeto central da pesquisa.</w:t>
      </w:r>
    </w:p>
    <w:p>
      <w:pPr>
        <w:numPr>
          <w:ilvl w:val="0"/>
          <w:numId w:val="1003"/>
        </w:numPr>
      </w:pPr>
      <w:r>
        <w:rPr>
          <w:rFonts w:ascii="Times New Roman" w:hAnsi="Times New Roman" w:cs="Times New Roman"/>
          <w:b/>
          <w:bCs/>
          <w:color w:val="000000"/>
        </w:rPr>
        <w:t xml:space="preserve">Exclusão de Nicarágua (2018) e Bolívia (2019):</w:t>
      </w:r>
      <w:r>
        <w:rPr>
          <w:rFonts w:ascii="Times New Roman" w:hAnsi="Times New Roman" w:cs="Times New Roman"/>
          <w:color w:val="000000"/>
        </w:rPr>
        <w:t xml:space="preserve"> </w:t>
      </w:r>
      <w:r>
        <w:rPr>
          <w:rFonts w:ascii="Times New Roman" w:hAnsi="Times New Roman" w:cs="Times New Roman"/>
          <w:color w:val="000000"/>
        </w:rPr>
        <w:t xml:space="preserve">excluídos do escopo empírico por razões de exequibilidade metodológica. O acesso a documentação pública suficiente para a aplicação rigorosa da Análise de Conteúdo Qualitativa nesses dois casos apresenta obstáculos significativos dentro do prazo do mestrado. Ambos os contextos poderão ser retomados como referências na literatura de revisão, sem configurar estudos de caso neste projeto.</w:t>
      </w:r>
    </w:p>
    <w:p>
      <w:pPr>
        <w:numPr>
          <w:ilvl w:val="0"/>
          <w:numId w:val="1003"/>
        </w:numPr>
      </w:pPr>
      <w:r>
        <w:rPr>
          <w:rFonts w:ascii="Times New Roman" w:hAnsi="Times New Roman" w:cs="Times New Roman"/>
          <w:b/>
          <w:bCs/>
          <w:color w:val="000000"/>
        </w:rPr>
        <w:t xml:space="preserve">Exclusão de UNASUL (2008) e Malvinas (1982):</w:t>
      </w:r>
      <w:r>
        <w:rPr>
          <w:rFonts w:ascii="Times New Roman" w:hAnsi="Times New Roman" w:cs="Times New Roman"/>
          <w:color w:val="000000"/>
        </w:rPr>
        <w:t xml:space="preserve"> </w:t>
      </w:r>
      <w:r>
        <w:rPr>
          <w:rFonts w:ascii="Times New Roman" w:hAnsi="Times New Roman" w:cs="Times New Roman"/>
          <w:color w:val="000000"/>
        </w:rPr>
        <w:t xml:space="preserve">excluídos por incompatibilidade temporal ou temática com o escopo do estudo.</w:t>
      </w:r>
    </w:p>
    <w:bookmarkEnd w:id="33"/>
    <w:bookmarkStart w:id="36" w:name="hipóteses"/>
    <w:p>
      <w:pPr>
        <w:pStyle w:val="Heading2"/>
      </w:pPr>
      <w:r>
        <w:rPr>
          <w:rFonts w:ascii="Times New Roman" w:hAnsi="Times New Roman" w:cs="Times New Roman"/>
          <w:color w:val="000000"/>
        </w:rPr>
        <w:t xml:space="preserve">6 HIPÓTESES</w:t>
      </w:r>
    </w:p>
    <w:bookmarkStart w:id="34" w:name="hipótese-central"/>
    <w:p>
      <w:pPr>
        <w:pStyle w:val="Heading3"/>
      </w:pPr>
      <w:r>
        <w:rPr>
          <w:rFonts w:ascii="Times New Roman" w:hAnsi="Times New Roman" w:cs="Times New Roman"/>
          <w:color w:val="000000"/>
        </w:rPr>
        <w:t xml:space="preserve">6.1 Hipótese Central</w:t>
      </w:r>
    </w:p>
    <w:p>
      <w:pPr>
        <w:pStyle w:val="FirstParagraph"/>
      </w:pPr>
      <w:r>
        <w:rPr>
          <w:rFonts w:ascii="Times New Roman" w:hAnsi="Times New Roman" w:cs="Times New Roman"/>
          <w:color w:val="000000"/>
        </w:rPr>
        <w:t xml:space="preserve">A Comunidade de Estados Latino-Americanos e Caribenhos (CELAC) opera primariamente como um fórum político de governança pós-hegemônica, utilizando a flexibilidade institucional e a coerência discursiva como fontes de legitimidade e autonomia regional, em contraste direto com a Organização dos Estados Americanos (OEA), que representa a institucionalização histórica da hegemonia estadunidense no hemisfério.</w:t>
      </w:r>
    </w:p>
    <w:p>
      <w:pPr>
        <w:pStyle w:val="BodyText"/>
      </w:pPr>
      <w:r>
        <w:rPr>
          <w:rFonts w:ascii="Times New Roman" w:hAnsi="Times New Roman" w:cs="Times New Roman"/>
          <w:color w:val="000000"/>
        </w:rPr>
        <w:t xml:space="preserve">Esta hipótese estabelece que a CELAC não deve ser avaliada apenas por sua eficácia prática, entendida como capacidade de reverter crises institucionais, mas também por sua eficácia simbólica e política, ou seja, pela capacidade de construir uma narrativa autônoma e inclusiva que desafie a hegemonia discursiva da OEA. O contraste é definido pela natureza da legitimidade: enquanto a OEA busca legitimidade em sua institucionalidade formal e na condicionalidade democrática, a CELAC a constrói na soberania absoluta, no consenso político e na exclusão da tutela externa.</w:t>
      </w:r>
    </w:p>
    <w:p>
      <w:pPr>
        <w:pStyle w:val="BodyText"/>
      </w:pPr>
      <w:r>
        <w:rPr>
          <w:rFonts w:ascii="Times New Roman" w:hAnsi="Times New Roman" w:cs="Times New Roman"/>
          <w:color w:val="000000"/>
        </w:rPr>
        <w:t xml:space="preserve">A análise comparativa dos três casos selecionados, Honduras (2009), Paraguai (2012) e Colômbia (2016+), oferece variação suficiente para testar essa hipótese. Honduras e Paraguai expõem a seletividade da OEA e a postura discursiva da CELAC diante de rupturas democráticas; a Colômbia ilustra a coexistência funcional dos dois modelos em um contexto de negociação de paz.</w:t>
      </w:r>
    </w:p>
    <w:bookmarkEnd w:id="34"/>
    <w:bookmarkStart w:id="35" w:name="hipótese-secundária"/>
    <w:p>
      <w:pPr>
        <w:pStyle w:val="Heading3"/>
      </w:pPr>
      <w:r>
        <w:rPr>
          <w:rFonts w:ascii="Times New Roman" w:hAnsi="Times New Roman" w:cs="Times New Roman"/>
          <w:color w:val="000000"/>
        </w:rPr>
        <w:t xml:space="preserve">6.2 Hipótese Secundária</w:t>
      </w:r>
    </w:p>
    <w:p>
      <w:pPr>
        <w:pStyle w:val="FirstParagraph"/>
      </w:pPr>
      <w:r>
        <w:rPr>
          <w:rFonts w:ascii="Times New Roman" w:hAnsi="Times New Roman" w:cs="Times New Roman"/>
          <w:color w:val="000000"/>
        </w:rPr>
        <w:t xml:space="preserve">A coexistência entre a OEA e a CELAC não representa uma redundância desnecessária de organismos regionais, mas sim a manifestação de uma dualidade funcional de modelos de governança: a OEA prevalece como uma arena normativa e jurídica dotada de mecanismos coercitivos, enquanto a CELAC se consolidou como o fórum essencial de diálogo político e resistência à hegemonia externa.</w:t>
      </w:r>
    </w:p>
    <w:p>
      <w:pPr>
        <w:pStyle w:val="BodyText"/>
      </w:pPr>
      <w:r>
        <w:rPr>
          <w:rFonts w:ascii="Times New Roman" w:hAnsi="Times New Roman" w:cs="Times New Roman"/>
          <w:color w:val="000000"/>
        </w:rPr>
        <w:t xml:space="preserve">Esta hipótese aprofunda o entendimento da coexistência, argumentando que a irrelevância percebida de um organismo não implica a eliminação do outro. Pelo contrário, a competição funcional sustenta a sobrevivência de ambos. A CELAC, ao oferecer um espaço de diálogo livre da influência dos EUA, exerce uma função de legitimação política para governos que buscam autonomia, enquanto a OEA, mesmo sob críticas recorrentes de seletividade, mantém o monopólio de funções cruciais como a observação eleitoral e a defesa dos Direitos Humanos por meio da Comissão Interamericana de Direitos Humanos (CIDH). Assim, a dualidade reflete a complexa política externa latino-americana, que oscila entre a acomodação pragmática (OEA) e a autonomia ideológica (CELAC).</w:t>
      </w:r>
    </w:p>
    <w:p>
      <w:pPr>
        <w:pStyle w:val="BodyText"/>
      </w:pPr>
      <w:r>
        <w:rPr>
          <w:rFonts w:ascii="Times New Roman" w:hAnsi="Times New Roman" w:cs="Times New Roman"/>
          <w:color w:val="000000"/>
        </w:rPr>
        <w:t xml:space="preserve">O caso colombiano é particularmente revelador para esta hipótese secundária: a atuação concomitante da OEA (via MAPP) e da CELAC (via declarações políticas de apoio e oferta de observadores à missão da ONU) demonstra empiricamente que a dualidade funcional pode se manifestar de forma complementar, e não apenas antagônica.</w:t>
      </w:r>
    </w:p>
    <w:bookmarkEnd w:id="35"/>
    <w:bookmarkEnd w:id="36"/>
    <w:bookmarkStart w:id="43" w:name="método-de-abordagem"/>
    <w:p>
      <w:pPr>
        <w:pStyle w:val="Heading2"/>
      </w:pPr>
      <w:r>
        <w:rPr>
          <w:rFonts w:ascii="Times New Roman" w:hAnsi="Times New Roman" w:cs="Times New Roman"/>
          <w:color w:val="000000"/>
        </w:rPr>
        <w:t xml:space="preserve">7 MÉTODO DE ABORDAGEM</w:t>
      </w:r>
    </w:p>
    <w:p>
      <w:pPr>
        <w:pStyle w:val="FirstParagraph"/>
      </w:pPr>
      <w:r>
        <w:rPr>
          <w:rFonts w:ascii="Times New Roman" w:hAnsi="Times New Roman" w:cs="Times New Roman"/>
          <w:color w:val="000000"/>
        </w:rPr>
        <w:t xml:space="preserve">A metodologia adotada para este trabalho é qualitativa e comparativa, tendo como eixo central a análise documental sistemática. O objetivo não é a descrição cronológica de eventos, mas a busca por uma compreensão aprofundada das dinâmicas institucionais, das narrativas políticas e das percepções de legitimidade que estruturam a disputa pela governança regional entre a OEA e a CELAC. A meta metodológica é comparar os padrões de comportamento e a legitimidade dos dois modelos com base em documentação pública robusta, garantindo a exequibilidade plena do projeto no horizonte do mestrado.</w:t>
      </w:r>
    </w:p>
    <w:p>
      <w:pPr>
        <w:pStyle w:val="BodyText"/>
      </w:pPr>
      <w:r>
        <w:rPr>
          <w:rFonts w:ascii="Times New Roman" w:hAnsi="Times New Roman" w:cs="Times New Roman"/>
          <w:color w:val="000000"/>
        </w:rPr>
        <w:t xml:space="preserve">A dissertação é integralmente viável com base na análise documental aqui proposta. Entrevistas com atores externos não constituem condição necessária para a conclusão do trabalho: elas figuram como etapa opcional, complementar, a ser realizada após a qualificação, caso haja tempo, acesso e condições institucionais adequadas. Da mesma forma, o uso de fontes complementares descrito em 7.3.5 (imprensa regional e documentação de domínio público proveniente de plataformas de vazamento) é apresentado como</w:t>
      </w:r>
      <w:r>
        <w:rPr>
          <w:rFonts w:ascii="Times New Roman" w:hAnsi="Times New Roman" w:cs="Times New Roman"/>
          <w:color w:val="000000"/>
        </w:rPr>
        <w:t xml:space="preserve"> </w:t>
      </w:r>
      <w:r>
        <w:rPr>
          <w:rFonts w:ascii="Times New Roman" w:hAnsi="Times New Roman" w:cs="Times New Roman"/>
          <w:b/>
          <w:bCs/>
          <w:color w:val="000000"/>
        </w:rPr>
        <w:t xml:space="preserve">possibilidade</w:t>
      </w:r>
      <w:r>
        <w:rPr>
          <w:rFonts w:ascii="Times New Roman" w:hAnsi="Times New Roman" w:cs="Times New Roman"/>
          <w:color w:val="000000"/>
        </w:rPr>
        <w:t xml:space="preserve"> </w:t>
      </w:r>
      <w:r>
        <w:rPr>
          <w:rFonts w:ascii="Times New Roman" w:hAnsi="Times New Roman" w:cs="Times New Roman"/>
          <w:color w:val="000000"/>
        </w:rPr>
        <w:t xml:space="preserve">subordinada à triangulação com fontes oficiais, não como compromisso metodológico do projeto.</w:t>
      </w:r>
    </w:p>
    <w:bookmarkStart w:id="37" w:name="método-comparativo-e-variáveis-de-estudo"/>
    <w:p>
      <w:pPr>
        <w:pStyle w:val="Heading3"/>
      </w:pPr>
      <w:r>
        <w:rPr>
          <w:rFonts w:ascii="Times New Roman" w:hAnsi="Times New Roman" w:cs="Times New Roman"/>
          <w:color w:val="000000"/>
        </w:rPr>
        <w:t xml:space="preserve">7.1 Método Comparativo e Variáveis de Estudo</w:t>
      </w:r>
    </w:p>
    <w:p>
      <w:pPr>
        <w:pStyle w:val="FirstParagraph"/>
      </w:pPr>
      <w:r>
        <w:rPr>
          <w:rFonts w:ascii="Times New Roman" w:hAnsi="Times New Roman" w:cs="Times New Roman"/>
          <w:color w:val="000000"/>
        </w:rPr>
        <w:t xml:space="preserve">O método central adotado é a Comparação Focada e Estruturada (Structured Focused Comparison), conforme preconizado por Gerring (2007) e Yin (2018), que prioriza a profundidade contextual dos casos em detrimento da generalização estatística. Este método é adequado ao tema porque permite o exame rigoroso dos mesmos episódios históricos sob o olhar de duas estruturas institucionais distintas, identificando padrões de comportamento e contradições de atuação. Cada caso é tratado como unidade de análise autônoma, mas o desenho comparado assegura a possibilidade de extrair inferências sobre os padrões institucionais gerais dos dois organismos.</w:t>
      </w:r>
    </w:p>
    <w:p>
      <w:pPr>
        <w:pStyle w:val="BodyText"/>
      </w:pPr>
      <w:r>
        <w:rPr>
          <w:rFonts w:ascii="Times New Roman" w:hAnsi="Times New Roman" w:cs="Times New Roman"/>
          <w:color w:val="000000"/>
        </w:rPr>
        <w:t xml:space="preserve">As hipóteses serão testadas a partir de três dimensões principais, que funcionam como variáveis de estudo no quadro comparativo:</w:t>
      </w:r>
    </w:p>
    <w:p>
      <w:pPr>
        <w:numPr>
          <w:ilvl w:val="0"/>
          <w:numId w:val="1004"/>
        </w:numPr>
      </w:pPr>
      <w:r>
        <w:rPr>
          <w:rFonts w:ascii="Times New Roman" w:hAnsi="Times New Roman" w:cs="Times New Roman"/>
          <w:b/>
          <w:bCs/>
          <w:color w:val="000000"/>
        </w:rPr>
        <w:t xml:space="preserve">Institucionalidade (Estrutura e Ação Formal):</w:t>
      </w:r>
      <w:r>
        <w:rPr>
          <w:rFonts w:ascii="Times New Roman" w:hAnsi="Times New Roman" w:cs="Times New Roman"/>
          <w:color w:val="000000"/>
        </w:rPr>
        <w:t xml:space="preserve"> </w:t>
      </w:r>
      <w:r>
        <w:rPr>
          <w:rFonts w:ascii="Times New Roman" w:hAnsi="Times New Roman" w:cs="Times New Roman"/>
          <w:color w:val="000000"/>
        </w:rPr>
        <w:t xml:space="preserve">medida pela aplicação de mecanismos formais (acionamento da Carta Democrática Interamericana, suspensões e resoluções da OEA) e pela análise da ausência institucional da CELAC como recurso político de consenso, entendida não como fraqueza, mas como estratégia de soberania compartilhada.</w:t>
      </w:r>
    </w:p>
    <w:p>
      <w:pPr>
        <w:numPr>
          <w:ilvl w:val="0"/>
          <w:numId w:val="1004"/>
        </w:numPr>
      </w:pPr>
      <w:r>
        <w:rPr>
          <w:rFonts w:ascii="Times New Roman" w:hAnsi="Times New Roman" w:cs="Times New Roman"/>
          <w:b/>
          <w:bCs/>
          <w:color w:val="000000"/>
        </w:rPr>
        <w:t xml:space="preserve">Narrativa Política (Legitimidade Discursiva):</w:t>
      </w:r>
      <w:r>
        <w:rPr>
          <w:rFonts w:ascii="Times New Roman" w:hAnsi="Times New Roman" w:cs="Times New Roman"/>
          <w:color w:val="000000"/>
        </w:rPr>
        <w:t xml:space="preserve"> </w:t>
      </w:r>
      <w:r>
        <w:rPr>
          <w:rFonts w:ascii="Times New Roman" w:hAnsi="Times New Roman" w:cs="Times New Roman"/>
          <w:color w:val="000000"/>
        </w:rPr>
        <w:t xml:space="preserve">foco na capacidade da CELAC de construir uma narrativa de legitimidade que desafie ou relativize a hegemonia discursiva da OEA. A Análise de Conteúdo Qualitativa (ACQ) aplicada aos documentos revelará o posicionamento ideológico e os limites da autonomia regional articulados por cada organismo.</w:t>
      </w:r>
    </w:p>
    <w:p>
      <w:pPr>
        <w:numPr>
          <w:ilvl w:val="0"/>
          <w:numId w:val="1004"/>
        </w:numPr>
      </w:pPr>
      <w:r>
        <w:rPr>
          <w:rFonts w:ascii="Times New Roman" w:hAnsi="Times New Roman" w:cs="Times New Roman"/>
          <w:b/>
          <w:bCs/>
          <w:color w:val="000000"/>
        </w:rPr>
        <w:t xml:space="preserve">Resultados Práticos (Eficácia e Seletividade):</w:t>
      </w:r>
      <w:r>
        <w:rPr>
          <w:rFonts w:ascii="Times New Roman" w:hAnsi="Times New Roman" w:cs="Times New Roman"/>
          <w:color w:val="000000"/>
        </w:rPr>
        <w:t xml:space="preserve"> </w:t>
      </w:r>
      <w:r>
        <w:rPr>
          <w:rFonts w:ascii="Times New Roman" w:hAnsi="Times New Roman" w:cs="Times New Roman"/>
          <w:color w:val="000000"/>
        </w:rPr>
        <w:t xml:space="preserve">avaliação do impacto das ações de cada organismo no desfecho concreto de cada crise. A seletividade (subvariável crítica) será mensurada ao contrastar as posturas da OEA em Honduras (2009) e Paraguai (2012), testando a tese de instrumentalização pelos Estados Unidos. No caso colombiano, a avaliação incide sobre os resultados efetivos da atuação complementar dos dois organismos.</w:t>
      </w:r>
    </w:p>
    <w:p>
      <w:pPr>
        <w:pStyle w:val="FirstParagraph"/>
      </w:pPr>
      <w:r>
        <w:rPr>
          <w:rFonts w:ascii="Times New Roman" w:hAnsi="Times New Roman" w:cs="Times New Roman"/>
          <w:b/>
          <w:bCs/>
          <w:color w:val="000000"/>
        </w:rPr>
        <w:t xml:space="preserve">Operacionalização de</w:t>
      </w:r>
      <w:r>
        <w:rPr>
          <w:rFonts w:ascii="Times New Roman" w:hAnsi="Times New Roman" w:cs="Times New Roman"/>
          <w:b/>
          <w:bCs/>
          <w:color w:val="000000"/>
        </w:rPr>
        <w:t xml:space="preserve"> </w:t>
      </w:r>
      <w:r>
        <w:rPr>
          <w:rFonts w:ascii="Times New Roman" w:hAnsi="Times New Roman" w:cs="Times New Roman"/>
          <w:b/>
          <w:bCs/>
          <w:color w:val="000000"/>
        </w:rPr>
        <w:t xml:space="preserve">‘</w:t>
      </w:r>
      <w:r>
        <w:rPr>
          <w:rFonts w:ascii="Times New Roman" w:hAnsi="Times New Roman" w:cs="Times New Roman"/>
          <w:b/>
          <w:bCs/>
          <w:color w:val="000000"/>
        </w:rPr>
        <w:t xml:space="preserve">seletividade</w:t>
      </w:r>
      <w:r>
        <w:rPr>
          <w:rFonts w:ascii="Times New Roman" w:hAnsi="Times New Roman" w:cs="Times New Roman"/>
          <w:b/>
          <w:bCs/>
          <w:color w:val="000000"/>
        </w:rPr>
        <w:t xml:space="preserve">’</w:t>
      </w:r>
      <w:r>
        <w:rPr>
          <w:rFonts w:ascii="Times New Roman" w:hAnsi="Times New Roman" w:cs="Times New Roman"/>
          <w:b/>
          <w:bCs/>
          <w:color w:val="000000"/>
        </w:rPr>
        <w:t xml:space="preserve"> </w:t>
      </w:r>
      <w:r>
        <w:rPr>
          <w:rFonts w:ascii="Times New Roman" w:hAnsi="Times New Roman" w:cs="Times New Roman"/>
          <w:b/>
          <w:bCs/>
          <w:color w:val="000000"/>
        </w:rPr>
        <w:t xml:space="preserve">e</w:t>
      </w:r>
      <w:r>
        <w:rPr>
          <w:rFonts w:ascii="Times New Roman" w:hAnsi="Times New Roman" w:cs="Times New Roman"/>
          <w:b/>
          <w:bCs/>
          <w:color w:val="000000"/>
        </w:rPr>
        <w:t xml:space="preserve"> </w:t>
      </w:r>
      <w:r>
        <w:rPr>
          <w:rFonts w:ascii="Times New Roman" w:hAnsi="Times New Roman" w:cs="Times New Roman"/>
          <w:b/>
          <w:bCs/>
          <w:color w:val="000000"/>
        </w:rPr>
        <w:t xml:space="preserve">‘</w:t>
      </w:r>
      <w:r>
        <w:rPr>
          <w:rFonts w:ascii="Times New Roman" w:hAnsi="Times New Roman" w:cs="Times New Roman"/>
          <w:b/>
          <w:bCs/>
          <w:color w:val="000000"/>
        </w:rPr>
        <w:t xml:space="preserve">coerência discursiva</w:t>
      </w:r>
      <w:r>
        <w:rPr>
          <w:rFonts w:ascii="Times New Roman" w:hAnsi="Times New Roman" w:cs="Times New Roman"/>
          <w:b/>
          <w:bCs/>
          <w:color w:val="000000"/>
        </w:rPr>
        <w:t xml:space="preserve">’</w:t>
      </w:r>
      <w:r>
        <w:rPr>
          <w:rFonts w:ascii="Times New Roman" w:hAnsi="Times New Roman" w:cs="Times New Roman"/>
          <w:b/>
          <w:bCs/>
          <w:color w:val="000000"/>
        </w:rPr>
        <w:t xml:space="preserve">.</w:t>
      </w:r>
      <w:r>
        <w:rPr>
          <w:rFonts w:ascii="Times New Roman" w:hAnsi="Times New Roman" w:cs="Times New Roman"/>
          <w:color w:val="000000"/>
        </w:rPr>
        <w:t xml:space="preserve"> </w:t>
      </w:r>
      <w:r>
        <w:rPr>
          <w:rFonts w:ascii="Times New Roman" w:hAnsi="Times New Roman" w:cs="Times New Roman"/>
          <w:color w:val="000000"/>
        </w:rPr>
        <w:t xml:space="preserve">Para evitar que esses dois construtos centrais permaneçam como categorias avaliativas não falsificáveis, a pesquisa adota os seguintes indicadores observáveis:</w:t>
      </w:r>
    </w:p>
    <w:p>
      <w:pPr>
        <w:numPr>
          <w:ilvl w:val="0"/>
          <w:numId w:val="1005"/>
        </w:numPr>
      </w:pPr>
      <w:r>
        <w:rPr>
          <w:rFonts w:ascii="Times New Roman" w:hAnsi="Times New Roman" w:cs="Times New Roman"/>
          <w:b/>
          <w:bCs/>
          <w:color w:val="000000"/>
        </w:rPr>
        <w:t xml:space="preserve">Seletividade da OEA (variável comportamental):</w:t>
      </w:r>
      <w:r>
        <w:rPr>
          <w:rFonts w:ascii="Times New Roman" w:hAnsi="Times New Roman" w:cs="Times New Roman"/>
          <w:color w:val="000000"/>
        </w:rPr>
        <w:t xml:space="preserve"> </w:t>
      </w:r>
      <w:r>
        <w:rPr>
          <w:rFonts w:ascii="Times New Roman" w:hAnsi="Times New Roman" w:cs="Times New Roman"/>
          <w:color w:val="000000"/>
        </w:rPr>
        <w:t xml:space="preserve">mensurada por cinco indicadores aplicados em paralelo nos casos Honduras 2009 e Paraguai 2012, (i) intervalo de tempo, em dias, entre o evento desencadeador e a primeira manifestação formal do Conselho Permanente; (ii) intervalo entre o evento e a aprovação de resolução substantiva pela Assembleia Geral; (iii) presença ou ausência de menção expressa à Carta Democrática Interamericana nos dispositivos; (iv) presença ou ausência de suspensão do país da OEA; (v) linguagem comparada das resoluções e atas (qualificação do evento como</w:t>
      </w:r>
      <w:r>
        <w:rPr>
          <w:rFonts w:ascii="Times New Roman" w:hAnsi="Times New Roman" w:cs="Times New Roman"/>
          <w:color w:val="000000"/>
        </w:rPr>
        <w:t xml:space="preserve"> </w:t>
      </w:r>
      <w:r>
        <w:rPr>
          <w:rFonts w:ascii="Times New Roman" w:hAnsi="Times New Roman" w:cs="Times New Roman"/>
          <w:color w:val="000000"/>
        </w:rPr>
        <w:t xml:space="preserve">“</w:t>
      </w:r>
      <w:r>
        <w:rPr>
          <w:rFonts w:ascii="Times New Roman" w:hAnsi="Times New Roman" w:cs="Times New Roman"/>
          <w:color w:val="000000"/>
        </w:rPr>
        <w:t xml:space="preserve">golpe de Estado</w:t>
      </w:r>
      <w:r>
        <w:rPr>
          <w:rFonts w:ascii="Times New Roman" w:hAnsi="Times New Roman" w:cs="Times New Roman"/>
          <w:color w:val="000000"/>
        </w:rPr>
        <w:t xml:space="preserve">”</w:t>
      </w:r>
      <w:r>
        <w:rPr>
          <w:rFonts w:ascii="Times New Roman" w:hAnsi="Times New Roman" w:cs="Times New Roman"/>
          <w:color w:val="000000"/>
        </w:rPr>
        <w:t xml:space="preserve">,</w:t>
      </w:r>
      <w:r>
        <w:rPr>
          <w:rFonts w:ascii="Times New Roman" w:hAnsi="Times New Roman" w:cs="Times New Roman"/>
          <w:color w:val="000000"/>
        </w:rPr>
        <w:t xml:space="preserve"> </w:t>
      </w:r>
      <w:r>
        <w:rPr>
          <w:rFonts w:ascii="Times New Roman" w:hAnsi="Times New Roman" w:cs="Times New Roman"/>
          <w:color w:val="000000"/>
        </w:rPr>
        <w:t xml:space="preserve">“</w:t>
      </w:r>
      <w:r>
        <w:rPr>
          <w:rFonts w:ascii="Times New Roman" w:hAnsi="Times New Roman" w:cs="Times New Roman"/>
          <w:color w:val="000000"/>
        </w:rPr>
        <w:t xml:space="preserve">ruptura</w:t>
      </w:r>
      <w:r>
        <w:rPr>
          <w:rFonts w:ascii="Times New Roman" w:hAnsi="Times New Roman" w:cs="Times New Roman"/>
          <w:color w:val="000000"/>
        </w:rPr>
        <w:t xml:space="preserve">”</w:t>
      </w:r>
      <w:r>
        <w:rPr>
          <w:rFonts w:ascii="Times New Roman" w:hAnsi="Times New Roman" w:cs="Times New Roman"/>
          <w:color w:val="000000"/>
        </w:rPr>
        <w:t xml:space="preserve">,</w:t>
      </w:r>
      <w:r>
        <w:rPr>
          <w:rFonts w:ascii="Times New Roman" w:hAnsi="Times New Roman" w:cs="Times New Roman"/>
          <w:color w:val="000000"/>
        </w:rPr>
        <w:t xml:space="preserve"> </w:t>
      </w:r>
      <w:r>
        <w:rPr>
          <w:rFonts w:ascii="Times New Roman" w:hAnsi="Times New Roman" w:cs="Times New Roman"/>
          <w:color w:val="000000"/>
        </w:rPr>
        <w:t xml:space="preserve">“</w:t>
      </w:r>
      <w:r>
        <w:rPr>
          <w:rFonts w:ascii="Times New Roman" w:hAnsi="Times New Roman" w:cs="Times New Roman"/>
          <w:color w:val="000000"/>
        </w:rPr>
        <w:t xml:space="preserve">alteração constitucional</w:t>
      </w:r>
      <w:r>
        <w:rPr>
          <w:rFonts w:ascii="Times New Roman" w:hAnsi="Times New Roman" w:cs="Times New Roman"/>
          <w:color w:val="000000"/>
        </w:rPr>
        <w:t xml:space="preserve">”</w:t>
      </w:r>
      <w:r>
        <w:rPr>
          <w:rFonts w:ascii="Times New Roman" w:hAnsi="Times New Roman" w:cs="Times New Roman"/>
          <w:color w:val="000000"/>
        </w:rPr>
        <w:t xml:space="preserve"> </w:t>
      </w:r>
      <w:r>
        <w:rPr>
          <w:rFonts w:ascii="Times New Roman" w:hAnsi="Times New Roman" w:cs="Times New Roman"/>
          <w:color w:val="000000"/>
        </w:rPr>
        <w:t xml:space="preserve">etc.). A hipótese de seletividade será considerada</w:t>
      </w:r>
      <w:r>
        <w:rPr>
          <w:rFonts w:ascii="Times New Roman" w:hAnsi="Times New Roman" w:cs="Times New Roman"/>
          <w:color w:val="000000"/>
        </w:rPr>
        <w:t xml:space="preserve"> </w:t>
      </w:r>
      <w:r>
        <w:rPr>
          <w:rFonts w:ascii="Times New Roman" w:hAnsi="Times New Roman" w:cs="Times New Roman"/>
          <w:b/>
          <w:bCs/>
          <w:color w:val="000000"/>
        </w:rPr>
        <w:t xml:space="preserve">corroborada</w:t>
      </w:r>
      <w:r>
        <w:rPr>
          <w:rFonts w:ascii="Times New Roman" w:hAnsi="Times New Roman" w:cs="Times New Roman"/>
          <w:color w:val="000000"/>
        </w:rPr>
        <w:t xml:space="preserve"> </w:t>
      </w:r>
      <w:r>
        <w:rPr>
          <w:rFonts w:ascii="Times New Roman" w:hAnsi="Times New Roman" w:cs="Times New Roman"/>
          <w:color w:val="000000"/>
        </w:rPr>
        <w:t xml:space="preserve">caso a OEA apresente intervalos significativamente menores em Honduras e qualificação discursiva substancialmente mais rigorosa, apesar de o caso paraguaio envolver, do ponto de vista normativo da Carta, igualmente uma ruptura da ordem democrática.</w:t>
      </w:r>
    </w:p>
    <w:p>
      <w:pPr>
        <w:numPr>
          <w:ilvl w:val="0"/>
          <w:numId w:val="1005"/>
        </w:numPr>
      </w:pPr>
      <w:r>
        <w:rPr>
          <w:rFonts w:ascii="Times New Roman" w:hAnsi="Times New Roman" w:cs="Times New Roman"/>
          <w:b/>
          <w:bCs/>
          <w:color w:val="000000"/>
        </w:rPr>
        <w:t xml:space="preserve">Coerência discursiva da CELAC (variável narrativa):</w:t>
      </w:r>
      <w:r>
        <w:rPr>
          <w:rFonts w:ascii="Times New Roman" w:hAnsi="Times New Roman" w:cs="Times New Roman"/>
          <w:color w:val="000000"/>
        </w:rPr>
        <w:t xml:space="preserve"> </w:t>
      </w:r>
      <w:r>
        <w:rPr>
          <w:rFonts w:ascii="Times New Roman" w:hAnsi="Times New Roman" w:cs="Times New Roman"/>
          <w:color w:val="000000"/>
        </w:rPr>
        <w:t xml:space="preserve">mensurada por três indicadores aplicados aos documentos primários da CELAC (declarações de cúpula, comunicados, atas das PPT), (i) frequência normalizada de ocorrência dos códigos NV-NI, NV-SOB e NV-AUT por documento; (ii) presença de</w:t>
      </w:r>
      <w:r>
        <w:rPr>
          <w:rFonts w:ascii="Times New Roman" w:hAnsi="Times New Roman" w:cs="Times New Roman"/>
          <w:color w:val="000000"/>
        </w:rPr>
        <w:t xml:space="preserve"> </w:t>
      </w:r>
      <w:r>
        <w:rPr>
          <w:rFonts w:ascii="Times New Roman" w:hAnsi="Times New Roman" w:cs="Times New Roman"/>
          <w:b/>
          <w:bCs/>
          <w:color w:val="000000"/>
        </w:rPr>
        <w:t xml:space="preserve">contradições internas</w:t>
      </w:r>
      <w:r>
        <w:rPr>
          <w:rFonts w:ascii="Times New Roman" w:hAnsi="Times New Roman" w:cs="Times New Roman"/>
          <w:color w:val="000000"/>
        </w:rPr>
        <w:t xml:space="preserve"> </w:t>
      </w:r>
      <w:r>
        <w:rPr>
          <w:rFonts w:ascii="Times New Roman" w:hAnsi="Times New Roman" w:cs="Times New Roman"/>
          <w:color w:val="000000"/>
        </w:rPr>
        <w:t xml:space="preserve">entre o discurso sobre soberania e a ação prática (por exemplo, não-convite a um Estado-membro, como no caso Paraguai 2013); (iii) estabilidade do vocábulo crítico (NV-NI, NV-SOB, NV-AUT) ao longo do período 2010–2020, comparada à variância do vocábulo dos documentos homólogos da OEA. A hipótese de coerência discursiva será considerada</w:t>
      </w:r>
      <w:r>
        <w:rPr>
          <w:rFonts w:ascii="Times New Roman" w:hAnsi="Times New Roman" w:cs="Times New Roman"/>
          <w:color w:val="000000"/>
        </w:rPr>
        <w:t xml:space="preserve"> </w:t>
      </w:r>
      <w:r>
        <w:rPr>
          <w:rFonts w:ascii="Times New Roman" w:hAnsi="Times New Roman" w:cs="Times New Roman"/>
          <w:b/>
          <w:bCs/>
          <w:color w:val="000000"/>
        </w:rPr>
        <w:t xml:space="preserve">corroborada</w:t>
      </w:r>
      <w:r>
        <w:rPr>
          <w:rFonts w:ascii="Times New Roman" w:hAnsi="Times New Roman" w:cs="Times New Roman"/>
          <w:color w:val="000000"/>
        </w:rPr>
        <w:t xml:space="preserve"> </w:t>
      </w:r>
      <w:r>
        <w:rPr>
          <w:rFonts w:ascii="Times New Roman" w:hAnsi="Times New Roman" w:cs="Times New Roman"/>
          <w:color w:val="000000"/>
        </w:rPr>
        <w:t xml:space="preserve">se a CELAC apresentar densidade e estabilidade significativamente maiores dos três códigos do que a OEA, sem que isso implique tomar a coerência como sinônimo de eficácia material. A coerência discursiva, nesta pesquisa, é uma propriedade observável da linguagem oficial, não uma virtude política.</w:t>
      </w:r>
    </w:p>
    <w:p>
      <w:pPr>
        <w:pStyle w:val="FirstParagraph"/>
      </w:pPr>
      <w:r>
        <w:rPr>
          <w:rFonts w:ascii="Times New Roman" w:hAnsi="Times New Roman" w:cs="Times New Roman"/>
          <w:color w:val="000000"/>
        </w:rPr>
        <w:t xml:space="preserve">A combinação desses dois conjuntos de indicadores permite testar as hipóteses centrais sem recorrer a julgamentos avaliativos, e é condição de admissibilidade metodológica para a aplicação da ACQ descrita em 7.5.</w:t>
      </w:r>
    </w:p>
    <w:bookmarkEnd w:id="37"/>
    <w:bookmarkStart w:id="38" w:name="seleção-e-justificativa-dos-casos"/>
    <w:p>
      <w:pPr>
        <w:pStyle w:val="Heading3"/>
      </w:pPr>
      <w:r>
        <w:rPr>
          <w:rFonts w:ascii="Times New Roman" w:hAnsi="Times New Roman" w:cs="Times New Roman"/>
          <w:color w:val="000000"/>
        </w:rPr>
        <w:t xml:space="preserve">7.2 Seleção e Justificativa dos Casos</w:t>
      </w:r>
    </w:p>
    <w:p>
      <w:pPr>
        <w:pStyle w:val="FirstParagraph"/>
      </w:pPr>
      <w:r>
        <w:rPr>
          <w:rFonts w:ascii="Times New Roman" w:hAnsi="Times New Roman" w:cs="Times New Roman"/>
          <w:color w:val="000000"/>
        </w:rPr>
        <w:t xml:space="preserve">Os três casos críticos selecionados, Honduras (2009), Paraguai (2012) e Colômbia (2016+), foram escolhidos por amostragem intencional e pelo critério de presença e contraste simultâneo de OEA e CELAC. Conforme detalhado no Quadro 1, cada caso cumpre uma função metodológica distinta no desenho comparado: Honduras é o caso catalisador que testa os limites da institucionalidade da OEA; Paraguai é o caso crítico que testa a seletividade do organismo; e a Colômbia é o caso de funções complementares que permite testar a hipótese de dualidade funcional não antagônica.</w:t>
      </w:r>
    </w:p>
    <w:p>
      <w:pPr>
        <w:pStyle w:val="BodyText"/>
      </w:pPr>
      <w:r>
        <w:rPr>
          <w:rFonts w:ascii="Times New Roman" w:hAnsi="Times New Roman" w:cs="Times New Roman"/>
          <w:color w:val="000000"/>
        </w:rPr>
        <w:t xml:space="preserve">A redução de cinco para três casos empíricos, em relação à versão preliminar do projeto, é uma decisão metodológica deliberada e sustentada por dois argumentos. Primeiro, a profundidade analítica exigida pela Comparação Focada e Estruturada é inversamente proporcional ao número de casos: com três casos bem documentados, é possível aplicar com rigor a ACQ e as três dimensões de análise. Segundo, a disponibilidade de documentação pública densa para os três casos selecionados assegura a exequibilidade do projeto no prazo do mestrado, sem que entrevistas constituam condição necessária para sustentar as inferências centrais.</w:t>
      </w:r>
    </w:p>
    <w:bookmarkEnd w:id="38"/>
    <w:bookmarkStart w:id="39" w:name="pesquisa-documental"/>
    <w:p>
      <w:pPr>
        <w:pStyle w:val="Heading3"/>
      </w:pPr>
      <w:r>
        <w:rPr>
          <w:rFonts w:ascii="Times New Roman" w:hAnsi="Times New Roman" w:cs="Times New Roman"/>
          <w:color w:val="000000"/>
        </w:rPr>
        <w:t xml:space="preserve">7.3 Pesquisa Documental</w:t>
      </w:r>
    </w:p>
    <w:p>
      <w:pPr>
        <w:pStyle w:val="FirstParagraph"/>
      </w:pPr>
      <w:r>
        <w:rPr>
          <w:rFonts w:ascii="Times New Roman" w:hAnsi="Times New Roman" w:cs="Times New Roman"/>
          <w:color w:val="000000"/>
        </w:rPr>
        <w:t xml:space="preserve">A pesquisa documental constitui o eixo central e autossuficiente da metodologia empírica. Os documentos são tratados como evidências primárias das variáveis de Institucionalidade e Narrativa Política, e como base principal para a avaliação dos Resultados Práticos. A coleta será focada nas seguintes categorias de fontes:</w:t>
      </w:r>
    </w:p>
    <w:p>
      <w:pPr>
        <w:numPr>
          <w:ilvl w:val="0"/>
          <w:numId w:val="1006"/>
        </w:numPr>
      </w:pPr>
      <w:r>
        <w:rPr>
          <w:rFonts w:ascii="Times New Roman" w:hAnsi="Times New Roman" w:cs="Times New Roman"/>
          <w:b/>
          <w:bCs/>
          <w:color w:val="000000"/>
        </w:rPr>
        <w:t xml:space="preserve">Documentos Oficiais da OEA:</w:t>
      </w:r>
      <w:r>
        <w:rPr>
          <w:rFonts w:ascii="Times New Roman" w:hAnsi="Times New Roman" w:cs="Times New Roman"/>
          <w:color w:val="000000"/>
        </w:rPr>
        <w:t xml:space="preserve"> </w:t>
      </w:r>
      <w:r>
        <w:rPr>
          <w:rFonts w:ascii="Times New Roman" w:hAnsi="Times New Roman" w:cs="Times New Roman"/>
          <w:color w:val="000000"/>
        </w:rPr>
        <w:t xml:space="preserve">resoluções do Conselho Permanente e da Assembleia Geral, atas de reuniões extraordinárias e documentos relativos à aplicação da Carta Democrática Interamericana nos três casos selecionados. Fontes: sítio oficial da OEA (oas.org), base de dados SEDI/OEA e repositório digital do Conselho Permanente.</w:t>
      </w:r>
    </w:p>
    <w:p>
      <w:pPr>
        <w:numPr>
          <w:ilvl w:val="0"/>
          <w:numId w:val="1006"/>
        </w:numPr>
      </w:pPr>
      <w:r>
        <w:rPr>
          <w:rFonts w:ascii="Times New Roman" w:hAnsi="Times New Roman" w:cs="Times New Roman"/>
          <w:b/>
          <w:bCs/>
          <w:color w:val="000000"/>
        </w:rPr>
        <w:t xml:space="preserve">Relatórios da CIDH:</w:t>
      </w:r>
      <w:r>
        <w:rPr>
          <w:rFonts w:ascii="Times New Roman" w:hAnsi="Times New Roman" w:cs="Times New Roman"/>
          <w:color w:val="000000"/>
        </w:rPr>
        <w:t xml:space="preserve"> </w:t>
      </w:r>
      <w:r>
        <w:rPr>
          <w:rFonts w:ascii="Times New Roman" w:hAnsi="Times New Roman" w:cs="Times New Roman"/>
          <w:color w:val="000000"/>
        </w:rPr>
        <w:t xml:space="preserve">relatórios anuais, relatórios especiais e comunicados específicos sobre Honduras (2009–2011), Paraguai (2012) e Colômbia (2016+), essenciais para mensurar a dimensão de direitos humanos e a seletividade da OEA. Fonte: portal oficial da CIDH (oas.org/pt/cidh).</w:t>
      </w:r>
    </w:p>
    <w:p>
      <w:pPr>
        <w:numPr>
          <w:ilvl w:val="0"/>
          <w:numId w:val="1006"/>
        </w:numPr>
      </w:pPr>
      <w:r>
        <w:rPr>
          <w:rFonts w:ascii="Times New Roman" w:hAnsi="Times New Roman" w:cs="Times New Roman"/>
          <w:b/>
          <w:bCs/>
          <w:color w:val="000000"/>
        </w:rPr>
        <w:t xml:space="preserve">Documentos da CELAC:</w:t>
      </w:r>
      <w:r>
        <w:rPr>
          <w:rFonts w:ascii="Times New Roman" w:hAnsi="Times New Roman" w:cs="Times New Roman"/>
          <w:color w:val="000000"/>
        </w:rPr>
        <w:t xml:space="preserve"> </w:t>
      </w:r>
      <w:r>
        <w:rPr>
          <w:rFonts w:ascii="Times New Roman" w:hAnsi="Times New Roman" w:cs="Times New Roman"/>
          <w:color w:val="000000"/>
        </w:rPr>
        <w:t xml:space="preserve">declarações de cúpula, comunicados presidenciais e documentos das Presidências Pro Tempore relativos aos três casos. A fragilidade institucional da CELAC, sem secretariado permanente e com repositórios oficiais instáveis, é reconhecida como limitação metodológica (ver subseção 7.6). A mitigação desta limitação será realizada por meio de repositórios alternativos: acervo da CEPAL (cepal.org), Wayback Machine/Internet Archive, e bases de dados de organismos acadêmicos como CLACSO e CRIES.</w:t>
      </w:r>
    </w:p>
    <w:p>
      <w:pPr>
        <w:numPr>
          <w:ilvl w:val="0"/>
          <w:numId w:val="1006"/>
        </w:numPr>
      </w:pPr>
      <w:r>
        <w:rPr>
          <w:rFonts w:ascii="Times New Roman" w:hAnsi="Times New Roman" w:cs="Times New Roman"/>
          <w:b/>
          <w:bCs/>
          <w:color w:val="000000"/>
        </w:rPr>
        <w:t xml:space="preserve">Fontes Secundárias Qualificadas:</w:t>
      </w:r>
      <w:r>
        <w:rPr>
          <w:rFonts w:ascii="Times New Roman" w:hAnsi="Times New Roman" w:cs="Times New Roman"/>
          <w:color w:val="000000"/>
        </w:rPr>
        <w:t xml:space="preserve"> </w:t>
      </w:r>
      <w:r>
        <w:rPr>
          <w:rFonts w:ascii="Times New Roman" w:hAnsi="Times New Roman" w:cs="Times New Roman"/>
          <w:color w:val="000000"/>
        </w:rPr>
        <w:t xml:space="preserve">artigos acadêmicos peer-reviewed, capítulos de livros e análises especializadas, utilizados para contextualizar e triangular a percepção de legitimidade e os resultados práticos identificados na documentação primária. As fontes secundárias serão selecionadas a partir do núcleo bibliográfico já validado na revisão de literatura.</w:t>
      </w:r>
    </w:p>
    <w:p>
      <w:pPr>
        <w:numPr>
          <w:ilvl w:val="0"/>
          <w:numId w:val="1006"/>
        </w:numPr>
      </w:pPr>
      <w:r>
        <w:rPr>
          <w:rFonts w:ascii="Times New Roman" w:hAnsi="Times New Roman" w:cs="Times New Roman"/>
          <w:b/>
          <w:bCs/>
          <w:color w:val="000000"/>
        </w:rPr>
        <w:t xml:space="preserve">Fontes Complementares (possibilidade subordinada à triangulação):</w:t>
      </w:r>
      <w:r>
        <w:rPr>
          <w:rFonts w:ascii="Times New Roman" w:hAnsi="Times New Roman" w:cs="Times New Roman"/>
          <w:color w:val="000000"/>
        </w:rPr>
        <w:t xml:space="preserve"> </w:t>
      </w:r>
      <w:r>
        <w:rPr>
          <w:rFonts w:ascii="Times New Roman" w:hAnsi="Times New Roman" w:cs="Times New Roman"/>
          <w:color w:val="000000"/>
        </w:rPr>
        <w:t xml:space="preserve">complementarmente, e sempre subordinada à triangulação com as categorias 1 a 4 acima,</w:t>
      </w:r>
      <w:r>
        <w:rPr>
          <w:rFonts w:ascii="Times New Roman" w:hAnsi="Times New Roman" w:cs="Times New Roman"/>
          <w:color w:val="000000"/>
        </w:rPr>
        <w:t xml:space="preserve"> </w:t>
      </w:r>
      <w:r>
        <w:rPr>
          <w:rFonts w:ascii="Times New Roman" w:hAnsi="Times New Roman" w:cs="Times New Roman"/>
          <w:b/>
          <w:bCs/>
          <w:color w:val="000000"/>
        </w:rPr>
        <w:t xml:space="preserve">poderá</w:t>
      </w:r>
      <w:r>
        <w:rPr>
          <w:rFonts w:ascii="Times New Roman" w:hAnsi="Times New Roman" w:cs="Times New Roman"/>
          <w:color w:val="000000"/>
        </w:rPr>
        <w:t xml:space="preserve"> </w:t>
      </w:r>
      <w:r>
        <w:rPr>
          <w:rFonts w:ascii="Times New Roman" w:hAnsi="Times New Roman" w:cs="Times New Roman"/>
          <w:color w:val="000000"/>
        </w:rPr>
        <w:t xml:space="preserve">ser mobilizado um conjunto de fontes adicionais com função de</w:t>
      </w:r>
      <w:r>
        <w:rPr>
          <w:rFonts w:ascii="Times New Roman" w:hAnsi="Times New Roman" w:cs="Times New Roman"/>
          <w:color w:val="000000"/>
        </w:rPr>
        <w:t xml:space="preserve"> </w:t>
      </w:r>
      <w:r>
        <w:rPr>
          <w:rFonts w:ascii="Times New Roman" w:hAnsi="Times New Roman" w:cs="Times New Roman"/>
          <w:b/>
          <w:bCs/>
          <w:color w:val="000000"/>
        </w:rPr>
        <w:t xml:space="preserve">contextualização, recepção pública e corroboração indireta</w:t>
      </w:r>
      <w:r>
        <w:rPr>
          <w:rFonts w:ascii="Times New Roman" w:hAnsi="Times New Roman" w:cs="Times New Roman"/>
          <w:color w:val="000000"/>
        </w:rPr>
        <w:t xml:space="preserve">, nunca como evidência primária na Análise de Conteúdo Qualitativa. Compreende três tipos:</w:t>
      </w:r>
    </w:p>
    <w:p>
      <w:pPr>
        <w:numPr>
          <w:ilvl w:val="0"/>
          <w:numId w:val="1007"/>
        </w:numPr>
      </w:pPr>
      <w:r>
        <w:rPr>
          <w:rFonts w:ascii="Times New Roman" w:hAnsi="Times New Roman" w:cs="Times New Roman"/>
          <w:b/>
          <w:bCs/>
          <w:color w:val="000000"/>
        </w:rPr>
        <w:t xml:space="preserve">(a) Imprensa regional de referência</w:t>
      </w:r>
      <w:r>
        <w:rPr>
          <w:rFonts w:ascii="Times New Roman" w:hAnsi="Times New Roman" w:cs="Times New Roman"/>
          <w:color w:val="000000"/>
        </w:rPr>
        <w:t xml:space="preserve">, veículos latino-americanos de circulação reconhecida que cobriram os três episódios em tempo real (a título ilustrativo:</w:t>
      </w:r>
      <w:r>
        <w:rPr>
          <w:rFonts w:ascii="Times New Roman" w:hAnsi="Times New Roman" w:cs="Times New Roman"/>
          <w:color w:val="000000"/>
        </w:rPr>
        <w:t xml:space="preserve"> </w:t>
      </w:r>
      <w:r>
        <w:rPr>
          <w:rFonts w:ascii="Times New Roman" w:hAnsi="Times New Roman" w:cs="Times New Roman"/>
          <w:i/>
          <w:iCs/>
          <w:color w:val="000000"/>
        </w:rPr>
        <w:t xml:space="preserve">La Prensa</w:t>
      </w:r>
      <w:r>
        <w:rPr>
          <w:rFonts w:ascii="Times New Roman" w:hAnsi="Times New Roman" w:cs="Times New Roman"/>
          <w:color w:val="000000"/>
        </w:rPr>
        <w:t xml:space="preserve"> </w:t>
      </w:r>
      <w:r>
        <w:rPr>
          <w:rFonts w:ascii="Times New Roman" w:hAnsi="Times New Roman" w:cs="Times New Roman"/>
          <w:color w:val="000000"/>
        </w:rPr>
        <w:t xml:space="preserve">e veículos hondurenhos para o caso 2009;</w:t>
      </w:r>
      <w:r>
        <w:rPr>
          <w:rFonts w:ascii="Times New Roman" w:hAnsi="Times New Roman" w:cs="Times New Roman"/>
          <w:color w:val="000000"/>
        </w:rPr>
        <w:t xml:space="preserve"> </w:t>
      </w:r>
      <w:r>
        <w:rPr>
          <w:rFonts w:ascii="Times New Roman" w:hAnsi="Times New Roman" w:cs="Times New Roman"/>
          <w:i/>
          <w:iCs/>
          <w:color w:val="000000"/>
        </w:rPr>
        <w:t xml:space="preserve">ABC Color</w:t>
      </w:r>
      <w:r>
        <w:rPr>
          <w:rFonts w:ascii="Times New Roman" w:hAnsi="Times New Roman" w:cs="Times New Roman"/>
          <w:color w:val="000000"/>
        </w:rPr>
        <w:t xml:space="preserve"> </w:t>
      </w:r>
      <w:r>
        <w:rPr>
          <w:rFonts w:ascii="Times New Roman" w:hAnsi="Times New Roman" w:cs="Times New Roman"/>
          <w:color w:val="000000"/>
        </w:rPr>
        <w:t xml:space="preserve">e</w:t>
      </w:r>
      <w:r>
        <w:rPr>
          <w:rFonts w:ascii="Times New Roman" w:hAnsi="Times New Roman" w:cs="Times New Roman"/>
          <w:color w:val="000000"/>
        </w:rPr>
        <w:t xml:space="preserve"> </w:t>
      </w:r>
      <w:r>
        <w:rPr>
          <w:rFonts w:ascii="Times New Roman" w:hAnsi="Times New Roman" w:cs="Times New Roman"/>
          <w:i/>
          <w:iCs/>
          <w:color w:val="000000"/>
        </w:rPr>
        <w:t xml:space="preserve">Última Hora</w:t>
      </w:r>
      <w:r>
        <w:rPr>
          <w:rFonts w:ascii="Times New Roman" w:hAnsi="Times New Roman" w:cs="Times New Roman"/>
          <w:color w:val="000000"/>
        </w:rPr>
        <w:t xml:space="preserve"> </w:t>
      </w:r>
      <w:r>
        <w:rPr>
          <w:rFonts w:ascii="Times New Roman" w:hAnsi="Times New Roman" w:cs="Times New Roman"/>
          <w:color w:val="000000"/>
        </w:rPr>
        <w:t xml:space="preserve">para o Paraguai 2012;</w:t>
      </w:r>
      <w:r>
        <w:rPr>
          <w:rFonts w:ascii="Times New Roman" w:hAnsi="Times New Roman" w:cs="Times New Roman"/>
          <w:color w:val="000000"/>
        </w:rPr>
        <w:t xml:space="preserve"> </w:t>
      </w:r>
      <w:r>
        <w:rPr>
          <w:rFonts w:ascii="Times New Roman" w:hAnsi="Times New Roman" w:cs="Times New Roman"/>
          <w:i/>
          <w:iCs/>
          <w:color w:val="000000"/>
        </w:rPr>
        <w:t xml:space="preserve">El Tiempo</w:t>
      </w:r>
      <w:r>
        <w:rPr>
          <w:rFonts w:ascii="Times New Roman" w:hAnsi="Times New Roman" w:cs="Times New Roman"/>
          <w:color w:val="000000"/>
        </w:rPr>
        <w:t xml:space="preserve"> </w:t>
      </w:r>
      <w:r>
        <w:rPr>
          <w:rFonts w:ascii="Times New Roman" w:hAnsi="Times New Roman" w:cs="Times New Roman"/>
          <w:color w:val="000000"/>
        </w:rPr>
        <w:t xml:space="preserve">e</w:t>
      </w:r>
      <w:r>
        <w:rPr>
          <w:rFonts w:ascii="Times New Roman" w:hAnsi="Times New Roman" w:cs="Times New Roman"/>
          <w:color w:val="000000"/>
        </w:rPr>
        <w:t xml:space="preserve"> </w:t>
      </w:r>
      <w:r>
        <w:rPr>
          <w:rFonts w:ascii="Times New Roman" w:hAnsi="Times New Roman" w:cs="Times New Roman"/>
          <w:i/>
          <w:iCs/>
          <w:color w:val="000000"/>
        </w:rPr>
        <w:t xml:space="preserve">El Espectador</w:t>
      </w:r>
      <w:r>
        <w:rPr>
          <w:rFonts w:ascii="Times New Roman" w:hAnsi="Times New Roman" w:cs="Times New Roman"/>
          <w:color w:val="000000"/>
        </w:rPr>
        <w:t xml:space="preserve"> </w:t>
      </w:r>
      <w:r>
        <w:rPr>
          <w:rFonts w:ascii="Times New Roman" w:hAnsi="Times New Roman" w:cs="Times New Roman"/>
          <w:color w:val="000000"/>
        </w:rPr>
        <w:t xml:space="preserve">para a Colômbia 2016+;</w:t>
      </w:r>
      <w:r>
        <w:rPr>
          <w:rFonts w:ascii="Times New Roman" w:hAnsi="Times New Roman" w:cs="Times New Roman"/>
          <w:color w:val="000000"/>
        </w:rPr>
        <w:t xml:space="preserve"> </w:t>
      </w:r>
      <w:r>
        <w:rPr>
          <w:rFonts w:ascii="Times New Roman" w:hAnsi="Times New Roman" w:cs="Times New Roman"/>
          <w:i/>
          <w:iCs/>
          <w:color w:val="000000"/>
        </w:rPr>
        <w:t xml:space="preserve">El País</w:t>
      </w:r>
      <w:r>
        <w:rPr>
          <w:rFonts w:ascii="Times New Roman" w:hAnsi="Times New Roman" w:cs="Times New Roman"/>
          <w:color w:val="000000"/>
        </w:rPr>
        <w:t xml:space="preserve"> </w:t>
      </w:r>
      <w:r>
        <w:rPr>
          <w:rFonts w:ascii="Times New Roman" w:hAnsi="Times New Roman" w:cs="Times New Roman"/>
          <w:color w:val="000000"/>
        </w:rPr>
        <w:t xml:space="preserve">e</w:t>
      </w:r>
      <w:r>
        <w:rPr>
          <w:rFonts w:ascii="Times New Roman" w:hAnsi="Times New Roman" w:cs="Times New Roman"/>
          <w:color w:val="000000"/>
        </w:rPr>
        <w:t xml:space="preserve"> </w:t>
      </w:r>
      <w:r>
        <w:rPr>
          <w:rFonts w:ascii="Times New Roman" w:hAnsi="Times New Roman" w:cs="Times New Roman"/>
          <w:i/>
          <w:iCs/>
          <w:color w:val="000000"/>
        </w:rPr>
        <w:t xml:space="preserve">BBC Mundo</w:t>
      </w:r>
      <w:r>
        <w:rPr>
          <w:rFonts w:ascii="Times New Roman" w:hAnsi="Times New Roman" w:cs="Times New Roman"/>
          <w:color w:val="000000"/>
        </w:rPr>
        <w:t xml:space="preserve"> </w:t>
      </w:r>
      <w:r>
        <w:rPr>
          <w:rFonts w:ascii="Times New Roman" w:hAnsi="Times New Roman" w:cs="Times New Roman"/>
          <w:color w:val="000000"/>
        </w:rPr>
        <w:t xml:space="preserve">como cobertura regional ampla). O uso é declaradamente como camada de</w:t>
      </w:r>
      <w:r>
        <w:rPr>
          <w:rFonts w:ascii="Times New Roman" w:hAnsi="Times New Roman" w:cs="Times New Roman"/>
          <w:color w:val="000000"/>
        </w:rPr>
        <w:t xml:space="preserve"> </w:t>
      </w:r>
      <w:r>
        <w:rPr>
          <w:rFonts w:ascii="Times New Roman" w:hAnsi="Times New Roman" w:cs="Times New Roman"/>
          <w:b/>
          <w:bCs/>
          <w:color w:val="000000"/>
        </w:rPr>
        <w:t xml:space="preserve">recepção pública</w:t>
      </w:r>
      <w:r>
        <w:rPr>
          <w:rFonts w:ascii="Times New Roman" w:hAnsi="Times New Roman" w:cs="Times New Roman"/>
          <w:color w:val="000000"/>
        </w:rPr>
        <w:t xml:space="preserve"> </w:t>
      </w:r>
      <w:r>
        <w:rPr>
          <w:rFonts w:ascii="Times New Roman" w:hAnsi="Times New Roman" w:cs="Times New Roman"/>
          <w:color w:val="000000"/>
        </w:rPr>
        <w:t xml:space="preserve">e enquadramento midiático, externa ao corpus da ACQ.</w:t>
      </w:r>
    </w:p>
    <w:p>
      <w:pPr>
        <w:numPr>
          <w:ilvl w:val="0"/>
          <w:numId w:val="1007"/>
        </w:numPr>
      </w:pPr>
      <w:r>
        <w:rPr>
          <w:rFonts w:ascii="Times New Roman" w:hAnsi="Times New Roman" w:cs="Times New Roman"/>
          <w:b/>
          <w:bCs/>
          <w:color w:val="000000"/>
        </w:rPr>
        <w:t xml:space="preserve">(b) Documentação diplomática de domínio público proveniente de plataformas de vazamento já consolidadas</w:t>
      </w:r>
      <w:r>
        <w:rPr>
          <w:rFonts w:ascii="Times New Roman" w:hAnsi="Times New Roman" w:cs="Times New Roman"/>
          <w:color w:val="000000"/>
        </w:rPr>
        <w:t xml:space="preserve">, em particular o</w:t>
      </w:r>
      <w:r>
        <w:rPr>
          <w:rFonts w:ascii="Times New Roman" w:hAnsi="Times New Roman" w:cs="Times New Roman"/>
          <w:color w:val="000000"/>
        </w:rPr>
        <w:t xml:space="preserve"> </w:t>
      </w:r>
      <w:r>
        <w:rPr>
          <w:rFonts w:ascii="Times New Roman" w:hAnsi="Times New Roman" w:cs="Times New Roman"/>
          <w:i/>
          <w:iCs/>
          <w:color w:val="000000"/>
        </w:rPr>
        <w:t xml:space="preserve">Public Library of US Diplomacy</w:t>
      </w:r>
      <w:r>
        <w:rPr>
          <w:rFonts w:ascii="Times New Roman" w:hAnsi="Times New Roman" w:cs="Times New Roman"/>
          <w:color w:val="000000"/>
        </w:rPr>
        <w:t xml:space="preserve"> </w:t>
      </w:r>
      <w:r>
        <w:rPr>
          <w:rFonts w:ascii="Times New Roman" w:hAnsi="Times New Roman" w:cs="Times New Roman"/>
          <w:color w:val="000000"/>
        </w:rPr>
        <w:t xml:space="preserve">(PlusD) hospedado pelo WikiLeaks e o acervo do</w:t>
      </w:r>
      <w:r>
        <w:rPr>
          <w:rFonts w:ascii="Times New Roman" w:hAnsi="Times New Roman" w:cs="Times New Roman"/>
          <w:color w:val="000000"/>
        </w:rPr>
        <w:t xml:space="preserve"> </w:t>
      </w:r>
      <w:r>
        <w:rPr>
          <w:rFonts w:ascii="Times New Roman" w:hAnsi="Times New Roman" w:cs="Times New Roman"/>
          <w:i/>
          <w:iCs/>
          <w:color w:val="000000"/>
        </w:rPr>
        <w:t xml:space="preserve">National Security Archive</w:t>
      </w:r>
      <w:r>
        <w:rPr>
          <w:rFonts w:ascii="Times New Roman" w:hAnsi="Times New Roman" w:cs="Times New Roman"/>
          <w:color w:val="000000"/>
        </w:rPr>
        <w:t xml:space="preserve"> </w:t>
      </w:r>
      <w:r>
        <w:rPr>
          <w:rFonts w:ascii="Times New Roman" w:hAnsi="Times New Roman" w:cs="Times New Roman"/>
          <w:color w:val="000000"/>
        </w:rPr>
        <w:t xml:space="preserve">(NSA/George Washington University). Tais documentos são tratados como</w:t>
      </w:r>
      <w:r>
        <w:rPr>
          <w:rFonts w:ascii="Times New Roman" w:hAnsi="Times New Roman" w:cs="Times New Roman"/>
          <w:color w:val="000000"/>
        </w:rPr>
        <w:t xml:space="preserve"> </w:t>
      </w:r>
      <w:r>
        <w:rPr>
          <w:rFonts w:ascii="Times New Roman" w:hAnsi="Times New Roman" w:cs="Times New Roman"/>
          <w:b/>
          <w:bCs/>
          <w:color w:val="000000"/>
        </w:rPr>
        <w:t xml:space="preserve">fontes corroborantes de classe B</w:t>
      </w:r>
      <w:r>
        <w:rPr>
          <w:rFonts w:ascii="Times New Roman" w:hAnsi="Times New Roman" w:cs="Times New Roman"/>
          <w:color w:val="000000"/>
        </w:rPr>
        <w:t xml:space="preserve">, jamais como classe A: servem para iluminar percepções internas à diplomacia estadunidense sobre os mesmos eventos cobertos pelas atas e resoluções oficiais, sem substituir nenhuma fonte primária da categoria 1.</w:t>
      </w:r>
    </w:p>
    <w:p>
      <w:pPr>
        <w:numPr>
          <w:ilvl w:val="0"/>
          <w:numId w:val="1007"/>
        </w:numPr>
      </w:pPr>
      <w:r>
        <w:rPr>
          <w:rFonts w:ascii="Times New Roman" w:hAnsi="Times New Roman" w:cs="Times New Roman"/>
          <w:b/>
          <w:bCs/>
          <w:color w:val="000000"/>
        </w:rPr>
        <w:t xml:space="preserve">(c) Eventuais entrevistas com atores latino-americanos</w:t>
      </w:r>
      <w:r>
        <w:rPr>
          <w:rFonts w:ascii="Times New Roman" w:hAnsi="Times New Roman" w:cs="Times New Roman"/>
          <w:color w:val="000000"/>
        </w:rPr>
        <w:t xml:space="preserve">, conforme detalhado em 7.4.</w:t>
      </w:r>
    </w:p>
    <w:p>
      <w:pPr>
        <w:pStyle w:val="FirstParagraph"/>
      </w:pPr>
      <w:r>
        <w:rPr>
          <w:rFonts w:ascii="Times New Roman" w:hAnsi="Times New Roman" w:cs="Times New Roman"/>
          <w:color w:val="000000"/>
        </w:rPr>
        <w:t xml:space="preserve">Para qualquer uso das fontes complementares descritas neste item, valerá uma</w:t>
      </w:r>
      <w:r>
        <w:rPr>
          <w:rFonts w:ascii="Times New Roman" w:hAnsi="Times New Roman" w:cs="Times New Roman"/>
          <w:color w:val="000000"/>
        </w:rPr>
        <w:t xml:space="preserve"> </w:t>
      </w:r>
      <w:r>
        <w:rPr>
          <w:rFonts w:ascii="Times New Roman" w:hAnsi="Times New Roman" w:cs="Times New Roman"/>
          <w:b/>
          <w:bCs/>
          <w:color w:val="000000"/>
        </w:rPr>
        <w:t xml:space="preserve">triagem editorial em cinco níveis (A–E)</w:t>
      </w:r>
      <w:r>
        <w:rPr>
          <w:rFonts w:ascii="Times New Roman" w:hAnsi="Times New Roman" w:cs="Times New Roman"/>
          <w:color w:val="000000"/>
        </w:rPr>
        <w:t xml:space="preserve"> </w:t>
      </w:r>
      <w:r>
        <w:rPr>
          <w:rFonts w:ascii="Times New Roman" w:hAnsi="Times New Roman" w:cs="Times New Roman"/>
          <w:color w:val="000000"/>
        </w:rPr>
        <w:t xml:space="preserve">registrada em matriz específica do projeto: A = documento oficial original; B = documento de domínio público com proveniência rastreável (cabos PlusD, NSA-GWU); C = matéria jornalística de veículo regional de referência; D = matéria jornalística de veículo internacional generalista; E = comentário/análise especializada sem caráter primário. Toda inferência analítica obedecerá à fórmula</w:t>
      </w:r>
      <w:r>
        <w:rPr>
          <w:rFonts w:ascii="Times New Roman" w:hAnsi="Times New Roman" w:cs="Times New Roman"/>
          <w:color w:val="000000"/>
        </w:rPr>
        <w:t xml:space="preserve"> </w:t>
      </w:r>
      <w:r>
        <w:rPr>
          <w:rFonts w:ascii="Times New Roman" w:hAnsi="Times New Roman" w:cs="Times New Roman"/>
          <w:i/>
          <w:iCs/>
          <w:color w:val="000000"/>
        </w:rPr>
        <w:t xml:space="preserve">“</w:t>
      </w:r>
      <w:r>
        <w:rPr>
          <w:rFonts w:ascii="Times New Roman" w:hAnsi="Times New Roman" w:cs="Times New Roman"/>
          <w:i/>
          <w:iCs/>
          <w:color w:val="000000"/>
        </w:rPr>
        <w:t xml:space="preserve">o documento X (nível Y) afirma Z → analiticamente, isso sugere W, sob a ressalva V</w:t>
      </w:r>
      <w:r>
        <w:rPr>
          <w:rFonts w:ascii="Times New Roman" w:hAnsi="Times New Roman" w:cs="Times New Roman"/>
          <w:i/>
          <w:iCs/>
          <w:color w:val="000000"/>
        </w:rPr>
        <w:t xml:space="preserve">”</w:t>
      </w:r>
      <w:r>
        <w:rPr>
          <w:rFonts w:ascii="Times New Roman" w:hAnsi="Times New Roman" w:cs="Times New Roman"/>
          <w:color w:val="000000"/>
        </w:rPr>
        <w:t xml:space="preserve">, e nenhuma inferência central da dissertação dependerá exclusivamente de fontes de nível C, D ou E.</w:t>
      </w:r>
    </w:p>
    <w:p>
      <w:pPr>
        <w:pStyle w:val="BodyText"/>
      </w:pPr>
      <w:r>
        <w:rPr>
          <w:rFonts w:ascii="Times New Roman" w:hAnsi="Times New Roman" w:cs="Times New Roman"/>
          <w:color w:val="000000"/>
        </w:rPr>
        <w:t xml:space="preserve">Todos os documentos serão sistematizados em um banco de dados textual, organizado cronologicamente por caso e por tipo de fonte, para facilitar a codificação e garantir a rastreabilidade das inferências analíticas.</w:t>
      </w:r>
    </w:p>
    <w:bookmarkEnd w:id="39"/>
    <w:bookmarkStart w:id="40" w:name="X2d83e488404b8442d9e2e7255ec4d0f56dd155e"/>
    <w:p>
      <w:pPr>
        <w:pStyle w:val="Heading3"/>
      </w:pPr>
      <w:r>
        <w:rPr>
          <w:rFonts w:ascii="Times New Roman" w:hAnsi="Times New Roman" w:cs="Times New Roman"/>
          <w:color w:val="000000"/>
        </w:rPr>
        <w:t xml:space="preserve">7.4 Entrevistas (Etapa Complementar, Pós-Qualificação)</w:t>
      </w:r>
    </w:p>
    <w:p>
      <w:pPr>
        <w:pStyle w:val="FirstParagraph"/>
      </w:pPr>
      <w:r>
        <w:rPr>
          <w:rFonts w:ascii="Times New Roman" w:hAnsi="Times New Roman" w:cs="Times New Roman"/>
          <w:color w:val="000000"/>
        </w:rPr>
        <w:t xml:space="preserve">Entrevistas com atores-chave constituem uma etapa complementar e opcional da pesquisa, não um requisito metodológico central. A dissertação está concebida e desenhada para se sustentar integralmente sobre a análise documental descrita na subseção 7.3. As entrevistas representam um potencial aprofundamento qualitativo, a ser perseguido após a qualificação, caso se verifiquem as condições de tempo, acesso institucional e disponibilidade dos informantes.</w:t>
      </w:r>
    </w:p>
    <w:p>
      <w:pPr>
        <w:pStyle w:val="BodyText"/>
      </w:pPr>
      <w:r>
        <w:rPr>
          <w:rFonts w:ascii="Times New Roman" w:hAnsi="Times New Roman" w:cs="Times New Roman"/>
          <w:color w:val="000000"/>
        </w:rPr>
        <w:t xml:space="preserve">Caso realizadas, as entrevistas terão escopo regional latino-americano, sem restrição de nacionalidade dos informantes. O universo potencial inclui diplomatas e ex-funcionários de chancelarias latino-americanas com experiência direta em OEA e CELAC; ex-funcionários dos secretariados da OEA, da CIDH e das Presidências Pro Tempore da CELAC; acadêmicos e especialistas em integração regional latino-americana radicados em qualquer país da região; e atores brasileiros com trajetória comprovada na temática, dada a natural facilidade de acesso no contexto institucional de um programa de mestrado sediado em Brasília.</w:t>
      </w:r>
    </w:p>
    <w:p>
      <w:pPr>
        <w:pStyle w:val="BodyText"/>
      </w:pPr>
      <w:r>
        <w:rPr>
          <w:rFonts w:ascii="Times New Roman" w:hAnsi="Times New Roman" w:cs="Times New Roman"/>
          <w:color w:val="000000"/>
        </w:rPr>
        <w:t xml:space="preserve">A abertura regional do universo de informantes é metodologicamente justificada. A dualidade funcional OEA/CELAC se manifesta em uma rede transnacional de atores cujas perspectivas variam significativamente conforme a posição geopolítica de cada país no espectro entre hegemonia e autonomia. Reduzir o universo de entrevistados a uma só nacionalidade comprometeria a validade comparativa dos achados qualitativos eventualmente produzidos. A operacionalização do acesso a atores não brasileiros poderá ocorrer por meio de redes acadêmicas regionais (CLACSO, CRIES, FLACSO), contatos institucionais via IDP e Itamaraty e entrevistas remotas por videoconferência sempre que necessário.</w:t>
      </w:r>
    </w:p>
    <w:p>
      <w:pPr>
        <w:pStyle w:val="BodyText"/>
      </w:pPr>
      <w:r>
        <w:rPr>
          <w:rFonts w:ascii="Times New Roman" w:hAnsi="Times New Roman" w:cs="Times New Roman"/>
          <w:color w:val="000000"/>
        </w:rPr>
        <w:t xml:space="preserve">O roteiro de entrevistas, se aplicado, será estruturado em torno das três dimensões analíticas do estudo (Institucionalidade, Narrativa Política e Resultados Práticos), com questões abertas que permitam captar percepções sobre legitimidade, eficácia e seletividade. Todos os entrevistados serão previamente informados sobre o objetivo acadêmico da pesquisa, e a confidencialidade será assegurada quando solicitada. Quando incorporadas, as entrevistas serão tratadas como fontes de nível B no esquema A–E descrito em 7.3.5, jamais substituindo a documentação primária OEA/CELAC/ONU.</w:t>
      </w:r>
    </w:p>
    <w:bookmarkEnd w:id="40"/>
    <w:bookmarkStart w:id="41" w:name="procedimentos-de-análise"/>
    <w:p>
      <w:pPr>
        <w:pStyle w:val="Heading3"/>
      </w:pPr>
      <w:r>
        <w:rPr>
          <w:rFonts w:ascii="Times New Roman" w:hAnsi="Times New Roman" w:cs="Times New Roman"/>
          <w:color w:val="000000"/>
        </w:rPr>
        <w:t xml:space="preserve">7.5 Procedimentos de Análise</w:t>
      </w:r>
    </w:p>
    <w:p>
      <w:pPr>
        <w:pStyle w:val="FirstParagraph"/>
      </w:pPr>
      <w:r>
        <w:rPr>
          <w:rFonts w:ascii="Times New Roman" w:hAnsi="Times New Roman" w:cs="Times New Roman"/>
          <w:color w:val="000000"/>
        </w:rPr>
        <w:t xml:space="preserve">Os dados serão analisados por meio de triangulação metodológica entre as diferentes categorias de fontes documentais (OEA, CIDH, CELAC, ONU, fontes secundárias). Essa triangulação permite compensar as assimetrias de produção documental entre os dois organismos, a OEA produz documentação sistematizada e abundante; a CELAC, declarações políticas e comunicados de caráter mais fragmentado, e assegurar a validade interna das inferências.</w:t>
      </w:r>
    </w:p>
    <w:p>
      <w:pPr>
        <w:pStyle w:val="BodyText"/>
      </w:pPr>
      <w:r>
        <w:rPr>
          <w:rFonts w:ascii="Times New Roman" w:hAnsi="Times New Roman" w:cs="Times New Roman"/>
          <w:color w:val="000000"/>
        </w:rPr>
        <w:t xml:space="preserve">A variável de Narrativa Política será analisada por Análise de Conteúdo Qualitativa (ACQ), buscando identificar a frequência, a polarização e o contexto de uso de termos politicamente carregados. O Dicionário de Dados Qualitativo guiará a codificação dos textos, com foco nos seguintes códigos primários:</w:t>
      </w:r>
    </w:p>
    <w:p>
      <w:pPr>
        <w:pStyle w:val="Compact"/>
        <w:numPr>
          <w:ilvl w:val="0"/>
          <w:numId w:val="1008"/>
        </w:numPr>
      </w:pPr>
      <w:r>
        <w:rPr>
          <w:rFonts w:ascii="Times New Roman" w:hAnsi="Times New Roman" w:cs="Times New Roman"/>
          <w:b/>
          <w:bCs/>
          <w:color w:val="000000"/>
        </w:rPr>
        <w:t xml:space="preserve">NV-NI (Não-Intervenção / Não-Ingerência):</w:t>
      </w:r>
      <w:r>
        <w:rPr>
          <w:rFonts w:ascii="Times New Roman" w:hAnsi="Times New Roman" w:cs="Times New Roman"/>
          <w:color w:val="000000"/>
        </w:rPr>
        <w:t xml:space="preserve"> </w:t>
      </w:r>
      <w:r>
        <w:rPr>
          <w:rFonts w:ascii="Times New Roman" w:hAnsi="Times New Roman" w:cs="Times New Roman"/>
          <w:color w:val="000000"/>
        </w:rPr>
        <w:t xml:space="preserve">ausência de intervenção externa nos assuntos internos dos Estados membros, como princípio de legitimação articulado por cada organismo.</w:t>
      </w:r>
    </w:p>
    <w:p>
      <w:pPr>
        <w:pStyle w:val="Compact"/>
        <w:numPr>
          <w:ilvl w:val="0"/>
          <w:numId w:val="1008"/>
        </w:numPr>
      </w:pPr>
      <w:r>
        <w:rPr>
          <w:rFonts w:ascii="Times New Roman" w:hAnsi="Times New Roman" w:cs="Times New Roman"/>
          <w:b/>
          <w:bCs/>
          <w:color w:val="000000"/>
        </w:rPr>
        <w:t xml:space="preserve">NV-SOB (Soberania Nacional):</w:t>
      </w:r>
      <w:r>
        <w:rPr>
          <w:rFonts w:ascii="Times New Roman" w:hAnsi="Times New Roman" w:cs="Times New Roman"/>
          <w:color w:val="000000"/>
        </w:rPr>
        <w:t xml:space="preserve"> </w:t>
      </w:r>
      <w:r>
        <w:rPr>
          <w:rFonts w:ascii="Times New Roman" w:hAnsi="Times New Roman" w:cs="Times New Roman"/>
          <w:color w:val="000000"/>
        </w:rPr>
        <w:t xml:space="preserve">invocação da soberania nacional como fundamento para a aceitação ou rejeição de mecanismos multilaterais de resposta a crises.</w:t>
      </w:r>
    </w:p>
    <w:p>
      <w:pPr>
        <w:pStyle w:val="Compact"/>
        <w:numPr>
          <w:ilvl w:val="0"/>
          <w:numId w:val="1008"/>
        </w:numPr>
      </w:pPr>
      <w:r>
        <w:rPr>
          <w:rFonts w:ascii="Times New Roman" w:hAnsi="Times New Roman" w:cs="Times New Roman"/>
          <w:b/>
          <w:bCs/>
          <w:color w:val="000000"/>
        </w:rPr>
        <w:t xml:space="preserve">NV-AUT (Autodeterminação dos Povos):</w:t>
      </w:r>
      <w:r>
        <w:rPr>
          <w:rFonts w:ascii="Times New Roman" w:hAnsi="Times New Roman" w:cs="Times New Roman"/>
          <w:color w:val="000000"/>
        </w:rPr>
        <w:t xml:space="preserve"> </w:t>
      </w:r>
      <w:r>
        <w:rPr>
          <w:rFonts w:ascii="Times New Roman" w:hAnsi="Times New Roman" w:cs="Times New Roman"/>
          <w:color w:val="000000"/>
        </w:rPr>
        <w:t xml:space="preserve">afirmação do direito dos povos e governos de determinar seu destino político sem tutela externa.</w:t>
      </w:r>
    </w:p>
    <w:p>
      <w:pPr>
        <w:pStyle w:val="FirstParagraph"/>
      </w:pPr>
      <w:r>
        <w:rPr>
          <w:rFonts w:ascii="Times New Roman" w:hAnsi="Times New Roman" w:cs="Times New Roman"/>
          <w:color w:val="000000"/>
        </w:rPr>
        <w:t xml:space="preserve">Termos de alta frequência, mas de baixo poder de diferenciação polarizadora, como</w:t>
      </w:r>
      <w:r>
        <w:rPr>
          <w:rFonts w:ascii="Times New Roman" w:hAnsi="Times New Roman" w:cs="Times New Roman"/>
          <w:color w:val="000000"/>
        </w:rPr>
        <w:t xml:space="preserve"> </w:t>
      </w:r>
      <w:r>
        <w:rPr>
          <w:rFonts w:ascii="Times New Roman" w:hAnsi="Times New Roman" w:cs="Times New Roman"/>
          <w:color w:val="000000"/>
        </w:rPr>
        <w:t xml:space="preserve">“</w:t>
      </w:r>
      <w:r>
        <w:rPr>
          <w:rFonts w:ascii="Times New Roman" w:hAnsi="Times New Roman" w:cs="Times New Roman"/>
          <w:color w:val="000000"/>
        </w:rPr>
        <w:t xml:space="preserve">paz</w:t>
      </w:r>
      <w:r>
        <w:rPr>
          <w:rFonts w:ascii="Times New Roman" w:hAnsi="Times New Roman" w:cs="Times New Roman"/>
          <w:color w:val="000000"/>
        </w:rPr>
        <w:t xml:space="preserve">”</w:t>
      </w:r>
      <w:r>
        <w:rPr>
          <w:rFonts w:ascii="Times New Roman" w:hAnsi="Times New Roman" w:cs="Times New Roman"/>
          <w:color w:val="000000"/>
        </w:rPr>
        <w:t xml:space="preserve">,</w:t>
      </w:r>
      <w:r>
        <w:rPr>
          <w:rFonts w:ascii="Times New Roman" w:hAnsi="Times New Roman" w:cs="Times New Roman"/>
          <w:color w:val="000000"/>
        </w:rPr>
        <w:t xml:space="preserve"> </w:t>
      </w:r>
      <w:r>
        <w:rPr>
          <w:rFonts w:ascii="Times New Roman" w:hAnsi="Times New Roman" w:cs="Times New Roman"/>
          <w:color w:val="000000"/>
        </w:rPr>
        <w:t xml:space="preserve">“</w:t>
      </w:r>
      <w:r>
        <w:rPr>
          <w:rFonts w:ascii="Times New Roman" w:hAnsi="Times New Roman" w:cs="Times New Roman"/>
          <w:color w:val="000000"/>
        </w:rPr>
        <w:t xml:space="preserve">cooperação</w:t>
      </w:r>
      <w:r>
        <w:rPr>
          <w:rFonts w:ascii="Times New Roman" w:hAnsi="Times New Roman" w:cs="Times New Roman"/>
          <w:color w:val="000000"/>
        </w:rPr>
        <w:t xml:space="preserve">”</w:t>
      </w:r>
      <w:r>
        <w:rPr>
          <w:rFonts w:ascii="Times New Roman" w:hAnsi="Times New Roman" w:cs="Times New Roman"/>
          <w:color w:val="000000"/>
        </w:rPr>
        <w:t xml:space="preserve"> </w:t>
      </w:r>
      <w:r>
        <w:rPr>
          <w:rFonts w:ascii="Times New Roman" w:hAnsi="Times New Roman" w:cs="Times New Roman"/>
          <w:color w:val="000000"/>
        </w:rPr>
        <w:t xml:space="preserve">e</w:t>
      </w:r>
      <w:r>
        <w:rPr>
          <w:rFonts w:ascii="Times New Roman" w:hAnsi="Times New Roman" w:cs="Times New Roman"/>
          <w:color w:val="000000"/>
        </w:rPr>
        <w:t xml:space="preserve"> </w:t>
      </w:r>
      <w:r>
        <w:rPr>
          <w:rFonts w:ascii="Times New Roman" w:hAnsi="Times New Roman" w:cs="Times New Roman"/>
          <w:color w:val="000000"/>
        </w:rPr>
        <w:t xml:space="preserve">“</w:t>
      </w:r>
      <w:r>
        <w:rPr>
          <w:rFonts w:ascii="Times New Roman" w:hAnsi="Times New Roman" w:cs="Times New Roman"/>
          <w:color w:val="000000"/>
        </w:rPr>
        <w:t xml:space="preserve">diálogo</w:t>
      </w:r>
      <w:r>
        <w:rPr>
          <w:rFonts w:ascii="Times New Roman" w:hAnsi="Times New Roman" w:cs="Times New Roman"/>
          <w:color w:val="000000"/>
        </w:rPr>
        <w:t xml:space="preserve">”</w:t>
      </w:r>
      <w:r>
        <w:rPr>
          <w:rFonts w:ascii="Times New Roman" w:hAnsi="Times New Roman" w:cs="Times New Roman"/>
          <w:color w:val="000000"/>
        </w:rPr>
        <w:t xml:space="preserve">, serão excluídos da codificação primária, pois são compartilhados por ambos os organismos sem valor discriminatório. A codificação concentra-se nos termos que revelam a ruptura ideológica e as lógicas de legitimação divergentes.</w:t>
      </w:r>
    </w:p>
    <w:p>
      <w:pPr>
        <w:pStyle w:val="BodyText"/>
      </w:pPr>
      <w:r>
        <w:rPr>
          <w:rFonts w:ascii="Times New Roman" w:hAnsi="Times New Roman" w:cs="Times New Roman"/>
          <w:color w:val="000000"/>
        </w:rPr>
        <w:t xml:space="preserve">A ACQ será aplicada exclusivamente a documentos oficiais (categorias 1 a 3 de 7.3). As fontes complementares descritas em 7.3.5 não integrarão o corpus codificado e cumprirão função estritamente contextual e de triangulação.</w:t>
      </w:r>
    </w:p>
    <w:p>
      <w:pPr>
        <w:pStyle w:val="BodyText"/>
      </w:pPr>
      <w:r>
        <w:rPr>
          <w:rFonts w:ascii="Times New Roman" w:hAnsi="Times New Roman" w:cs="Times New Roman"/>
          <w:b/>
          <w:bCs/>
          <w:color w:val="000000"/>
        </w:rPr>
        <w:t xml:space="preserve">Protocolo operacional da ACQ.</w:t>
      </w:r>
      <w:r>
        <w:rPr>
          <w:rFonts w:ascii="Times New Roman" w:hAnsi="Times New Roman" w:cs="Times New Roman"/>
          <w:color w:val="000000"/>
        </w:rPr>
        <w:t xml:space="preserve"> </w:t>
      </w:r>
      <w:r>
        <w:rPr>
          <w:rFonts w:ascii="Times New Roman" w:hAnsi="Times New Roman" w:cs="Times New Roman"/>
          <w:color w:val="000000"/>
        </w:rPr>
        <w:t xml:space="preserve">Para garantir replicabilidade e reduzir o espaço para interpretação discricionária do codificador, o procedimento de codificação adota as seguintes definições explícitas, em linha com Bardin (2011) e Krippendorff (2018):</w:t>
      </w:r>
    </w:p>
    <w:p>
      <w:pPr>
        <w:pStyle w:val="Compact"/>
        <w:numPr>
          <w:ilvl w:val="0"/>
          <w:numId w:val="1009"/>
        </w:numPr>
      </w:pPr>
      <w:r>
        <w:rPr>
          <w:rFonts w:ascii="Times New Roman" w:hAnsi="Times New Roman" w:cs="Times New Roman"/>
          <w:b/>
          <w:bCs/>
          <w:color w:val="000000"/>
        </w:rPr>
        <w:t xml:space="preserve">Unidade de contexto:</w:t>
      </w:r>
      <w:r>
        <w:rPr>
          <w:rFonts w:ascii="Times New Roman" w:hAnsi="Times New Roman" w:cs="Times New Roman"/>
          <w:color w:val="000000"/>
        </w:rPr>
        <w:t xml:space="preserve"> </w:t>
      </w:r>
      <w:r>
        <w:rPr>
          <w:rFonts w:ascii="Times New Roman" w:hAnsi="Times New Roman" w:cs="Times New Roman"/>
          <w:color w:val="000000"/>
        </w:rPr>
        <w:t xml:space="preserve">o documento integral (resolução, ata, declaração, comunicado). É a unidade que dá sentido à unidade de registro.</w:t>
      </w:r>
    </w:p>
    <w:p>
      <w:pPr>
        <w:pStyle w:val="Compact"/>
        <w:numPr>
          <w:ilvl w:val="0"/>
          <w:numId w:val="1009"/>
        </w:numPr>
      </w:pPr>
      <w:r>
        <w:rPr>
          <w:rFonts w:ascii="Times New Roman" w:hAnsi="Times New Roman" w:cs="Times New Roman"/>
          <w:b/>
          <w:bCs/>
          <w:color w:val="000000"/>
        </w:rPr>
        <w:t xml:space="preserve">Unidade de registro:</w:t>
      </w:r>
      <w:r>
        <w:rPr>
          <w:rFonts w:ascii="Times New Roman" w:hAnsi="Times New Roman" w:cs="Times New Roman"/>
          <w:color w:val="000000"/>
        </w:rPr>
        <w:t xml:space="preserve"> </w:t>
      </w:r>
      <w:r>
        <w:rPr>
          <w:rFonts w:ascii="Times New Roman" w:hAnsi="Times New Roman" w:cs="Times New Roman"/>
          <w:color w:val="000000"/>
        </w:rPr>
        <w:t xml:space="preserve">o parágrafo ou dispositivo numerado. Cada parágrafo ou dispositivo é a unidade mínima passível de receber um ou mais códigos.</w:t>
      </w:r>
    </w:p>
    <w:p>
      <w:pPr>
        <w:pStyle w:val="Compact"/>
        <w:numPr>
          <w:ilvl w:val="0"/>
          <w:numId w:val="1009"/>
        </w:numPr>
      </w:pPr>
      <w:r>
        <w:rPr>
          <w:rFonts w:ascii="Times New Roman" w:hAnsi="Times New Roman" w:cs="Times New Roman"/>
          <w:b/>
          <w:bCs/>
          <w:color w:val="000000"/>
        </w:rPr>
        <w:t xml:space="preserve">Códigos primários:</w:t>
      </w:r>
      <w:r>
        <w:rPr>
          <w:rFonts w:ascii="Times New Roman" w:hAnsi="Times New Roman" w:cs="Times New Roman"/>
          <w:color w:val="000000"/>
        </w:rPr>
        <w:t xml:space="preserve"> </w:t>
      </w:r>
      <w:r>
        <w:rPr>
          <w:rFonts w:ascii="Times New Roman" w:hAnsi="Times New Roman" w:cs="Times New Roman"/>
          <w:color w:val="000000"/>
        </w:rPr>
        <w:t xml:space="preserve">NV-NI, NV-SOB, NV-AUT, conforme dicionário em 7.3 e reforçado abaixo.</w:t>
      </w:r>
    </w:p>
    <w:p>
      <w:pPr>
        <w:pStyle w:val="Compact"/>
        <w:numPr>
          <w:ilvl w:val="0"/>
          <w:numId w:val="1009"/>
        </w:numPr>
      </w:pPr>
      <w:r>
        <w:rPr>
          <w:rFonts w:ascii="Times New Roman" w:hAnsi="Times New Roman" w:cs="Times New Roman"/>
          <w:b/>
          <w:bCs/>
          <w:color w:val="000000"/>
        </w:rPr>
        <w:t xml:space="preserve">Códigos secundários (analíticamente exploratórios):</w:t>
      </w:r>
      <w:r>
        <w:rPr>
          <w:rFonts w:ascii="Times New Roman" w:hAnsi="Times New Roman" w:cs="Times New Roman"/>
          <w:color w:val="000000"/>
        </w:rPr>
        <w:t xml:space="preserve"> </w:t>
      </w:r>
      <w:r>
        <w:rPr>
          <w:rFonts w:ascii="Times New Roman" w:hAnsi="Times New Roman" w:cs="Times New Roman"/>
          <w:color w:val="000000"/>
        </w:rPr>
        <w:t xml:space="preserve">marcadores adicionais para registrar</w:t>
      </w:r>
      <w:r>
        <w:rPr>
          <w:rFonts w:ascii="Times New Roman" w:hAnsi="Times New Roman" w:cs="Times New Roman"/>
          <w:color w:val="000000"/>
        </w:rPr>
        <w:t xml:space="preserve"> </w:t>
      </w:r>
      <w:r>
        <w:rPr>
          <w:rFonts w:ascii="Times New Roman" w:hAnsi="Times New Roman" w:cs="Times New Roman"/>
          <w:b/>
          <w:bCs/>
          <w:color w:val="000000"/>
        </w:rPr>
        <w:t xml:space="preserve">modalidade</w:t>
      </w:r>
      <w:r>
        <w:rPr>
          <w:rFonts w:ascii="Times New Roman" w:hAnsi="Times New Roman" w:cs="Times New Roman"/>
          <w:color w:val="000000"/>
        </w:rPr>
        <w:t xml:space="preserve"> </w:t>
      </w:r>
      <w:r>
        <w:rPr>
          <w:rFonts w:ascii="Times New Roman" w:hAnsi="Times New Roman" w:cs="Times New Roman"/>
          <w:color w:val="000000"/>
        </w:rPr>
        <w:t xml:space="preserve">da menção (ação institucional declarada vs. princípio invocado retoricamente) e</w:t>
      </w:r>
      <w:r>
        <w:rPr>
          <w:rFonts w:ascii="Times New Roman" w:hAnsi="Times New Roman" w:cs="Times New Roman"/>
          <w:color w:val="000000"/>
        </w:rPr>
        <w:t xml:space="preserve"> </w:t>
      </w:r>
      <w:r>
        <w:rPr>
          <w:rFonts w:ascii="Times New Roman" w:hAnsi="Times New Roman" w:cs="Times New Roman"/>
          <w:b/>
          <w:bCs/>
          <w:color w:val="000000"/>
        </w:rPr>
        <w:t xml:space="preserve">valor sintático</w:t>
      </w:r>
      <w:r>
        <w:rPr>
          <w:rFonts w:ascii="Times New Roman" w:hAnsi="Times New Roman" w:cs="Times New Roman"/>
          <w:color w:val="000000"/>
        </w:rPr>
        <w:t xml:space="preserve"> </w:t>
      </w:r>
      <w:r>
        <w:rPr>
          <w:rFonts w:ascii="Times New Roman" w:hAnsi="Times New Roman" w:cs="Times New Roman"/>
          <w:color w:val="000000"/>
        </w:rPr>
        <w:t xml:space="preserve">(afirmativo, negativo, condicional). Os códigos secundários podem ser dispensados na qualificação e retomados na dissertação.</w:t>
      </w:r>
    </w:p>
    <w:p>
      <w:pPr>
        <w:pStyle w:val="FirstParagraph"/>
      </w:pPr>
      <w:r>
        <w:rPr>
          <w:rFonts w:ascii="Times New Roman" w:hAnsi="Times New Roman" w:cs="Times New Roman"/>
          <w:b/>
          <w:bCs/>
          <w:color w:val="000000"/>
        </w:rPr>
        <w:t xml:space="preserve">Regra de inferência analítica.</w:t>
      </w:r>
      <w:r>
        <w:rPr>
          <w:rFonts w:ascii="Times New Roman" w:hAnsi="Times New Roman" w:cs="Times New Roman"/>
          <w:color w:val="000000"/>
        </w:rPr>
        <w:t xml:space="preserve"> </w:t>
      </w:r>
      <w:r>
        <w:rPr>
          <w:rFonts w:ascii="Times New Roman" w:hAnsi="Times New Roman" w:cs="Times New Roman"/>
          <w:color w:val="000000"/>
        </w:rPr>
        <w:t xml:space="preserve">Toda passagem de codificação para inferência analítica obedecerá à fórmula em três etapas: (i)</w:t>
      </w:r>
      <w:r>
        <w:rPr>
          <w:rFonts w:ascii="Times New Roman" w:hAnsi="Times New Roman" w:cs="Times New Roman"/>
          <w:color w:val="000000"/>
        </w:rPr>
        <w:t xml:space="preserve"> </w:t>
      </w:r>
      <w:r>
        <w:rPr>
          <w:rFonts w:ascii="Times New Roman" w:hAnsi="Times New Roman" w:cs="Times New Roman"/>
          <w:b/>
          <w:bCs/>
          <w:color w:val="000000"/>
        </w:rPr>
        <w:t xml:space="preserve">“</w:t>
      </w:r>
      <w:r>
        <w:rPr>
          <w:rFonts w:ascii="Times New Roman" w:hAnsi="Times New Roman" w:cs="Times New Roman"/>
          <w:b/>
          <w:bCs/>
          <w:color w:val="000000"/>
        </w:rPr>
        <w:t xml:space="preserve">o documento X (nível Y na escala A–E) afirma Z</w:t>
      </w:r>
      <w:r>
        <w:rPr>
          <w:rFonts w:ascii="Times New Roman" w:hAnsi="Times New Roman" w:cs="Times New Roman"/>
          <w:b/>
          <w:bCs/>
          <w:color w:val="000000"/>
        </w:rPr>
        <w:t xml:space="preserve">”</w:t>
      </w:r>
      <w:r>
        <w:rPr>
          <w:rFonts w:ascii="Times New Roman" w:hAnsi="Times New Roman" w:cs="Times New Roman"/>
          <w:color w:val="000000"/>
        </w:rPr>
        <w:t xml:space="preserve">; (ii)</w:t>
      </w:r>
      <w:r>
        <w:rPr>
          <w:rFonts w:ascii="Times New Roman" w:hAnsi="Times New Roman" w:cs="Times New Roman"/>
          <w:color w:val="000000"/>
        </w:rPr>
        <w:t xml:space="preserve"> </w:t>
      </w:r>
      <w:r>
        <w:rPr>
          <w:rFonts w:ascii="Times New Roman" w:hAnsi="Times New Roman" w:cs="Times New Roman"/>
          <w:b/>
          <w:bCs/>
          <w:color w:val="000000"/>
        </w:rPr>
        <w:t xml:space="preserve">“</w:t>
      </w:r>
      <w:r>
        <w:rPr>
          <w:rFonts w:ascii="Times New Roman" w:hAnsi="Times New Roman" w:cs="Times New Roman"/>
          <w:b/>
          <w:bCs/>
          <w:color w:val="000000"/>
        </w:rPr>
        <w:t xml:space="preserve">analiticamente, isso sugere W</w:t>
      </w:r>
      <w:r>
        <w:rPr>
          <w:rFonts w:ascii="Times New Roman" w:hAnsi="Times New Roman" w:cs="Times New Roman"/>
          <w:b/>
          <w:bCs/>
          <w:color w:val="000000"/>
        </w:rPr>
        <w:t xml:space="preserve">”</w:t>
      </w:r>
      <w:r>
        <w:rPr>
          <w:rFonts w:ascii="Times New Roman" w:hAnsi="Times New Roman" w:cs="Times New Roman"/>
          <w:color w:val="000000"/>
        </w:rPr>
        <w:t xml:space="preserve">; (iii)</w:t>
      </w:r>
      <w:r>
        <w:rPr>
          <w:rFonts w:ascii="Times New Roman" w:hAnsi="Times New Roman" w:cs="Times New Roman"/>
          <w:color w:val="000000"/>
        </w:rPr>
        <w:t xml:space="preserve"> </w:t>
      </w:r>
      <w:r>
        <w:rPr>
          <w:rFonts w:ascii="Times New Roman" w:hAnsi="Times New Roman" w:cs="Times New Roman"/>
          <w:b/>
          <w:bCs/>
          <w:color w:val="000000"/>
        </w:rPr>
        <w:t xml:space="preserve">“</w:t>
      </w:r>
      <w:r>
        <w:rPr>
          <w:rFonts w:ascii="Times New Roman" w:hAnsi="Times New Roman" w:cs="Times New Roman"/>
          <w:b/>
          <w:bCs/>
          <w:color w:val="000000"/>
        </w:rPr>
        <w:t xml:space="preserve">sob a ressalva V</w:t>
      </w:r>
      <w:r>
        <w:rPr>
          <w:rFonts w:ascii="Times New Roman" w:hAnsi="Times New Roman" w:cs="Times New Roman"/>
          <w:b/>
          <w:bCs/>
          <w:color w:val="000000"/>
        </w:rPr>
        <w:t xml:space="preserve">”</w:t>
      </w:r>
      <w:r>
        <w:rPr>
          <w:rFonts w:ascii="Times New Roman" w:hAnsi="Times New Roman" w:cs="Times New Roman"/>
          <w:color w:val="000000"/>
        </w:rPr>
        <w:t xml:space="preserve"> </w:t>
      </w:r>
      <w:r>
        <w:rPr>
          <w:rFonts w:ascii="Times New Roman" w:hAnsi="Times New Roman" w:cs="Times New Roman"/>
          <w:color w:val="000000"/>
        </w:rPr>
        <w:t xml:space="preserve">(onde V identifica o limite analítico, eventual dissensão na literatura ou ausência de triangulação). Nenhuma inferência central da dissertação será redigida fora dessa fórmula. Quando uma inferência dependa de fonte única não triangulada, isso será expressamente declarado.</w:t>
      </w:r>
    </w:p>
    <w:p>
      <w:pPr>
        <w:pStyle w:val="BodyText"/>
      </w:pPr>
      <w:r>
        <w:rPr>
          <w:rFonts w:ascii="Times New Roman" w:hAnsi="Times New Roman" w:cs="Times New Roman"/>
          <w:b/>
          <w:bCs/>
          <w:color w:val="000000"/>
        </w:rPr>
        <w:t xml:space="preserve">Reprodutibilidade da codificação.</w:t>
      </w:r>
      <w:r>
        <w:rPr>
          <w:rFonts w:ascii="Times New Roman" w:hAnsi="Times New Roman" w:cs="Times New Roman"/>
          <w:color w:val="000000"/>
        </w:rPr>
        <w:t xml:space="preserve"> </w:t>
      </w:r>
      <w:r>
        <w:rPr>
          <w:rFonts w:ascii="Times New Roman" w:hAnsi="Times New Roman" w:cs="Times New Roman"/>
          <w:color w:val="000000"/>
        </w:rPr>
        <w:t xml:space="preserve">Toda a codificação será registrada em matriz aberta (planilha estruturada), com colunas para identificação do documento, unidade de registro (parágrafo), código primário, código secundário, observação do codificador e referência cruzada a outras unidades correlatas. A matriz acompanhará a dissertação como anexo, permitindo à banca examinar caso a caso a derivação entre código e inferência.</w:t>
      </w:r>
    </w:p>
    <w:p>
      <w:pPr>
        <w:pStyle w:val="BodyText"/>
      </w:pPr>
      <w:r>
        <w:rPr>
          <w:rFonts w:ascii="Times New Roman" w:hAnsi="Times New Roman" w:cs="Times New Roman"/>
          <w:color w:val="000000"/>
        </w:rPr>
        <w:t xml:space="preserve">A dimensão de Institucionalidade será avaliada pela análise do acionamento formal de mecanismos (datas, resoluções, votações, resultados) e pelo mapeamento das omissões institucionais significativas, com aplicação dos cinco indicadores de seletividade descritos em 7.1. A dimensão de Resultados Práticos será avaliada por meio de cotejamento entre as ações documentadas de cada organismo e os desfechos concretos das crises, com base em fontes secundárias qualificadas.</w:t>
      </w:r>
    </w:p>
    <w:bookmarkEnd w:id="41"/>
    <w:bookmarkStart w:id="42" w:name="limitações-metodológicas"/>
    <w:p>
      <w:pPr>
        <w:pStyle w:val="Heading3"/>
      </w:pPr>
      <w:r>
        <w:rPr>
          <w:rFonts w:ascii="Times New Roman" w:hAnsi="Times New Roman" w:cs="Times New Roman"/>
          <w:color w:val="000000"/>
        </w:rPr>
        <w:t xml:space="preserve">7.6 Limitações Metodológicas</w:t>
      </w:r>
    </w:p>
    <w:p>
      <w:pPr>
        <w:pStyle w:val="FirstParagraph"/>
      </w:pPr>
      <w:r>
        <w:rPr>
          <w:rFonts w:ascii="Times New Roman" w:hAnsi="Times New Roman" w:cs="Times New Roman"/>
          <w:color w:val="000000"/>
        </w:rPr>
        <w:t xml:space="preserve">A pesquisa apresenta quatro categorias principais de limitações, para as quais são propostas estratégias explícitas de mitigação.</w:t>
      </w:r>
    </w:p>
    <w:p>
      <w:pPr>
        <w:pStyle w:val="BodyText"/>
      </w:pPr>
      <w:r>
        <w:rPr>
          <w:rFonts w:ascii="Times New Roman" w:hAnsi="Times New Roman" w:cs="Times New Roman"/>
          <w:b/>
          <w:bCs/>
          <w:color w:val="000000"/>
        </w:rPr>
        <w:t xml:space="preserve">Fragilidade documental da CELAC.</w:t>
      </w:r>
      <w:r>
        <w:rPr>
          <w:rFonts w:ascii="Times New Roman" w:hAnsi="Times New Roman" w:cs="Times New Roman"/>
          <w:color w:val="000000"/>
        </w:rPr>
        <w:t xml:space="preserve"> </w:t>
      </w:r>
      <w:r>
        <w:rPr>
          <w:rFonts w:ascii="Times New Roman" w:hAnsi="Times New Roman" w:cs="Times New Roman"/>
          <w:color w:val="000000"/>
        </w:rPr>
        <w:t xml:space="preserve">A ausência de secretariado permanente, de sede física e de orçamento regular impede que a CELAC mantenha repositórios documentais estáveis e acessíveis nos moldes das organizações internacionais tradicionais. Declarações de cúpula, comunicados e documentos das Presidências Pro Tempore frequentemente dependem dos sítios governamentais dos países que exercem a PPT em cada período, o que acarreta descontinuidade e eventuais perdas de acesso. Esta limitação é reconhecida como estrutural e não contornável.</w:t>
      </w:r>
    </w:p>
    <w:p>
      <w:pPr>
        <w:pStyle w:val="BodyText"/>
      </w:pPr>
      <w:r>
        <w:rPr>
          <w:rFonts w:ascii="Times New Roman" w:hAnsi="Times New Roman" w:cs="Times New Roman"/>
          <w:color w:val="000000"/>
        </w:rPr>
        <w:t xml:space="preserve">Estratégia de mitigação: (a) uso sistemático do Internet Archive/Wayback Machine para recuperar versões arquivadas de sítios governamentais e portais da CELAC; (b) consulta ao acervo digital da CEPAL, que frequentemente referencia e reproduz documentos da CELAC; (c) levantamento nas bases do CLACSO e CRIES, que mantêm coleções temáticas sobre regionalismo pós-hegemônico; e (d) uso de fontes secundárias qualificadas como evidência corroborante quando a documentação primária da CELAC for lacunar.</w:t>
      </w:r>
    </w:p>
    <w:p>
      <w:pPr>
        <w:pStyle w:val="BodyText"/>
      </w:pPr>
      <w:r>
        <w:rPr>
          <w:rFonts w:ascii="Times New Roman" w:hAnsi="Times New Roman" w:cs="Times New Roman"/>
          <w:b/>
          <w:bCs/>
          <w:color w:val="000000"/>
        </w:rPr>
        <w:t xml:space="preserve">Ausência de entrevistas internacionais.</w:t>
      </w:r>
      <w:r>
        <w:rPr>
          <w:rFonts w:ascii="Times New Roman" w:hAnsi="Times New Roman" w:cs="Times New Roman"/>
          <w:color w:val="000000"/>
        </w:rPr>
        <w:t xml:space="preserve"> </w:t>
      </w:r>
      <w:r>
        <w:rPr>
          <w:rFonts w:ascii="Times New Roman" w:hAnsi="Times New Roman" w:cs="Times New Roman"/>
          <w:color w:val="000000"/>
        </w:rPr>
        <w:t xml:space="preserve">A opção por não realizar entrevistas com diplomatas e atores institucionais sediados fora do Brasil significa que determinadas nuances de percepção interna aos organismos, especialmente no que se refere aos processos decisórios informais da OEA e às dinâmicas de consenso na CELAC, não estarão diretamente acessíveis na fase de qualificação.</w:t>
      </w:r>
    </w:p>
    <w:p>
      <w:pPr>
        <w:pStyle w:val="BodyText"/>
      </w:pPr>
      <w:r>
        <w:rPr>
          <w:rFonts w:ascii="Times New Roman" w:hAnsi="Times New Roman" w:cs="Times New Roman"/>
          <w:color w:val="000000"/>
        </w:rPr>
        <w:t xml:space="preserve">Esta limitação não compromete a exequibilidade nem a validade do estudo por três razões. Primeira: o objeto central da pesquisa são os padrões institucionais e discursivos de dois organismos multilaterais, os quais se manifestam primariamente em documentação pública. Segunda: a literatura secundária qualificada, amplamente referenciada na revisão de literatura deste projeto, já incorpora perspectivas de atores institucionais em análises consolidadas. Terceira: o desenho comparativo com três casos bem documentados é suficiente para testar as hipóteses formuladas e produzir inferências válidas sobre as dinâmicas de governança regional.</w:t>
      </w:r>
    </w:p>
    <w:p>
      <w:pPr>
        <w:pStyle w:val="BodyText"/>
      </w:pPr>
      <w:r>
        <w:rPr>
          <w:rFonts w:ascii="Times New Roman" w:hAnsi="Times New Roman" w:cs="Times New Roman"/>
          <w:b/>
          <w:bCs/>
          <w:color w:val="000000"/>
        </w:rPr>
        <w:t xml:space="preserve">Proveniência das fontes complementares.</w:t>
      </w:r>
      <w:r>
        <w:rPr>
          <w:rFonts w:ascii="Times New Roman" w:hAnsi="Times New Roman" w:cs="Times New Roman"/>
          <w:color w:val="000000"/>
        </w:rPr>
        <w:t xml:space="preserve"> </w:t>
      </w:r>
      <w:r>
        <w:rPr>
          <w:rFonts w:ascii="Times New Roman" w:hAnsi="Times New Roman" w:cs="Times New Roman"/>
          <w:color w:val="000000"/>
        </w:rPr>
        <w:t xml:space="preserve">O uso eventual de imprensa regional e de documentação de domínio público proveniente de plataformas de vazamento (PlusD/WikiLeaks, NSA-GWU), descrito em 7.3.5, traz consigo limitações específicas de proveniência: (i) cabos diplomáticos refletem a perspectiva da chancelaria emissora e não devem ser lidos como representação neutra dos eventos; (ii) matérias de imprensa refletem linhas editoriais próprias e ciclos de cobertura nem sempre coincidentes com a temporalidade institucional dos casos. A estratégia de mitigação é dupla: (a) toda fonte complementar é classificada na escala A–E descrita em 7.3.5 e registrada em matriz específica com metadados de proveniência (data, autor/emissor, veículo, URL, data de acesso, status de arquivamento Wayback); e (b) nenhuma inferência central da dissertação dependerá exclusivamente de fontes complementares, que serão sempre cotejadas com pelo menos uma fonte oficial de nível A.</w:t>
      </w:r>
    </w:p>
    <w:p>
      <w:pPr>
        <w:pStyle w:val="BodyText"/>
      </w:pPr>
      <w:r>
        <w:rPr>
          <w:rFonts w:ascii="Times New Roman" w:hAnsi="Times New Roman" w:cs="Times New Roman"/>
          <w:b/>
          <w:bCs/>
          <w:color w:val="000000"/>
        </w:rPr>
        <w:t xml:space="preserve">Caso específico SICA Honduras 2009 (transparência documental).</w:t>
      </w:r>
      <w:r>
        <w:rPr>
          <w:rFonts w:ascii="Times New Roman" w:hAnsi="Times New Roman" w:cs="Times New Roman"/>
          <w:color w:val="000000"/>
        </w:rPr>
        <w:t xml:space="preserve"> </w:t>
      </w:r>
      <w:r>
        <w:rPr>
          <w:rFonts w:ascii="Times New Roman" w:hAnsi="Times New Roman" w:cs="Times New Roman"/>
          <w:color w:val="000000"/>
        </w:rPr>
        <w:t xml:space="preserve">A coleta documental da pesquisa documental já realizada sobre Honduras 2009 identificou que a declaração da XXXIV Cúpula Extraordinária do SICA (Manágua, 29/06/2009), apesar de fartamente noticiada e analisada à época, não foi localizável em formato PDF original no sítio oficial sica.int nem em consultas ao Wayback Machine para o período (junho-julho de 2009). O documento entra na pesquisa na forma de</w:t>
      </w:r>
      <w:r>
        <w:rPr>
          <w:rFonts w:ascii="Times New Roman" w:hAnsi="Times New Roman" w:cs="Times New Roman"/>
          <w:color w:val="000000"/>
        </w:rPr>
        <w:t xml:space="preserve"> </w:t>
      </w:r>
      <w:r>
        <w:rPr>
          <w:rFonts w:ascii="Times New Roman" w:hAnsi="Times New Roman" w:cs="Times New Roman"/>
          <w:b/>
          <w:bCs/>
          <w:color w:val="000000"/>
        </w:rPr>
        <w:t xml:space="preserve">reconstituição por triangulação</w:t>
      </w:r>
      <w:r>
        <w:rPr>
          <w:rFonts w:ascii="Times New Roman" w:hAnsi="Times New Roman" w:cs="Times New Roman"/>
          <w:color w:val="000000"/>
        </w:rPr>
        <w:t xml:space="preserve"> </w:t>
      </w:r>
      <w:r>
        <w:rPr>
          <w:rFonts w:ascii="Times New Roman" w:hAnsi="Times New Roman" w:cs="Times New Roman"/>
          <w:color w:val="000000"/>
        </w:rPr>
        <w:t xml:space="preserve">de cinco fontes secundárias independentes: (i) reportagem da Europa Press de 30/06/2009 com transcrição verbatim dos dispositivos; (ii) análise de longo prazo da Konrad-Adenauer-Stiftung; (iii) Acta 1699 do Conselho Permanente da OEA (28/06/2009), com referência à posição centro-americana; (iv) análise crítica do portal Rebelión (2020); (v) verbete sistematizado em Wikipedia em espanhol. Esta opção foi registrada em ficha analítica específica do banco documental, com classificação A quanto à existência e teor da declaração (triangulação convergente) e classificação B quanto ao texto literal exato (depende de versões secundárias até que o PDF original seja localizado). Nenhuma inferência central da dissertação dependerá da literalidade exata do documento; as inferências sustentadas são do tipo</w:t>
      </w:r>
      <w:r>
        <w:rPr>
          <w:rFonts w:ascii="Times New Roman" w:hAnsi="Times New Roman" w:cs="Times New Roman"/>
          <w:color w:val="000000"/>
        </w:rPr>
        <w:t xml:space="preserve"> </w:t>
      </w:r>
      <w:r>
        <w:rPr>
          <w:rFonts w:ascii="Times New Roman" w:hAnsi="Times New Roman" w:cs="Times New Roman"/>
          <w:color w:val="000000"/>
        </w:rPr>
        <w:t xml:space="preserve">“</w:t>
      </w:r>
      <w:r>
        <w:rPr>
          <w:rFonts w:ascii="Times New Roman" w:hAnsi="Times New Roman" w:cs="Times New Roman"/>
          <w:color w:val="000000"/>
        </w:rPr>
        <w:t xml:space="preserve">o SICA agiu em 1 dia, com sanções econômicas concretas</w:t>
      </w:r>
      <w:r>
        <w:rPr>
          <w:rFonts w:ascii="Times New Roman" w:hAnsi="Times New Roman" w:cs="Times New Roman"/>
          <w:color w:val="000000"/>
        </w:rPr>
        <w:t xml:space="preserve">”</w:t>
      </w:r>
      <w:r>
        <w:rPr>
          <w:rFonts w:ascii="Times New Roman" w:hAnsi="Times New Roman" w:cs="Times New Roman"/>
          <w:color w:val="000000"/>
        </w:rPr>
        <w:t xml:space="preserve">, sentido já plenamente sustentado pela triangulação.</w:t>
      </w:r>
    </w:p>
    <w:bookmarkEnd w:id="42"/>
    <w:bookmarkEnd w:id="43"/>
    <w:bookmarkStart w:id="44" w:name="cronograma-de-pesquisa"/>
    <w:p>
      <w:pPr>
        <w:pStyle w:val="Heading2"/>
      </w:pPr>
      <w:r>
        <w:rPr>
          <w:rFonts w:ascii="Times New Roman" w:hAnsi="Times New Roman" w:cs="Times New Roman"/>
          <w:color w:val="000000"/>
        </w:rPr>
        <w:t xml:space="preserve">8 CRONOGRAMA DE PESQUISA</w:t>
      </w:r>
    </w:p>
    <w:p>
      <w:pPr>
        <w:pStyle w:val="FirstParagraph"/>
      </w:pPr>
      <w:r>
        <w:rPr>
          <w:rFonts w:ascii="Times New Roman" w:hAnsi="Times New Roman" w:cs="Times New Roman"/>
          <w:color w:val="000000"/>
        </w:rPr>
        <w:t xml:space="preserve">A pesquisa está organizada em seis fases sequenciais distribuídas em seis meses, de junho a dezembro de 2026, em alinhamento com o calendário oficial do Mestrado Profissional em Ciência Política e Relações Internacionais do IDP. O cronograma tem como marco inicial a qualificação (junho de 2026) e como marco final a defesa pública da dissertação (dezembro de 2026). O cronograma reflete o recorte deliberado de três casos empíricos e a centralidade da análise documental como eixo metodológico, com aproveitamento integral do corpus já coletado pelo autor desde março de 2025, quando da apresentação do projeto preliminar de seleção do mestrado.</w:t>
      </w:r>
    </w:p>
    <w:p>
      <w:pPr>
        <w:pStyle w:val="BodyText"/>
      </w:pPr>
      <w:r>
        <w:rPr>
          <w:rFonts w:ascii="Times New Roman" w:hAnsi="Times New Roman" w:cs="Times New Roman"/>
          <w:b/>
          <w:bCs/>
          <w:color w:val="000000"/>
        </w:rPr>
        <w:t xml:space="preserve">Quadro 2 - Cronograma da pesquisa (junho a dezembro de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240" w:lineRule="auto" w:before="40" w:after="40"/>
              <w:ind w:firstLine="0"/>
              <w:jc w:val="left"/>
            </w:pPr>
            <w:r>
              <w:rPr>
                <w:rFonts w:ascii="Times New Roman" w:hAnsi="Times New Roman" w:cs="Times New Roman"/>
                <w:sz w:val="20"/>
              </w:rPr>
              <w:t xml:space="preserve">Fase</w:t>
            </w:r>
          </w:p>
        </w:tc>
        <w:tc>
          <w:tcPr/>
          <w:p>
            <w:pPr>
              <w:pStyle w:val="Compact"/>
              <w:spacing w:line="240" w:lineRule="auto" w:before="40" w:after="40"/>
              <w:ind w:firstLine="0"/>
              <w:jc w:val="left"/>
            </w:pPr>
            <w:r>
              <w:rPr>
                <w:rFonts w:ascii="Times New Roman" w:hAnsi="Times New Roman" w:cs="Times New Roman"/>
                <w:sz w:val="20"/>
              </w:rPr>
              <w:t xml:space="preserve">Período</w:t>
            </w:r>
          </w:p>
        </w:tc>
        <w:tc>
          <w:tcPr/>
          <w:p>
            <w:pPr>
              <w:pStyle w:val="Compact"/>
              <w:spacing w:line="240" w:lineRule="auto" w:before="40" w:after="40"/>
              <w:ind w:firstLine="0"/>
              <w:jc w:val="left"/>
            </w:pPr>
            <w:r>
              <w:rPr>
                <w:rFonts w:ascii="Times New Roman" w:hAnsi="Times New Roman" w:cs="Times New Roman"/>
                <w:sz w:val="20"/>
              </w:rPr>
              <w:t xml:space="preserve">Ação Principal</w:t>
            </w:r>
          </w:p>
        </w:tc>
        <w:tc>
          <w:tcPr/>
          <w:p>
            <w:pPr>
              <w:pStyle w:val="Compact"/>
              <w:spacing w:line="240" w:lineRule="auto" w:before="40" w:after="40"/>
              <w:ind w:firstLine="0"/>
              <w:jc w:val="left"/>
            </w:pPr>
            <w:r>
              <w:rPr>
                <w:rFonts w:ascii="Times New Roman" w:hAnsi="Times New Roman" w:cs="Times New Roman"/>
                <w:sz w:val="20"/>
              </w:rPr>
              <w:t xml:space="preserve">Produtos / Entregas</w:t>
            </w:r>
          </w:p>
        </w:tc>
      </w:tr>
      <w:tr>
        <w:tc>
          <w:tcPr/>
          <w:p>
            <w:pPr>
              <w:pStyle w:val="Compact"/>
              <w:spacing w:line="240" w:lineRule="auto" w:before="40" w:after="40"/>
              <w:ind w:firstLine="0"/>
              <w:jc w:val="left"/>
            </w:pPr>
            <w:r>
              <w:rPr>
                <w:rFonts w:ascii="Times New Roman" w:hAnsi="Times New Roman" w:cs="Times New Roman"/>
                <w:sz w:val="20"/>
              </w:rPr>
              <w:t xml:space="preserve">I. Qualificação e refino teórico</w:t>
            </w:r>
          </w:p>
        </w:tc>
        <w:tc>
          <w:tcPr/>
          <w:p>
            <w:pPr>
              <w:pStyle w:val="Compact"/>
              <w:spacing w:line="240" w:lineRule="auto" w:before="40" w:after="40"/>
              <w:ind w:firstLine="0"/>
              <w:jc w:val="left"/>
            </w:pPr>
            <w:r>
              <w:rPr>
                <w:rFonts w:ascii="Times New Roman" w:hAnsi="Times New Roman" w:cs="Times New Roman"/>
                <w:sz w:val="20"/>
              </w:rPr>
              <w:t xml:space="preserve">Junho de 2026</w:t>
            </w:r>
          </w:p>
        </w:tc>
        <w:tc>
          <w:tcPr/>
          <w:p>
            <w:pPr>
              <w:pStyle w:val="Compact"/>
              <w:spacing w:line="240" w:lineRule="auto" w:before="40" w:after="40"/>
              <w:ind w:firstLine="0"/>
              <w:jc w:val="left"/>
            </w:pPr>
            <w:r>
              <w:rPr>
                <w:rFonts w:ascii="Times New Roman" w:hAnsi="Times New Roman" w:cs="Times New Roman"/>
                <w:sz w:val="20"/>
              </w:rPr>
              <w:t xml:space="preserve">Defesa do projeto de qualificação perante a banca. Incorporação das contribuições críticas dos membros da banca. Adensamento do referencial teórico sobre regionalismo, hegemonia e autonomia. Revisão da bibliografia secundária complementar identificada na arguição.</w:t>
            </w:r>
          </w:p>
        </w:tc>
        <w:tc>
          <w:tcPr/>
          <w:p>
            <w:pPr>
              <w:pStyle w:val="Compact"/>
              <w:spacing w:line="240" w:lineRule="auto" w:before="40" w:after="40"/>
              <w:ind w:firstLine="0"/>
              <w:jc w:val="left"/>
            </w:pPr>
            <w:r>
              <w:rPr>
                <w:rFonts w:ascii="Times New Roman" w:hAnsi="Times New Roman" w:cs="Times New Roman"/>
                <w:sz w:val="20"/>
              </w:rPr>
              <w:t xml:space="preserve">Projeto de qualificação aprovado. Carta de incorporação das exigências de banca. Referencial teórico consolidado.</w:t>
            </w:r>
          </w:p>
        </w:tc>
      </w:tr>
      <w:tr>
        <w:tc>
          <w:tcPr/>
          <w:p>
            <w:pPr>
              <w:pStyle w:val="Compact"/>
              <w:spacing w:line="240" w:lineRule="auto" w:before="40" w:after="40"/>
              <w:ind w:firstLine="0"/>
              <w:jc w:val="left"/>
            </w:pPr>
            <w:r>
              <w:rPr>
                <w:rFonts w:ascii="Times New Roman" w:hAnsi="Times New Roman" w:cs="Times New Roman"/>
                <w:sz w:val="20"/>
              </w:rPr>
              <w:t xml:space="preserve">II. Conclusão da pesquisa documental</w:t>
            </w:r>
          </w:p>
        </w:tc>
        <w:tc>
          <w:tcPr/>
          <w:p>
            <w:pPr>
              <w:pStyle w:val="Compact"/>
              <w:spacing w:line="240" w:lineRule="auto" w:before="40" w:after="40"/>
              <w:ind w:firstLine="0"/>
              <w:jc w:val="left"/>
            </w:pPr>
            <w:r>
              <w:rPr>
                <w:rFonts w:ascii="Times New Roman" w:hAnsi="Times New Roman" w:cs="Times New Roman"/>
                <w:sz w:val="20"/>
              </w:rPr>
              <w:t xml:space="preserve">Julho de 2026</w:t>
            </w:r>
          </w:p>
        </w:tc>
        <w:tc>
          <w:tcPr/>
          <w:p>
            <w:pPr>
              <w:pStyle w:val="Compact"/>
              <w:spacing w:line="240" w:lineRule="auto" w:before="40" w:after="40"/>
              <w:ind w:firstLine="0"/>
              <w:jc w:val="left"/>
            </w:pPr>
            <w:r>
              <w:rPr>
                <w:rFonts w:ascii="Times New Roman" w:hAnsi="Times New Roman" w:cs="Times New Roman"/>
                <w:sz w:val="20"/>
              </w:rPr>
              <w:t xml:space="preserve">Conclusão da pesquisa documental para os três casos. A coleta sobre Honduras 2009 já se encontra concluída, com relatório CIDH 2009, Declaração de Cancún 2010 e declaração SICA de 29/06/2009 fichados e codificados preliminarmente. Coleta intensiva referente a Paraguai 2012 (atas do Conselho Permanente da OEA, resolução de suspensão do MERCOSUL, comunicado da UNASUL) e Colômbia 2016+ (resoluções da OEA sobre a MAPP, relatórios do Secretariado Geral, declarações da CELAC sobre o processo de paz).</w:t>
            </w:r>
          </w:p>
        </w:tc>
        <w:tc>
          <w:tcPr/>
          <w:p>
            <w:pPr>
              <w:pStyle w:val="Compact"/>
              <w:spacing w:line="240" w:lineRule="auto" w:before="40" w:after="40"/>
              <w:ind w:firstLine="0"/>
              <w:jc w:val="left"/>
            </w:pPr>
            <w:r>
              <w:rPr>
                <w:rFonts w:ascii="Times New Roman" w:hAnsi="Times New Roman" w:cs="Times New Roman"/>
                <w:sz w:val="20"/>
              </w:rPr>
              <w:t xml:space="preserve">Banco de dados textual completo, organizado por caso. Lista consolidada de fontes documentais primárias e secundárias com classificação na escala A-E.</w:t>
            </w:r>
          </w:p>
        </w:tc>
      </w:tr>
      <w:tr>
        <w:tc>
          <w:tcPr/>
          <w:p>
            <w:pPr>
              <w:pStyle w:val="Compact"/>
              <w:spacing w:line="240" w:lineRule="auto" w:before="40" w:after="40"/>
              <w:ind w:firstLine="0"/>
              <w:jc w:val="left"/>
            </w:pPr>
            <w:r>
              <w:rPr>
                <w:rFonts w:ascii="Times New Roman" w:hAnsi="Times New Roman" w:cs="Times New Roman"/>
                <w:sz w:val="20"/>
              </w:rPr>
              <w:t xml:space="preserve">III. Codificação ACQ e análise comparativa</w:t>
            </w:r>
          </w:p>
        </w:tc>
        <w:tc>
          <w:tcPr/>
          <w:p>
            <w:pPr>
              <w:pStyle w:val="Compact"/>
              <w:spacing w:line="240" w:lineRule="auto" w:before="40" w:after="40"/>
              <w:ind w:firstLine="0"/>
              <w:jc w:val="left"/>
            </w:pPr>
            <w:r>
              <w:rPr>
                <w:rFonts w:ascii="Times New Roman" w:hAnsi="Times New Roman" w:cs="Times New Roman"/>
                <w:sz w:val="20"/>
              </w:rPr>
              <w:t xml:space="preserve">Agosto de 2026</w:t>
            </w:r>
          </w:p>
        </w:tc>
        <w:tc>
          <w:tcPr/>
          <w:p>
            <w:pPr>
              <w:pStyle w:val="Compact"/>
              <w:spacing w:line="240" w:lineRule="auto" w:before="40" w:after="40"/>
              <w:ind w:firstLine="0"/>
              <w:jc w:val="left"/>
            </w:pPr>
            <w:r>
              <w:rPr>
                <w:rFonts w:ascii="Times New Roman" w:hAnsi="Times New Roman" w:cs="Times New Roman"/>
                <w:sz w:val="20"/>
              </w:rPr>
              <w:t xml:space="preserve">Aplicação sistemática da Análise de Conteúdo Qualitativa aos três corpora documentais, com codificação primária em NV-NI, NV-SOB e NV-AUT. Construção das matrizes de codificação por caso e da matriz comparativa transversal. Triangulação preliminar entre fontes OEA, CIDH, CELAC, sub-regionais e ONU.</w:t>
            </w:r>
          </w:p>
        </w:tc>
        <w:tc>
          <w:tcPr/>
          <w:p>
            <w:pPr>
              <w:pStyle w:val="Compact"/>
              <w:spacing w:line="240" w:lineRule="auto" w:before="40" w:after="40"/>
              <w:ind w:firstLine="0"/>
              <w:jc w:val="left"/>
            </w:pPr>
            <w:r>
              <w:rPr>
                <w:rFonts w:ascii="Times New Roman" w:hAnsi="Times New Roman" w:cs="Times New Roman"/>
                <w:sz w:val="20"/>
              </w:rPr>
              <w:t xml:space="preserve">Dicionário operacional de códigos. Matrizes de codificação por caso (três planilhas estruturadas). Rascunho da análise comparativa transversal.</w:t>
            </w:r>
          </w:p>
        </w:tc>
      </w:tr>
      <w:tr>
        <w:tc>
          <w:tcPr/>
          <w:p>
            <w:pPr>
              <w:pStyle w:val="Compact"/>
              <w:spacing w:line="240" w:lineRule="auto" w:before="40" w:after="40"/>
              <w:ind w:firstLine="0"/>
              <w:jc w:val="left"/>
            </w:pPr>
            <w:r>
              <w:rPr>
                <w:rFonts w:ascii="Times New Roman" w:hAnsi="Times New Roman" w:cs="Times New Roman"/>
                <w:sz w:val="20"/>
              </w:rPr>
              <w:t xml:space="preserve">IV. Redação dos capítulos analíticos</w:t>
            </w:r>
          </w:p>
        </w:tc>
        <w:tc>
          <w:tcPr/>
          <w:p>
            <w:pPr>
              <w:pStyle w:val="Compact"/>
              <w:spacing w:line="240" w:lineRule="auto" w:before="40" w:after="40"/>
              <w:ind w:firstLine="0"/>
              <w:jc w:val="left"/>
            </w:pPr>
            <w:r>
              <w:rPr>
                <w:rFonts w:ascii="Times New Roman" w:hAnsi="Times New Roman" w:cs="Times New Roman"/>
                <w:sz w:val="20"/>
              </w:rPr>
              <w:t xml:space="preserve">Setembro a Outubro de 2026</w:t>
            </w:r>
          </w:p>
        </w:tc>
        <w:tc>
          <w:tcPr/>
          <w:p>
            <w:pPr>
              <w:pStyle w:val="Compact"/>
              <w:spacing w:line="240" w:lineRule="auto" w:before="40" w:after="40"/>
              <w:ind w:firstLine="0"/>
              <w:jc w:val="left"/>
            </w:pPr>
            <w:r>
              <w:rPr>
                <w:rFonts w:ascii="Times New Roman" w:hAnsi="Times New Roman" w:cs="Times New Roman"/>
                <w:sz w:val="20"/>
              </w:rPr>
              <w:t xml:space="preserve">Redação dos capítulos centrais da dissertação: revisão da literatura adensada, estudos de caso (Honduras, Paraguai, Colômbia), análise comparativa, discussão das hipóteses central e secundária à luz dos achados. Revisão estilística e formatação ABNT contínuas.</w:t>
            </w:r>
          </w:p>
        </w:tc>
        <w:tc>
          <w:tcPr/>
          <w:p>
            <w:pPr>
              <w:pStyle w:val="Compact"/>
              <w:spacing w:line="240" w:lineRule="auto" w:before="40" w:after="40"/>
              <w:ind w:firstLine="0"/>
              <w:jc w:val="left"/>
            </w:pPr>
            <w:r>
              <w:rPr>
                <w:rFonts w:ascii="Times New Roman" w:hAnsi="Times New Roman" w:cs="Times New Roman"/>
                <w:sz w:val="20"/>
              </w:rPr>
              <w:t xml:space="preserve">Capítulos analíticos completos em primeira versão. Análise comparativa redigida.</w:t>
            </w:r>
          </w:p>
        </w:tc>
      </w:tr>
      <w:tr>
        <w:tc>
          <w:tcPr/>
          <w:p>
            <w:pPr>
              <w:pStyle w:val="Compact"/>
              <w:spacing w:line="240" w:lineRule="auto" w:before="40" w:after="40"/>
              <w:ind w:firstLine="0"/>
              <w:jc w:val="left"/>
            </w:pPr>
            <w:r>
              <w:rPr>
                <w:rFonts w:ascii="Times New Roman" w:hAnsi="Times New Roman" w:cs="Times New Roman"/>
                <w:sz w:val="20"/>
              </w:rPr>
              <w:t xml:space="preserve">V. Etapa complementar opcional (entrevistas e fontes complementares)</w:t>
            </w:r>
          </w:p>
        </w:tc>
        <w:tc>
          <w:tcPr/>
          <w:p>
            <w:pPr>
              <w:pStyle w:val="Compact"/>
              <w:spacing w:line="240" w:lineRule="auto" w:before="40" w:after="40"/>
              <w:ind w:firstLine="0"/>
              <w:jc w:val="left"/>
            </w:pPr>
            <w:r>
              <w:rPr>
                <w:rFonts w:ascii="Times New Roman" w:hAnsi="Times New Roman" w:cs="Times New Roman"/>
                <w:sz w:val="20"/>
              </w:rPr>
              <w:t xml:space="preserve">Novembro de 2026</w:t>
            </w:r>
          </w:p>
        </w:tc>
        <w:tc>
          <w:tcPr/>
          <w:p>
            <w:pPr>
              <w:pStyle w:val="Compact"/>
              <w:spacing w:line="240" w:lineRule="auto" w:before="40" w:after="40"/>
              <w:ind w:firstLine="0"/>
              <w:jc w:val="left"/>
            </w:pPr>
            <w:r>
              <w:rPr>
                <w:rFonts w:ascii="Times New Roman" w:hAnsi="Times New Roman" w:cs="Times New Roman"/>
                <w:sz w:val="20"/>
              </w:rPr>
              <w:t xml:space="preserve">Caso haja viabilidade institucional, contato e realização de entrevistas com diplomatas, ex-funcionários da OEA e da CELAC, e acadêmicos especialistas em integração regional latino-americana, com abertura para informantes-chave de países da região quando acessíveis, conforme detalhado em 7.4. Eventual aprofundamento de fontes complementares descritas em 7.3.5. Esta etapa é supletiva: sua ausência não compromete a dissertação.</w:t>
            </w:r>
          </w:p>
        </w:tc>
        <w:tc>
          <w:tcPr/>
          <w:p>
            <w:pPr>
              <w:pStyle w:val="Compact"/>
              <w:spacing w:line="240" w:lineRule="auto" w:before="40" w:after="40"/>
              <w:ind w:firstLine="0"/>
              <w:jc w:val="left"/>
            </w:pPr>
            <w:r>
              <w:rPr>
                <w:rFonts w:ascii="Times New Roman" w:hAnsi="Times New Roman" w:cs="Times New Roman"/>
                <w:sz w:val="20"/>
              </w:rPr>
              <w:t xml:space="preserve">Eventuais transcrições e fichas analíticas de entrevistas. Eventual aprofundamento da análise de Narrativa Política e da camada de recepção pública.</w:t>
            </w:r>
          </w:p>
        </w:tc>
      </w:tr>
      <w:tr>
        <w:tc>
          <w:tcPr/>
          <w:p>
            <w:pPr>
              <w:pStyle w:val="Compact"/>
              <w:spacing w:line="240" w:lineRule="auto" w:before="40" w:after="40"/>
              <w:ind w:firstLine="0"/>
              <w:jc w:val="left"/>
            </w:pPr>
            <w:r>
              <w:rPr>
                <w:rFonts w:ascii="Times New Roman" w:hAnsi="Times New Roman" w:cs="Times New Roman"/>
                <w:sz w:val="20"/>
              </w:rPr>
              <w:t xml:space="preserve">VI. Revisão final, triangulação e defesa</w:t>
            </w:r>
          </w:p>
        </w:tc>
        <w:tc>
          <w:tcPr/>
          <w:p>
            <w:pPr>
              <w:pStyle w:val="Compact"/>
              <w:spacing w:line="240" w:lineRule="auto" w:before="40" w:after="40"/>
              <w:ind w:firstLine="0"/>
              <w:jc w:val="left"/>
            </w:pPr>
            <w:r>
              <w:rPr>
                <w:rFonts w:ascii="Times New Roman" w:hAnsi="Times New Roman" w:cs="Times New Roman"/>
                <w:sz w:val="20"/>
              </w:rPr>
              <w:t xml:space="preserve">Dezembro de 2026</w:t>
            </w:r>
          </w:p>
        </w:tc>
        <w:tc>
          <w:tcPr/>
          <w:p>
            <w:pPr>
              <w:pStyle w:val="Compact"/>
              <w:spacing w:line="240" w:lineRule="auto" w:before="40" w:after="40"/>
              <w:ind w:firstLine="0"/>
              <w:jc w:val="left"/>
            </w:pPr>
            <w:r>
              <w:rPr>
                <w:rFonts w:ascii="Times New Roman" w:hAnsi="Times New Roman" w:cs="Times New Roman"/>
                <w:sz w:val="20"/>
              </w:rPr>
              <w:t xml:space="preserve">Triangulação final entre análise documental e eventuais dados complementares de entrevistas. Redação da introdução e da conclusão. Revisão integral, formatação ABNT definitiva, preparação da apresentação. Defesa pública da dissertação.</w:t>
            </w:r>
          </w:p>
        </w:tc>
        <w:tc>
          <w:tcPr/>
          <w:p>
            <w:pPr>
              <w:pStyle w:val="Compact"/>
              <w:spacing w:line="240" w:lineRule="auto" w:before="40" w:after="40"/>
              <w:ind w:firstLine="0"/>
              <w:jc w:val="left"/>
            </w:pPr>
            <w:r>
              <w:rPr>
                <w:rFonts w:ascii="Times New Roman" w:hAnsi="Times New Roman" w:cs="Times New Roman"/>
                <w:sz w:val="20"/>
              </w:rPr>
              <w:t xml:space="preserve">Dissertação completa, finalizada e formatada. Defesa realizada.</w:t>
            </w:r>
          </w:p>
        </w:tc>
      </w:tr>
    </w:tbl>
    <w:p>
      <w:pPr>
        <w:pStyle w:val="BodyText"/>
      </w:pPr>
      <w:r>
        <w:rPr>
          <w:rFonts w:ascii="Times New Roman" w:hAnsi="Times New Roman" w:cs="Times New Roman"/>
          <w:color w:val="000000"/>
        </w:rPr>
        <w:t xml:space="preserve">Fonte: Autoria própria (2026).</w:t>
      </w:r>
    </w:p>
    <w:p>
      <w:pPr>
        <w:pStyle w:val="BodyText"/>
      </w:pPr>
      <w:r>
        <w:rPr>
          <w:rFonts w:ascii="Times New Roman" w:hAnsi="Times New Roman" w:cs="Times New Roman"/>
          <w:color w:val="000000"/>
        </w:rPr>
        <w:t xml:space="preserve">O cronograma prioriza explicitamente a sequência qualificação, pesquisa documental, codificação, redação e defesa em janela compacta de seis meses, viabilizada pelo trabalho preparatório acumulado desde março de 2025. A Fase V, etapa complementar de entrevistas e fontes adicionais, é de caráter supletivo: sua eventual realização enriquecerá a análise, mas sua ausência não compromete a defesa final da dissertação no prazo institucional.</w:t>
      </w:r>
    </w:p>
    <w:bookmarkEnd w:id="44"/>
    <w:bookmarkStart w:id="45" w:name="referências"/>
    <w:p>
      <w:pPr>
        <w:pStyle w:val="Heading2"/>
      </w:pPr>
      <w:r>
        <w:rPr>
          <w:rFonts w:ascii="Times New Roman" w:hAnsi="Times New Roman" w:cs="Times New Roman"/>
          <w:color w:val="000000"/>
        </w:rPr>
        <w:t xml:space="preserve">9 REFERÊNCIAS</w:t>
      </w:r>
    </w:p>
    <w:p>
      <w:pPr>
        <w:pStyle w:val="FirstParagraph"/>
      </w:pPr>
      <w:r>
        <w:rPr>
          <w:rFonts w:ascii="Times New Roman" w:hAnsi="Times New Roman" w:cs="Times New Roman"/>
          <w:color w:val="000000"/>
        </w:rPr>
        <w:t xml:space="preserve">BARDIN, Laurence.</w:t>
      </w:r>
      <w:r>
        <w:rPr>
          <w:rFonts w:ascii="Times New Roman" w:hAnsi="Times New Roman" w:cs="Times New Roman"/>
          <w:color w:val="000000"/>
        </w:rPr>
        <w:t xml:space="preserve"> </w:t>
      </w:r>
      <w:r>
        <w:rPr>
          <w:rFonts w:ascii="Times New Roman" w:hAnsi="Times New Roman" w:cs="Times New Roman"/>
          <w:i/>
          <w:iCs/>
          <w:color w:val="000000"/>
        </w:rPr>
        <w:t xml:space="preserve">Análise de conteúdo</w:t>
      </w:r>
      <w:r>
        <w:rPr>
          <w:rFonts w:ascii="Times New Roman" w:hAnsi="Times New Roman" w:cs="Times New Roman"/>
          <w:color w:val="000000"/>
        </w:rPr>
        <w:t xml:space="preserve">. Tradução de Luís Antero Reto e Augusto Pinheiro. São Paulo: Edições 70, 2011.</w:t>
      </w:r>
    </w:p>
    <w:p>
      <w:pPr>
        <w:pStyle w:val="BodyText"/>
      </w:pPr>
      <w:r>
        <w:rPr>
          <w:rFonts w:ascii="Times New Roman" w:hAnsi="Times New Roman" w:cs="Times New Roman"/>
          <w:color w:val="000000"/>
        </w:rPr>
        <w:t xml:space="preserve">BRICEÑO-RUIZ, José.</w:t>
      </w:r>
      <w:r>
        <w:rPr>
          <w:rFonts w:ascii="Times New Roman" w:hAnsi="Times New Roman" w:cs="Times New Roman"/>
          <w:color w:val="000000"/>
        </w:rPr>
        <w:t xml:space="preserve"> </w:t>
      </w:r>
      <w:r>
        <w:rPr>
          <w:rFonts w:ascii="Times New Roman" w:hAnsi="Times New Roman" w:cs="Times New Roman"/>
          <w:i/>
          <w:iCs/>
          <w:color w:val="000000"/>
        </w:rPr>
        <w:t xml:space="preserve">El regionalismo post-hegemónico en América Latina: origen y dilemas</w:t>
      </w:r>
      <w:r>
        <w:rPr>
          <w:rFonts w:ascii="Times New Roman" w:hAnsi="Times New Roman" w:cs="Times New Roman"/>
          <w:color w:val="000000"/>
        </w:rPr>
        <w:t xml:space="preserve">. Quito: FLACSO, 2013. Disponível em: https://librosoa.unam.mx/handle/123456789/3576. Acesso em: 2 out. 2025.</w:t>
      </w:r>
    </w:p>
    <w:p>
      <w:pPr>
        <w:pStyle w:val="BodyText"/>
      </w:pPr>
      <w:r>
        <w:rPr>
          <w:rFonts w:ascii="Times New Roman" w:hAnsi="Times New Roman" w:cs="Times New Roman"/>
          <w:color w:val="000000"/>
        </w:rPr>
        <w:t xml:space="preserve">BRICEÑO-RUIZ, José; MORALES, Isidro (eds.).</w:t>
      </w:r>
      <w:r>
        <w:rPr>
          <w:rFonts w:ascii="Times New Roman" w:hAnsi="Times New Roman" w:cs="Times New Roman"/>
          <w:color w:val="000000"/>
        </w:rPr>
        <w:t xml:space="preserve"> </w:t>
      </w:r>
      <w:r>
        <w:rPr>
          <w:rFonts w:ascii="Times New Roman" w:hAnsi="Times New Roman" w:cs="Times New Roman"/>
          <w:i/>
          <w:iCs/>
          <w:color w:val="000000"/>
        </w:rPr>
        <w:t xml:space="preserve">Post-Hegemonic Regionalism in the Americas: Toward a Pacific–Atlantic Divide?</w:t>
      </w:r>
      <w:r>
        <w:rPr>
          <w:rFonts w:ascii="Times New Roman" w:hAnsi="Times New Roman" w:cs="Times New Roman"/>
          <w:color w:val="000000"/>
        </w:rPr>
        <w:t xml:space="preserve"> </w:t>
      </w:r>
      <w:r>
        <w:rPr>
          <w:rFonts w:ascii="Times New Roman" w:hAnsi="Times New Roman" w:cs="Times New Roman"/>
          <w:color w:val="000000"/>
        </w:rPr>
        <w:t xml:space="preserve">Londres: Routledge, 2018.</w:t>
      </w:r>
    </w:p>
    <w:p>
      <w:pPr>
        <w:pStyle w:val="BodyText"/>
      </w:pPr>
      <w:r>
        <w:rPr>
          <w:rFonts w:ascii="Times New Roman" w:hAnsi="Times New Roman" w:cs="Times New Roman"/>
          <w:color w:val="000000"/>
        </w:rPr>
        <w:t xml:space="preserve">CIDH.</w:t>
      </w:r>
      <w:r>
        <w:rPr>
          <w:rFonts w:ascii="Times New Roman" w:hAnsi="Times New Roman" w:cs="Times New Roman"/>
          <w:color w:val="000000"/>
        </w:rPr>
        <w:t xml:space="preserve"> </w:t>
      </w:r>
      <w:r>
        <w:rPr>
          <w:rFonts w:ascii="Times New Roman" w:hAnsi="Times New Roman" w:cs="Times New Roman"/>
          <w:i/>
          <w:iCs/>
          <w:color w:val="000000"/>
        </w:rPr>
        <w:t xml:space="preserve">Relatórios anuais e especiais</w:t>
      </w:r>
      <w:r>
        <w:rPr>
          <w:rFonts w:ascii="Times New Roman" w:hAnsi="Times New Roman" w:cs="Times New Roman"/>
          <w:color w:val="000000"/>
        </w:rPr>
        <w:t xml:space="preserve">. Organização dos Estados Americanos, OEA. Disponível em: https://www.oas.org/pt/cidh/relatorios/ia.asp. Acesso em: 2 out. 2025.</w:t>
      </w:r>
    </w:p>
    <w:p>
      <w:pPr>
        <w:pStyle w:val="BodyText"/>
      </w:pPr>
      <w:r>
        <w:rPr>
          <w:rFonts w:ascii="Times New Roman" w:hAnsi="Times New Roman" w:cs="Times New Roman"/>
          <w:color w:val="000000"/>
        </w:rPr>
        <w:t xml:space="preserve">CLACSO.</w:t>
      </w:r>
      <w:r>
        <w:rPr>
          <w:rFonts w:ascii="Times New Roman" w:hAnsi="Times New Roman" w:cs="Times New Roman"/>
          <w:color w:val="000000"/>
        </w:rPr>
        <w:t xml:space="preserve"> </w:t>
      </w:r>
      <w:r>
        <w:rPr>
          <w:rFonts w:ascii="Times New Roman" w:hAnsi="Times New Roman" w:cs="Times New Roman"/>
          <w:i/>
          <w:iCs/>
          <w:color w:val="000000"/>
        </w:rPr>
        <w:t xml:space="preserve">Observatório sobre Integração Regional</w:t>
      </w:r>
      <w:r>
        <w:rPr>
          <w:rFonts w:ascii="Times New Roman" w:hAnsi="Times New Roman" w:cs="Times New Roman"/>
          <w:color w:val="000000"/>
        </w:rPr>
        <w:t xml:space="preserve">. Buenos Aires: Consejo Latinoamericano de Ciencias Sociales, [s.d.]. Disponível em: https://www.clacso.org. Acesso em: 2 out. 2025.</w:t>
      </w:r>
    </w:p>
    <w:p>
      <w:pPr>
        <w:pStyle w:val="BodyText"/>
      </w:pPr>
      <w:r>
        <w:rPr>
          <w:rFonts w:ascii="Times New Roman" w:hAnsi="Times New Roman" w:cs="Times New Roman"/>
          <w:color w:val="000000"/>
        </w:rPr>
        <w:t xml:space="preserve">CLOSA, Carlos; PALESTINI, Stefano. Defensa de la democracia o autodefensa: las organizaciones regionales y la protección de la democracia en América Latina y el Caribe.</w:t>
      </w:r>
      <w:r>
        <w:rPr>
          <w:rFonts w:ascii="Times New Roman" w:hAnsi="Times New Roman" w:cs="Times New Roman"/>
          <w:color w:val="000000"/>
        </w:rPr>
        <w:t xml:space="preserve"> </w:t>
      </w:r>
      <w:r>
        <w:rPr>
          <w:rFonts w:ascii="Times New Roman" w:hAnsi="Times New Roman" w:cs="Times New Roman"/>
          <w:i/>
          <w:iCs/>
          <w:color w:val="000000"/>
        </w:rPr>
        <w:t xml:space="preserve">Pensamiento Propio</w:t>
      </w:r>
      <w:r>
        <w:rPr>
          <w:rFonts w:ascii="Times New Roman" w:hAnsi="Times New Roman" w:cs="Times New Roman"/>
          <w:color w:val="000000"/>
        </w:rPr>
        <w:t xml:space="preserve">, Buenos Aires, CRIES, 2015. Disponível em: https://www.cries.org/wp-content/uploads/2017/02/010-closa.pdf. Acesso em: 12 jun. 2026.</w:t>
      </w:r>
    </w:p>
    <w:p>
      <w:pPr>
        <w:pStyle w:val="BodyText"/>
      </w:pPr>
      <w:r>
        <w:rPr>
          <w:rFonts w:ascii="Times New Roman" w:hAnsi="Times New Roman" w:cs="Times New Roman"/>
          <w:color w:val="000000"/>
        </w:rPr>
        <w:t xml:space="preserve">COOPER, Andrew F.; LEGLER, Thomas.</w:t>
      </w:r>
      <w:r>
        <w:rPr>
          <w:rFonts w:ascii="Times New Roman" w:hAnsi="Times New Roman" w:cs="Times New Roman"/>
          <w:color w:val="000000"/>
        </w:rPr>
        <w:t xml:space="preserve"> </w:t>
      </w:r>
      <w:r>
        <w:rPr>
          <w:rFonts w:ascii="Times New Roman" w:hAnsi="Times New Roman" w:cs="Times New Roman"/>
          <w:i/>
          <w:iCs/>
          <w:color w:val="000000"/>
        </w:rPr>
        <w:t xml:space="preserve">Intervention Without Intervening? The OAS Defense and Promotion of Democracy in the Americas</w:t>
      </w:r>
      <w:r>
        <w:rPr>
          <w:rFonts w:ascii="Times New Roman" w:hAnsi="Times New Roman" w:cs="Times New Roman"/>
          <w:color w:val="000000"/>
        </w:rPr>
        <w:t xml:space="preserve">. Nova York: Palgrave Macmillan, 2006.</w:t>
      </w:r>
    </w:p>
    <w:p>
      <w:pPr>
        <w:pStyle w:val="BodyText"/>
      </w:pPr>
      <w:r>
        <w:rPr>
          <w:rFonts w:ascii="Times New Roman" w:hAnsi="Times New Roman" w:cs="Times New Roman"/>
          <w:color w:val="000000"/>
        </w:rPr>
        <w:t xml:space="preserve">COX, Robert W.</w:t>
      </w:r>
      <w:r>
        <w:rPr>
          <w:rFonts w:ascii="Times New Roman" w:hAnsi="Times New Roman" w:cs="Times New Roman"/>
          <w:color w:val="000000"/>
        </w:rPr>
        <w:t xml:space="preserve"> </w:t>
      </w:r>
      <w:r>
        <w:rPr>
          <w:rFonts w:ascii="Times New Roman" w:hAnsi="Times New Roman" w:cs="Times New Roman"/>
          <w:i/>
          <w:iCs/>
          <w:color w:val="000000"/>
        </w:rPr>
        <w:t xml:space="preserve">Production, power, and world order: social forces in the making of history</w:t>
      </w:r>
      <w:r>
        <w:rPr>
          <w:rFonts w:ascii="Times New Roman" w:hAnsi="Times New Roman" w:cs="Times New Roman"/>
          <w:color w:val="000000"/>
        </w:rPr>
        <w:t xml:space="preserve">. New York: Columbia University Press, 1987.</w:t>
      </w:r>
    </w:p>
    <w:p>
      <w:pPr>
        <w:pStyle w:val="BodyText"/>
      </w:pPr>
      <w:r>
        <w:rPr>
          <w:rFonts w:ascii="Times New Roman" w:hAnsi="Times New Roman" w:cs="Times New Roman"/>
          <w:color w:val="000000"/>
        </w:rPr>
        <w:t xml:space="preserve">GERRING, John.</w:t>
      </w:r>
      <w:r>
        <w:rPr>
          <w:rFonts w:ascii="Times New Roman" w:hAnsi="Times New Roman" w:cs="Times New Roman"/>
          <w:color w:val="000000"/>
        </w:rPr>
        <w:t xml:space="preserve"> </w:t>
      </w:r>
      <w:r>
        <w:rPr>
          <w:rFonts w:ascii="Times New Roman" w:hAnsi="Times New Roman" w:cs="Times New Roman"/>
          <w:i/>
          <w:iCs/>
          <w:color w:val="000000"/>
        </w:rPr>
        <w:t xml:space="preserve">Case study research: principles and practices</w:t>
      </w:r>
      <w:r>
        <w:rPr>
          <w:rFonts w:ascii="Times New Roman" w:hAnsi="Times New Roman" w:cs="Times New Roman"/>
          <w:color w:val="000000"/>
        </w:rPr>
        <w:t xml:space="preserve">. Cambridge: Cambridge University Press, 2007. Disponível em: http://maratavarespsictics.pbworks.com/w/file/fetch/74304716/3-YIN-planejamento_metodologia.pdf. Acesso em: 2 out. 2025.</w:t>
      </w:r>
    </w:p>
    <w:p>
      <w:pPr>
        <w:pStyle w:val="BodyText"/>
      </w:pPr>
      <w:r>
        <w:rPr>
          <w:rFonts w:ascii="Times New Roman" w:hAnsi="Times New Roman" w:cs="Times New Roman"/>
          <w:color w:val="000000"/>
        </w:rPr>
        <w:t xml:space="preserve">HARMER, Tanya.</w:t>
      </w:r>
      <w:r>
        <w:rPr>
          <w:rFonts w:ascii="Times New Roman" w:hAnsi="Times New Roman" w:cs="Times New Roman"/>
          <w:color w:val="000000"/>
        </w:rPr>
        <w:t xml:space="preserve"> </w:t>
      </w:r>
      <w:r>
        <w:rPr>
          <w:rFonts w:ascii="Times New Roman" w:hAnsi="Times New Roman" w:cs="Times New Roman"/>
          <w:i/>
          <w:iCs/>
          <w:color w:val="000000"/>
        </w:rPr>
        <w:t xml:space="preserve">Allende’s Chile and the Inter-American Cold War</w:t>
      </w:r>
      <w:r>
        <w:rPr>
          <w:rFonts w:ascii="Times New Roman" w:hAnsi="Times New Roman" w:cs="Times New Roman"/>
          <w:color w:val="000000"/>
        </w:rPr>
        <w:t xml:space="preserve">. Chapel Hill: The University of North Carolina Press, 2019.</w:t>
      </w:r>
    </w:p>
    <w:p>
      <w:pPr>
        <w:pStyle w:val="BodyText"/>
      </w:pPr>
      <w:r>
        <w:rPr>
          <w:rFonts w:ascii="Times New Roman" w:hAnsi="Times New Roman" w:cs="Times New Roman"/>
          <w:color w:val="000000"/>
        </w:rPr>
        <w:t xml:space="preserve">HEINE, Jorge; WEIFFEN, Brigitte.</w:t>
      </w:r>
      <w:r>
        <w:rPr>
          <w:rFonts w:ascii="Times New Roman" w:hAnsi="Times New Roman" w:cs="Times New Roman"/>
          <w:color w:val="000000"/>
        </w:rPr>
        <w:t xml:space="preserve"> </w:t>
      </w:r>
      <w:r>
        <w:rPr>
          <w:rFonts w:ascii="Times New Roman" w:hAnsi="Times New Roman" w:cs="Times New Roman"/>
          <w:i/>
          <w:iCs/>
          <w:color w:val="000000"/>
        </w:rPr>
        <w:t xml:space="preserve">21st Century Democracy Promotion in the Americas: Standing up for the Polity</w:t>
      </w:r>
      <w:r>
        <w:rPr>
          <w:rFonts w:ascii="Times New Roman" w:hAnsi="Times New Roman" w:cs="Times New Roman"/>
          <w:color w:val="000000"/>
        </w:rPr>
        <w:t xml:space="preserve">. Londres: Routledge, 2015.</w:t>
      </w:r>
    </w:p>
    <w:p>
      <w:pPr>
        <w:pStyle w:val="BodyText"/>
      </w:pPr>
      <w:r>
        <w:rPr>
          <w:rFonts w:ascii="Times New Roman" w:hAnsi="Times New Roman" w:cs="Times New Roman"/>
          <w:color w:val="000000"/>
        </w:rPr>
        <w:t xml:space="preserve">HURRELL, Andrew.</w:t>
      </w:r>
      <w:r>
        <w:rPr>
          <w:rFonts w:ascii="Times New Roman" w:hAnsi="Times New Roman" w:cs="Times New Roman"/>
          <w:color w:val="000000"/>
        </w:rPr>
        <w:t xml:space="preserve"> </w:t>
      </w:r>
      <w:r>
        <w:rPr>
          <w:rFonts w:ascii="Times New Roman" w:hAnsi="Times New Roman" w:cs="Times New Roman"/>
          <w:i/>
          <w:iCs/>
          <w:color w:val="000000"/>
        </w:rPr>
        <w:t xml:space="preserve">Regionalism in the Americas</w:t>
      </w:r>
      <w:r>
        <w:rPr>
          <w:rFonts w:ascii="Times New Roman" w:hAnsi="Times New Roman" w:cs="Times New Roman"/>
          <w:color w:val="000000"/>
        </w:rPr>
        <w:t xml:space="preserve">. Cambridge: Cambridge University Press, 1995.</w:t>
      </w:r>
    </w:p>
    <w:p>
      <w:pPr>
        <w:pStyle w:val="BodyText"/>
      </w:pPr>
      <w:r>
        <w:rPr>
          <w:rFonts w:ascii="Times New Roman" w:hAnsi="Times New Roman" w:cs="Times New Roman"/>
          <w:color w:val="000000"/>
        </w:rPr>
        <w:t xml:space="preserve">KRIPPENDORFF, Klaus.</w:t>
      </w:r>
      <w:r>
        <w:rPr>
          <w:rFonts w:ascii="Times New Roman" w:hAnsi="Times New Roman" w:cs="Times New Roman"/>
          <w:color w:val="000000"/>
        </w:rPr>
        <w:t xml:space="preserve"> </w:t>
      </w:r>
      <w:r>
        <w:rPr>
          <w:rFonts w:ascii="Times New Roman" w:hAnsi="Times New Roman" w:cs="Times New Roman"/>
          <w:i/>
          <w:iCs/>
          <w:color w:val="000000"/>
        </w:rPr>
        <w:t xml:space="preserve">Content Analysis: An Introduction to Its Methodology</w:t>
      </w:r>
      <w:r>
        <w:rPr>
          <w:rFonts w:ascii="Times New Roman" w:hAnsi="Times New Roman" w:cs="Times New Roman"/>
          <w:color w:val="000000"/>
        </w:rPr>
        <w:t xml:space="preserve">. 4. ed. Thousand Oaks: Sage, 2018.</w:t>
      </w:r>
    </w:p>
    <w:p>
      <w:pPr>
        <w:pStyle w:val="BodyText"/>
      </w:pPr>
      <w:r>
        <w:rPr>
          <w:rFonts w:ascii="Times New Roman" w:hAnsi="Times New Roman" w:cs="Times New Roman"/>
          <w:color w:val="000000"/>
        </w:rPr>
        <w:t xml:space="preserve">LONG, Tom.</w:t>
      </w:r>
      <w:r>
        <w:rPr>
          <w:rFonts w:ascii="Times New Roman" w:hAnsi="Times New Roman" w:cs="Times New Roman"/>
          <w:color w:val="000000"/>
        </w:rPr>
        <w:t xml:space="preserve"> </w:t>
      </w:r>
      <w:r>
        <w:rPr>
          <w:rFonts w:ascii="Times New Roman" w:hAnsi="Times New Roman" w:cs="Times New Roman"/>
          <w:i/>
          <w:iCs/>
          <w:color w:val="000000"/>
        </w:rPr>
        <w:t xml:space="preserve">Latin America Confronts the United States: Asymmetry and Influence</w:t>
      </w:r>
      <w:r>
        <w:rPr>
          <w:rFonts w:ascii="Times New Roman" w:hAnsi="Times New Roman" w:cs="Times New Roman"/>
          <w:color w:val="000000"/>
        </w:rPr>
        <w:t xml:space="preserve">. Cambridge: Cambridge University Press, 2015.</w:t>
      </w:r>
    </w:p>
    <w:p>
      <w:pPr>
        <w:pStyle w:val="BodyText"/>
      </w:pPr>
      <w:r>
        <w:rPr>
          <w:rFonts w:ascii="Times New Roman" w:hAnsi="Times New Roman" w:cs="Times New Roman"/>
          <w:color w:val="000000"/>
        </w:rPr>
        <w:t xml:space="preserve">LOWENTHAL, Abraham F.</w:t>
      </w:r>
      <w:r>
        <w:rPr>
          <w:rFonts w:ascii="Times New Roman" w:hAnsi="Times New Roman" w:cs="Times New Roman"/>
          <w:color w:val="000000"/>
        </w:rPr>
        <w:t xml:space="preserve"> </w:t>
      </w:r>
      <w:r>
        <w:rPr>
          <w:rFonts w:ascii="Times New Roman" w:hAnsi="Times New Roman" w:cs="Times New Roman"/>
          <w:i/>
          <w:iCs/>
          <w:color w:val="000000"/>
        </w:rPr>
        <w:t xml:space="preserve">The Dominican Intervention</w:t>
      </w:r>
      <w:r>
        <w:rPr>
          <w:rFonts w:ascii="Times New Roman" w:hAnsi="Times New Roman" w:cs="Times New Roman"/>
          <w:color w:val="000000"/>
        </w:rPr>
        <w:t xml:space="preserve">. Cambridge, MA: Harvard University Press, 1995.</w:t>
      </w:r>
    </w:p>
    <w:p>
      <w:pPr>
        <w:pStyle w:val="BodyText"/>
      </w:pPr>
      <w:r>
        <w:rPr>
          <w:rFonts w:ascii="Times New Roman" w:hAnsi="Times New Roman" w:cs="Times New Roman"/>
          <w:color w:val="000000"/>
        </w:rPr>
        <w:t xml:space="preserve">MALAMUD, Andrés. Sobre a crescente irrelevância da América Latina.</w:t>
      </w:r>
      <w:r>
        <w:rPr>
          <w:rFonts w:ascii="Times New Roman" w:hAnsi="Times New Roman" w:cs="Times New Roman"/>
          <w:color w:val="000000"/>
        </w:rPr>
        <w:t xml:space="preserve"> </w:t>
      </w:r>
      <w:r>
        <w:rPr>
          <w:rFonts w:ascii="Times New Roman" w:hAnsi="Times New Roman" w:cs="Times New Roman"/>
          <w:i/>
          <w:iCs/>
          <w:color w:val="000000"/>
        </w:rPr>
        <w:t xml:space="preserve">Nueva Sociedad</w:t>
      </w:r>
      <w:r>
        <w:rPr>
          <w:rFonts w:ascii="Times New Roman" w:hAnsi="Times New Roman" w:cs="Times New Roman"/>
          <w:color w:val="000000"/>
        </w:rPr>
        <w:t xml:space="preserve">, Buenos Aires, 2017. Disponível em: https://nuso.org/articulo/sobre-crescente-irrelevancia-da-america-latina. Acesso em: 2 out. 2025.</w:t>
      </w:r>
    </w:p>
    <w:p>
      <w:pPr>
        <w:pStyle w:val="BodyText"/>
      </w:pPr>
      <w:r>
        <w:rPr>
          <w:rFonts w:ascii="Times New Roman" w:hAnsi="Times New Roman" w:cs="Times New Roman"/>
          <w:color w:val="000000"/>
        </w:rPr>
        <w:t xml:space="preserve">MARSTEINTREDET, Leiv; LLANOS, Mariana; NOLTE, Detlef. Paraguay and the Politics of Impeachment.</w:t>
      </w:r>
      <w:r>
        <w:rPr>
          <w:rFonts w:ascii="Times New Roman" w:hAnsi="Times New Roman" w:cs="Times New Roman"/>
          <w:color w:val="000000"/>
        </w:rPr>
        <w:t xml:space="preserve"> </w:t>
      </w:r>
      <w:r>
        <w:rPr>
          <w:rFonts w:ascii="Times New Roman" w:hAnsi="Times New Roman" w:cs="Times New Roman"/>
          <w:i/>
          <w:iCs/>
          <w:color w:val="000000"/>
        </w:rPr>
        <w:t xml:space="preserve">Journal of Democracy</w:t>
      </w:r>
      <w:r>
        <w:rPr>
          <w:rFonts w:ascii="Times New Roman" w:hAnsi="Times New Roman" w:cs="Times New Roman"/>
          <w:color w:val="000000"/>
        </w:rPr>
        <w:t xml:space="preserve">, v. 24, n. 4, p. 110-123, 2013.</w:t>
      </w:r>
    </w:p>
    <w:p>
      <w:pPr>
        <w:pStyle w:val="BodyText"/>
      </w:pPr>
      <w:r>
        <w:rPr>
          <w:rFonts w:ascii="Times New Roman" w:hAnsi="Times New Roman" w:cs="Times New Roman"/>
          <w:color w:val="000000"/>
        </w:rPr>
        <w:t xml:space="preserve">MEYER, Peter J.</w:t>
      </w:r>
      <w:r>
        <w:rPr>
          <w:rFonts w:ascii="Times New Roman" w:hAnsi="Times New Roman" w:cs="Times New Roman"/>
          <w:color w:val="000000"/>
        </w:rPr>
        <w:t xml:space="preserve"> </w:t>
      </w:r>
      <w:r>
        <w:rPr>
          <w:rFonts w:ascii="Times New Roman" w:hAnsi="Times New Roman" w:cs="Times New Roman"/>
          <w:i/>
          <w:iCs/>
          <w:color w:val="000000"/>
        </w:rPr>
        <w:t xml:space="preserve">Organization of American States: background and issues for Congress</w:t>
      </w:r>
      <w:r>
        <w:rPr>
          <w:rFonts w:ascii="Times New Roman" w:hAnsi="Times New Roman" w:cs="Times New Roman"/>
          <w:color w:val="000000"/>
        </w:rPr>
        <w:t xml:space="preserve">. Washington, D.C.: Congressional Research Service, 2025.</w:t>
      </w:r>
    </w:p>
    <w:p>
      <w:pPr>
        <w:pStyle w:val="BodyText"/>
      </w:pPr>
      <w:r>
        <w:rPr>
          <w:rFonts w:ascii="Times New Roman" w:hAnsi="Times New Roman" w:cs="Times New Roman"/>
          <w:color w:val="000000"/>
        </w:rPr>
        <w:t xml:space="preserve">OEA.</w:t>
      </w:r>
      <w:r>
        <w:rPr>
          <w:rFonts w:ascii="Times New Roman" w:hAnsi="Times New Roman" w:cs="Times New Roman"/>
          <w:color w:val="000000"/>
        </w:rPr>
        <w:t xml:space="preserve"> </w:t>
      </w:r>
      <w:r>
        <w:rPr>
          <w:rFonts w:ascii="Times New Roman" w:hAnsi="Times New Roman" w:cs="Times New Roman"/>
          <w:i/>
          <w:iCs/>
          <w:color w:val="000000"/>
        </w:rPr>
        <w:t xml:space="preserve">Carta Democrática Interamericana</w:t>
      </w:r>
      <w:r>
        <w:rPr>
          <w:rFonts w:ascii="Times New Roman" w:hAnsi="Times New Roman" w:cs="Times New Roman"/>
          <w:color w:val="000000"/>
        </w:rPr>
        <w:t xml:space="preserve">. Washington, D.C.: Organização dos Estados Americanos, 2001. Disponível em: https://www.oas.org/pt/democracia/carta_democratica.asp. Acesso em: 2 out. 2025.</w:t>
      </w:r>
    </w:p>
    <w:p>
      <w:pPr>
        <w:pStyle w:val="BodyText"/>
      </w:pPr>
      <w:r>
        <w:rPr>
          <w:rFonts w:ascii="Times New Roman" w:hAnsi="Times New Roman" w:cs="Times New Roman"/>
          <w:color w:val="000000"/>
        </w:rPr>
        <w:t xml:space="preserve">ONU.</w:t>
      </w:r>
      <w:r>
        <w:rPr>
          <w:rFonts w:ascii="Times New Roman" w:hAnsi="Times New Roman" w:cs="Times New Roman"/>
          <w:color w:val="000000"/>
        </w:rPr>
        <w:t xml:space="preserve"> </w:t>
      </w:r>
      <w:r>
        <w:rPr>
          <w:rFonts w:ascii="Times New Roman" w:hAnsi="Times New Roman" w:cs="Times New Roman"/>
          <w:i/>
          <w:iCs/>
          <w:color w:val="000000"/>
        </w:rPr>
        <w:t xml:space="preserve">Relatórios sobre América Latina e Caribe</w:t>
      </w:r>
      <w:r>
        <w:rPr>
          <w:rFonts w:ascii="Times New Roman" w:hAnsi="Times New Roman" w:cs="Times New Roman"/>
          <w:color w:val="000000"/>
        </w:rPr>
        <w:t xml:space="preserve">. Organização das Nações Unidas. Disponível em: https://www.un.org/pt/global-issues/americas. Acesso em: 2 out. 2025.</w:t>
      </w:r>
    </w:p>
    <w:p>
      <w:pPr>
        <w:pStyle w:val="BodyText"/>
      </w:pPr>
      <w:r>
        <w:rPr>
          <w:rFonts w:ascii="Times New Roman" w:hAnsi="Times New Roman" w:cs="Times New Roman"/>
          <w:color w:val="000000"/>
        </w:rPr>
        <w:t xml:space="preserve">PERINA, Rubén Mario.</w:t>
      </w:r>
      <w:r>
        <w:rPr>
          <w:rFonts w:ascii="Times New Roman" w:hAnsi="Times New Roman" w:cs="Times New Roman"/>
          <w:color w:val="000000"/>
        </w:rPr>
        <w:t xml:space="preserve"> </w:t>
      </w:r>
      <w:r>
        <w:rPr>
          <w:rFonts w:ascii="Times New Roman" w:hAnsi="Times New Roman" w:cs="Times New Roman"/>
          <w:i/>
          <w:iCs/>
          <w:color w:val="000000"/>
        </w:rPr>
        <w:t xml:space="preserve">The Organization of American States as the advocate and guardian of democracy</w:t>
      </w:r>
      <w:r>
        <w:rPr>
          <w:rFonts w:ascii="Times New Roman" w:hAnsi="Times New Roman" w:cs="Times New Roman"/>
          <w:color w:val="000000"/>
        </w:rPr>
        <w:t xml:space="preserve">. Lanham, MD: University Press of America, 2003.</w:t>
      </w:r>
    </w:p>
    <w:p>
      <w:pPr>
        <w:pStyle w:val="BodyText"/>
      </w:pPr>
      <w:r>
        <w:rPr>
          <w:rFonts w:ascii="Times New Roman" w:hAnsi="Times New Roman" w:cs="Times New Roman"/>
          <w:color w:val="000000"/>
        </w:rPr>
        <w:t xml:space="preserve">RIGGIROZZI, Pía; TUSSIE, Diana.</w:t>
      </w:r>
      <w:r>
        <w:rPr>
          <w:rFonts w:ascii="Times New Roman" w:hAnsi="Times New Roman" w:cs="Times New Roman"/>
          <w:color w:val="000000"/>
        </w:rPr>
        <w:t xml:space="preserve"> </w:t>
      </w:r>
      <w:r>
        <w:rPr>
          <w:rFonts w:ascii="Times New Roman" w:hAnsi="Times New Roman" w:cs="Times New Roman"/>
          <w:i/>
          <w:iCs/>
          <w:color w:val="000000"/>
        </w:rPr>
        <w:t xml:space="preserve">The rise of post-hegemonic regionalism in Latin America</w:t>
      </w:r>
      <w:r>
        <w:rPr>
          <w:rFonts w:ascii="Times New Roman" w:hAnsi="Times New Roman" w:cs="Times New Roman"/>
          <w:color w:val="000000"/>
        </w:rPr>
        <w:t xml:space="preserve">. Genebra: United Nations Research Institute for Social Development, UNRISD, 2012. Disponível em: https://www.scielo.org.mx/scielo.php?script=sci_arttext&amp;pid=S0185-013X2015000200631. Acesso em: 2 out. 2025.</w:t>
      </w:r>
    </w:p>
    <w:p>
      <w:pPr>
        <w:pStyle w:val="BodyText"/>
      </w:pPr>
      <w:r>
        <w:rPr>
          <w:rFonts w:ascii="Times New Roman" w:hAnsi="Times New Roman" w:cs="Times New Roman"/>
          <w:color w:val="000000"/>
        </w:rPr>
        <w:t xml:space="preserve">ROJAS ARAVENA, Francisco.</w:t>
      </w:r>
      <w:r>
        <w:rPr>
          <w:rFonts w:ascii="Times New Roman" w:hAnsi="Times New Roman" w:cs="Times New Roman"/>
          <w:color w:val="000000"/>
        </w:rPr>
        <w:t xml:space="preserve"> </w:t>
      </w:r>
      <w:r>
        <w:rPr>
          <w:rFonts w:ascii="Times New Roman" w:hAnsi="Times New Roman" w:cs="Times New Roman"/>
          <w:i/>
          <w:iCs/>
          <w:color w:val="000000"/>
        </w:rPr>
        <w:t xml:space="preserve">La CELAC y la integración latinoamericana y caribeña: principales claves del proceso</w:t>
      </w:r>
      <w:r>
        <w:rPr>
          <w:rFonts w:ascii="Times New Roman" w:hAnsi="Times New Roman" w:cs="Times New Roman"/>
          <w:color w:val="000000"/>
        </w:rPr>
        <w:t xml:space="preserve">. Buenos Aires: CRIES/Pensamiento Propio, 2012.</w:t>
      </w:r>
    </w:p>
    <w:p>
      <w:pPr>
        <w:pStyle w:val="BodyText"/>
      </w:pPr>
      <w:r>
        <w:rPr>
          <w:rFonts w:ascii="Times New Roman" w:hAnsi="Times New Roman" w:cs="Times New Roman"/>
          <w:color w:val="000000"/>
        </w:rPr>
        <w:t xml:space="preserve">SANAHUJA, José Antonio. Regionalismo pós-hegemônico e integração na América Latina.</w:t>
      </w:r>
      <w:r>
        <w:rPr>
          <w:rFonts w:ascii="Times New Roman" w:hAnsi="Times New Roman" w:cs="Times New Roman"/>
          <w:color w:val="000000"/>
        </w:rPr>
        <w:t xml:space="preserve"> </w:t>
      </w:r>
      <w:r>
        <w:rPr>
          <w:rFonts w:ascii="Times New Roman" w:hAnsi="Times New Roman" w:cs="Times New Roman"/>
          <w:i/>
          <w:iCs/>
          <w:color w:val="000000"/>
        </w:rPr>
        <w:t xml:space="preserve">Nueva Sociedad</w:t>
      </w:r>
      <w:r>
        <w:rPr>
          <w:rFonts w:ascii="Times New Roman" w:hAnsi="Times New Roman" w:cs="Times New Roman"/>
          <w:color w:val="000000"/>
        </w:rPr>
        <w:t xml:space="preserve">, n. 250, Buenos Aires, 2014. Disponível em: https://www.cries.org/wp-content/uploads/2017/02/007-sanahuja.pdf. Acesso em: 2 out. 2025.</w:t>
      </w:r>
    </w:p>
    <w:p>
      <w:pPr>
        <w:pStyle w:val="BodyText"/>
      </w:pPr>
      <w:r>
        <w:rPr>
          <w:rFonts w:ascii="Times New Roman" w:hAnsi="Times New Roman" w:cs="Times New Roman"/>
          <w:color w:val="000000"/>
        </w:rPr>
        <w:t xml:space="preserve">SERBIN, Andrés.</w:t>
      </w:r>
      <w:r>
        <w:rPr>
          <w:rFonts w:ascii="Times New Roman" w:hAnsi="Times New Roman" w:cs="Times New Roman"/>
          <w:color w:val="000000"/>
        </w:rPr>
        <w:t xml:space="preserve"> </w:t>
      </w:r>
      <w:r>
        <w:rPr>
          <w:rFonts w:ascii="Times New Roman" w:hAnsi="Times New Roman" w:cs="Times New Roman"/>
          <w:i/>
          <w:iCs/>
          <w:color w:val="000000"/>
        </w:rPr>
        <w:t xml:space="preserve">La CELAC y la construcción de un regionalismo poshegemónico</w:t>
      </w:r>
      <w:r>
        <w:rPr>
          <w:rFonts w:ascii="Times New Roman" w:hAnsi="Times New Roman" w:cs="Times New Roman"/>
          <w:color w:val="000000"/>
        </w:rPr>
        <w:t xml:space="preserve">. Buenos Aires: Coordinadora Regional de Investigaciones Económicas y Sociales, CRIES, 2012. Disponível em: https://www.researchgate.net/publication/351369298_La_CELAC_mas_alla_del_regionalismo_poshegemonico. Acesso em: 2 out. 2025.</w:t>
      </w:r>
    </w:p>
    <w:p>
      <w:pPr>
        <w:pStyle w:val="BodyText"/>
      </w:pPr>
      <w:r>
        <w:rPr>
          <w:rFonts w:ascii="Times New Roman" w:hAnsi="Times New Roman" w:cs="Times New Roman"/>
          <w:color w:val="000000"/>
        </w:rPr>
        <w:t xml:space="preserve">SIKKINK, Kathryn.</w:t>
      </w:r>
      <w:r>
        <w:rPr>
          <w:rFonts w:ascii="Times New Roman" w:hAnsi="Times New Roman" w:cs="Times New Roman"/>
          <w:color w:val="000000"/>
        </w:rPr>
        <w:t xml:space="preserve"> </w:t>
      </w:r>
      <w:r>
        <w:rPr>
          <w:rFonts w:ascii="Times New Roman" w:hAnsi="Times New Roman" w:cs="Times New Roman"/>
          <w:i/>
          <w:iCs/>
          <w:color w:val="000000"/>
        </w:rPr>
        <w:t xml:space="preserve">The justice cascade: how human rights prosecutions are changing world politics</w:t>
      </w:r>
      <w:r>
        <w:rPr>
          <w:rFonts w:ascii="Times New Roman" w:hAnsi="Times New Roman" w:cs="Times New Roman"/>
          <w:color w:val="000000"/>
        </w:rPr>
        <w:t xml:space="preserve">. New York: W. W. Norton &amp; Company, 2014.</w:t>
      </w:r>
    </w:p>
    <w:p>
      <w:pPr>
        <w:pStyle w:val="BodyText"/>
      </w:pPr>
      <w:r>
        <w:rPr>
          <w:rFonts w:ascii="Times New Roman" w:hAnsi="Times New Roman" w:cs="Times New Roman"/>
          <w:color w:val="000000"/>
        </w:rPr>
        <w:t xml:space="preserve">TOKATLIAN, Juan Gabriel.</w:t>
      </w:r>
      <w:r>
        <w:rPr>
          <w:rFonts w:ascii="Times New Roman" w:hAnsi="Times New Roman" w:cs="Times New Roman"/>
          <w:color w:val="000000"/>
        </w:rPr>
        <w:t xml:space="preserve"> </w:t>
      </w:r>
      <w:r>
        <w:rPr>
          <w:rFonts w:ascii="Times New Roman" w:hAnsi="Times New Roman" w:cs="Times New Roman"/>
          <w:i/>
          <w:iCs/>
          <w:color w:val="000000"/>
        </w:rPr>
        <w:t xml:space="preserve">Autonomía y política exterior: teoría y práctica en América Latina</w:t>
      </w:r>
      <w:r>
        <w:rPr>
          <w:rFonts w:ascii="Times New Roman" w:hAnsi="Times New Roman" w:cs="Times New Roman"/>
          <w:color w:val="000000"/>
        </w:rPr>
        <w:t xml:space="preserve">. Buenos Aires: Universidad Torcuato Di Tella, UTDT, 2011. Disponível em: https://repositorio.utdt.edu/server/api/core/bitstreams/33311df7-2b39-455d-8e29-6e23db99873f/content. Acesso em: 2 out. 2025.</w:t>
      </w:r>
    </w:p>
    <w:p>
      <w:pPr>
        <w:pStyle w:val="BodyText"/>
      </w:pPr>
      <w:r>
        <w:rPr>
          <w:rFonts w:ascii="Times New Roman" w:hAnsi="Times New Roman" w:cs="Times New Roman"/>
          <w:color w:val="000000"/>
        </w:rPr>
        <w:t xml:space="preserve">YIN, Robert K.</w:t>
      </w:r>
      <w:r>
        <w:rPr>
          <w:rFonts w:ascii="Times New Roman" w:hAnsi="Times New Roman" w:cs="Times New Roman"/>
          <w:color w:val="000000"/>
        </w:rPr>
        <w:t xml:space="preserve"> </w:t>
      </w:r>
      <w:r>
        <w:rPr>
          <w:rFonts w:ascii="Times New Roman" w:hAnsi="Times New Roman" w:cs="Times New Roman"/>
          <w:i/>
          <w:iCs/>
          <w:color w:val="000000"/>
        </w:rPr>
        <w:t xml:space="preserve">Case study research: design and methods</w:t>
      </w:r>
      <w:r>
        <w:rPr>
          <w:rFonts w:ascii="Times New Roman" w:hAnsi="Times New Roman" w:cs="Times New Roman"/>
          <w:color w:val="000000"/>
        </w:rPr>
        <w:t xml:space="preserve">. 6. ed. Thousand Oaks: Sage, 2018. Disponível em: https://us.sagepub.com/en-us/nam/case-study-research-and-applications/book250150. Acesso em: 2 out. 2025.</w:t>
      </w:r>
    </w:p>
    <w:bookmarkEnd w:id="45"/>
    <w:sectPr>
      <w:pgMar w:top="1701" w:left="1701" w:bottom="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before="0"/>
      <w:ind w:firstLine="709"/>
      <w:jc w:val="both"/>
    </w:pPr>
    <w:rPr>
      <w:rFonts w:ascii="Times New Roman" w:hAnsi="Times New Roman"/>
      <w:color w:val="000000"/>
      <w:sz w:val="24"/>
    </w:rPr>
  </w:style>
  <w:style w:styleId="BodyText" w:type="paragraph">
    <w:name w:val="Body Text"/>
    <w:basedOn w:val="Normal"/>
    <w:link w:val="BodyTextChar"/>
    <w:qFormat/>
    <w:pPr>
      <w:spacing w:after="180" w:before="180"/>
    </w:pPr>
    <w:rPr>
      <w:rFonts w:ascii="Times New Roman" w:hAnsi="Times New Roman"/>
      <w:color w:val="000000"/>
      <w:sz w:val="24"/>
    </w:rPr>
  </w:style>
  <w:style w:customStyle="1" w:styleId="FirstParagraph" w:type="paragraph">
    <w:name w:val="First Paragraph"/>
    <w:basedOn w:val="BodyText"/>
    <w:next w:val="BodyText"/>
    <w:qFormat/>
    <w:rPr>
      <w:rFonts w:ascii="Times New Roman" w:hAnsi="Times New Roman"/>
      <w:color w:val="000000"/>
      <w:sz w:val="24"/>
    </w:rPr>
  </w:style>
  <w:style w:customStyle="1" w:styleId="Compact" w:type="paragraph">
    <w:name w:val="Compact"/>
    <w:basedOn w:val="BodyText"/>
    <w:qFormat/>
    <w:pPr>
      <w:spacing w:after="36" w:before="36"/>
    </w:pPr>
    <w:rPr>
      <w:rFonts w:ascii="Times New Roman" w:hAnsi="Times New Roman"/>
      <w:color w:val="000000"/>
      <w:sz w:val="24"/>
    </w:rPr>
  </w:style>
  <w:style w:styleId="Title" w:type="paragraph">
    <w:name w:val="Title"/>
    <w:basedOn w:val="Normal"/>
    <w:next w:val="BodyText"/>
    <w:qFormat/>
    <w:pPr>
      <w:keepNext/>
      <w:keepLines/>
      <w:spacing w:after="240" w:before="360" w:line="360" w:lineRule="auto"/>
      <w:ind w:firstLine="0"/>
      <w:jc w:val="left"/>
    </w:pPr>
    <w:rPr>
      <w:rFonts w:asciiTheme="majorHAnsi" w:cstheme="majorBidi" w:eastAsiaTheme="majorEastAsia" w:hAnsiTheme="majorHAnsi" w:ascii="Times New Roman" w:hAnsi="Times New Roman"/>
      <w:b/>
      <w:bCs/>
      <w:color w:val="000000"/>
      <w:sz w:val="24"/>
      <w:szCs w:val="36"/>
    </w:rPr>
  </w:style>
  <w:style w:styleId="Subtitle" w:type="paragraph">
    <w:name w:val="Subtitle"/>
    <w:basedOn w:val="Title"/>
    <w:next w:val="BodyText"/>
    <w:qFormat/>
    <w:pPr>
      <w:keepNext/>
      <w:keepLines/>
      <w:spacing w:after="240" w:before="360" w:line="360" w:lineRule="auto"/>
      <w:ind w:firstLine="0"/>
      <w:jc w:val="left"/>
    </w:pPr>
    <w:rPr>
      <w:rFonts w:ascii="Times New Roman" w:hAnsi="Times New Roman"/>
      <w:b/>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2026-06-13T20:19:56Z</dcterms:created>
  <dcterms:modified xsi:type="dcterms:W3CDTF">2026-06-13T20:19:56Z</dcterms:modified>
</cp:coreProperties>
</file>

<file path=docProps/custom.xml><?xml version="1.0" encoding="utf-8"?>
<Properties xmlns="http://schemas.openxmlformats.org/officeDocument/2006/custom-properties" xmlns:vt="http://schemas.openxmlformats.org/officeDocument/2006/docPropsVTypes"/>
</file>