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ind w:firstLine="0"/>
        <w:rPr>
          <w:sz w:val="18"/>
          <w:szCs w:val="18"/>
        </w:rPr>
      </w:pPr>
      <w:r>
        <w:rPr>
          <w:sz w:val="18"/>
          <w:szCs w:val="18"/>
        </w:rPr>
        <w:footnoteReference w:id="0" w:customMarkFollows="1"/>
        <w:sym w:font="Symbol" w:char="F020"/>
      </w:r>
    </w:p>
    <w:p>
      <w:pPr>
        <w:pStyle w:val="21"/>
        <w:rPr>
          <w:rFonts w:hint="default"/>
          <w:lang w:val="en-GB"/>
        </w:rPr>
      </w:pPr>
      <w:r>
        <w:rPr>
          <w:rFonts w:hint="default"/>
          <w:lang w:val="en-GB"/>
        </w:rPr>
        <w:t>TITLE</w:t>
      </w:r>
    </w:p>
    <w:p>
      <w:pPr>
        <w:pStyle w:val="23"/>
        <w:rPr>
          <w:lang w:val="pt-PT"/>
        </w:rPr>
      </w:pPr>
      <w:r>
        <w:rPr>
          <w:rStyle w:val="24"/>
          <w:rFonts w:hint="default"/>
          <w:lang w:val="en-GB"/>
        </w:rPr>
        <w:t xml:space="preserve">Maria Barbosa, Pedro Alves </w:t>
      </w:r>
      <w:r>
        <w:rPr>
          <w:rStyle w:val="24"/>
          <w:lang w:val="pt-PT"/>
        </w:rPr>
        <w:t>FCT, UFP</w:t>
      </w:r>
    </w:p>
    <w:p>
      <w:pPr>
        <w:pStyle w:val="22"/>
      </w:pPr>
      <w:r>
        <w:rPr>
          <w:i/>
          <w:iCs/>
        </w:rPr>
        <w:t>Abstract</w:t>
      </w:r>
      <w:r>
        <w:t xml:space="preserve">—Use this document as a template if you are using Microsoft </w:t>
      </w:r>
      <w:r>
        <w:rPr>
          <w:i/>
          <w:iCs/>
        </w:rPr>
        <w:t>Word</w:t>
      </w:r>
      <w:r>
        <w:t xml:space="preserve"> 6.0 or later. Do not cite references in the abstract. Do not delete the blank line immediately above the abstract; it sets the footnote at the bottom of this column.</w:t>
      </w:r>
    </w:p>
    <w:p/>
    <w:p>
      <w:pPr>
        <w:pStyle w:val="26"/>
      </w:pPr>
      <w:bookmarkStart w:id="0" w:name="PointTmp"/>
      <w:r>
        <w:rPr>
          <w:i/>
          <w:iCs/>
        </w:rPr>
        <w:t>Index Terms</w:t>
      </w:r>
      <w:r>
        <w:t xml:space="preserve">—Insert here four (4) keywords or phrases in alphabetical order, separated by commas. For a list of keywords visit </w:t>
      </w:r>
      <w:r>
        <w:fldChar w:fldCharType="begin"/>
      </w:r>
      <w:r>
        <w:instrText xml:space="preserve"> HYPERLINK "http://www.ieee.org/organizations/pubs/ani_prod/keywrd98.txt" </w:instrText>
      </w:r>
      <w:r>
        <w:fldChar w:fldCharType="separate"/>
      </w:r>
      <w:r>
        <w:rPr>
          <w:rStyle w:val="20"/>
          <w:b w:val="0"/>
          <w:bCs w:val="0"/>
          <w:szCs w:val="20"/>
        </w:rPr>
        <w:t>http://www.ieee.org/organizations/pubs/ani_prod/keywrd98.txt</w:t>
      </w:r>
      <w:r>
        <w:rPr>
          <w:rStyle w:val="20"/>
          <w:b w:val="0"/>
          <w:bCs w:val="0"/>
          <w:szCs w:val="20"/>
        </w:rPr>
        <w:fldChar w:fldCharType="end"/>
      </w:r>
      <w:r>
        <w:t>.</w:t>
      </w:r>
    </w:p>
    <w:p/>
    <w:bookmarkEnd w:id="0"/>
    <w:p>
      <w:pPr>
        <w:pStyle w:val="2"/>
      </w:pPr>
      <w:r>
        <w:t>I</w:t>
      </w:r>
      <w:r>
        <w:rPr>
          <w:sz w:val="16"/>
          <w:szCs w:val="16"/>
        </w:rPr>
        <w:t>NTRODU</w:t>
      </w:r>
      <w:r>
        <w:rPr>
          <w:rFonts w:hint="default"/>
          <w:sz w:val="16"/>
          <w:szCs w:val="16"/>
          <w:lang w:val="en-GB"/>
        </w:rPr>
        <w:t>ÇÃO</w:t>
      </w:r>
    </w:p>
    <w:p>
      <w:pPr>
        <w:pStyle w:val="27"/>
        <w:keepNext/>
        <w:framePr w:dropCap="drop" w:lines="2" w:wrap="auto" w:vAnchor="text" w:hAnchor="text"/>
        <w:spacing w:line="480" w:lineRule="exact"/>
        <w:ind w:firstLine="0"/>
        <w:rPr>
          <w:rFonts w:hint="default"/>
          <w:smallCaps/>
          <w:position w:val="-3"/>
          <w:sz w:val="56"/>
          <w:szCs w:val="56"/>
          <w:lang w:val="en-GB"/>
        </w:rPr>
      </w:pPr>
      <w:r>
        <w:rPr>
          <w:rFonts w:hint="default"/>
          <w:smallCaps/>
          <w:position w:val="-3"/>
          <w:sz w:val="56"/>
          <w:szCs w:val="56"/>
          <w:lang w:val="en-GB"/>
        </w:rPr>
        <w:t>N</w:t>
      </w:r>
    </w:p>
    <w:p>
      <w:pPr>
        <w:pStyle w:val="27"/>
        <w:ind w:firstLine="0"/>
        <w:rPr>
          <w:rFonts w:hint="default"/>
          <w:lang w:val="en-GB"/>
        </w:rPr>
      </w:pPr>
      <w:r>
        <w:rPr>
          <w:rFonts w:hint="default"/>
          <w:lang w:val="en-GB"/>
        </w:rPr>
        <w:t>Uma fase de pandemia a nível mundial, Covid 19, surgi-nos a ideia de desenvolver um sistema que ajudasse a fazer um pequeno controlo dentro de um edifico.</w:t>
      </w:r>
    </w:p>
    <w:p>
      <w:pPr>
        <w:pStyle w:val="27"/>
        <w:ind w:firstLine="0"/>
        <w:rPr>
          <w:rFonts w:hint="default"/>
          <w:lang w:val="en-GB"/>
        </w:rPr>
      </w:pPr>
      <w:r>
        <w:rPr>
          <w:rFonts w:hint="default"/>
          <w:lang w:val="en-GB"/>
        </w:rPr>
        <w:t xml:space="preserve"> </w:t>
      </w:r>
      <w:r>
        <w:rPr>
          <w:rFonts w:hint="default"/>
          <w:lang w:val="en-GB"/>
        </w:rPr>
        <w:tab/>
        <w:t>Este sistema tem como objetivo permitir o controle de acesso a um edifício, assim como medir a temperatura das pessoas e verificar a utilização de máscara das mesmas.</w:t>
      </w:r>
    </w:p>
    <w:p>
      <w:pPr>
        <w:pStyle w:val="27"/>
        <w:ind w:firstLine="0"/>
        <w:rPr>
          <w:rFonts w:hint="default"/>
          <w:lang w:val="en-GB"/>
        </w:rPr>
      </w:pPr>
      <w:r>
        <w:rPr>
          <w:rFonts w:hint="default"/>
          <w:lang w:val="en-GB"/>
        </w:rPr>
        <w:t>Para tal, utilizaremos sensores como o AMG 8833 para a medição de temperatura, leitor RFID para o controle de acesso, câmera IP para vigilância e reconhecimento de máscara e um Raspberry PI para processar a imagem da câmera além de interpretar os dados de todos os restantes sensores.</w:t>
      </w:r>
    </w:p>
    <w:p>
      <w:pPr>
        <w:pStyle w:val="27"/>
        <w:ind w:firstLine="0"/>
        <w:rPr>
          <w:rFonts w:hint="default"/>
          <w:lang w:val="en-GB"/>
        </w:rPr>
      </w:pPr>
    </w:p>
    <w:p>
      <w:pPr>
        <w:pStyle w:val="27"/>
        <w:ind w:firstLine="0"/>
      </w:pPr>
    </w:p>
    <w:p>
      <w:pPr>
        <w:pStyle w:val="2"/>
      </w:pPr>
      <w:r>
        <w:t>SOTA / RELATED WORK</w:t>
      </w:r>
    </w:p>
    <w:p>
      <w:pPr>
        <w:pStyle w:val="3"/>
      </w:pPr>
      <w:r>
        <w:t>Sate of The Art</w:t>
      </w:r>
    </w:p>
    <w:p>
      <w:pPr>
        <w:pStyle w:val="27"/>
      </w:pPr>
      <w:r>
        <w:t>In this sub-section you should present the existing knowledge and technical background for understanding the particular problems addressed in the paper. This should also include existing solutions and/or frameworks for handling or solving the anticipated problems.</w:t>
      </w:r>
    </w:p>
    <w:p>
      <w:pPr>
        <w:pStyle w:val="3"/>
      </w:pPr>
      <w:r>
        <w:t>Related Work</w:t>
      </w:r>
    </w:p>
    <w:p>
      <w:pPr>
        <w:pStyle w:val="27"/>
      </w:pPr>
      <w:r>
        <w:t>The paper should present and describe the most significant projects that have similarities with the system being proposed in this project.</w:t>
      </w:r>
    </w:p>
    <w:p>
      <w:pPr>
        <w:pStyle w:val="27"/>
      </w:pPr>
      <w:r>
        <w:t>The authors should emphasize and analyze the similarities and particularly the differences among the projects. The authors should also explicitly point out the advantages and disadvantages of the system being proposed when comparing it with other projects. References to other papers should be inserted through numbers inside square brackets such as [1], [2]</w:t>
      </w:r>
    </w:p>
    <w:p>
      <w:pPr>
        <w:pStyle w:val="18"/>
        <w:ind w:firstLine="0"/>
      </w:pPr>
      <w:bookmarkStart w:id="1" w:name="_MON_1191142224"/>
      <w:bookmarkEnd w:id="1"/>
      <w:bookmarkStart w:id="2" w:name="_MON_1116936470"/>
      <w:bookmarkEnd w:id="2"/>
      <w:bookmarkStart w:id="3" w:name="_MON_1116936550"/>
      <w:bookmarkEnd w:id="3"/>
      <w:bookmarkStart w:id="4" w:name="_MON_1116939048"/>
      <w:bookmarkEnd w:id="4"/>
      <w:bookmarkStart w:id="5" w:name="_MON_1116938840"/>
      <w:bookmarkEnd w:id="5"/>
      <w:bookmarkStart w:id="6" w:name="_MON_1116940567"/>
      <w:bookmarkEnd w:id="6"/>
      <w:bookmarkStart w:id="7" w:name="_MON_1116939172"/>
      <w:bookmarkEnd w:id="7"/>
      <w:bookmarkStart w:id="8" w:name="_MON_1123417624"/>
      <w:bookmarkEnd w:id="8"/>
      <w:bookmarkStart w:id="9" w:name="_MON_1125401767"/>
      <w:bookmarkEnd w:id="9"/>
      <w:bookmarkStart w:id="10" w:name="_MON_1125400740"/>
      <w:bookmarkEnd w:id="10"/>
      <w:bookmarkStart w:id="11" w:name="_MON_1125401154"/>
      <w:bookmarkEnd w:id="11"/>
      <w:bookmarkStart w:id="12" w:name="_MON_1116937177"/>
      <w:bookmarkEnd w:id="12"/>
      <w:bookmarkStart w:id="13" w:name="_MON_1116939572"/>
      <w:bookmarkEnd w:id="13"/>
      <w:bookmarkStart w:id="14" w:name="_MON_1125400966"/>
      <w:bookmarkEnd w:id="14"/>
      <w:bookmarkStart w:id="15" w:name="_MON_1116946378"/>
      <w:bookmarkEnd w:id="15"/>
      <w:bookmarkStart w:id="16" w:name="_MON_1116940530"/>
      <w:bookmarkEnd w:id="16"/>
      <w:bookmarkStart w:id="17" w:name="_MON_1116944923"/>
      <w:bookmarkEnd w:id="17"/>
      <w:bookmarkStart w:id="18" w:name="_MON_1127307567"/>
      <w:bookmarkEnd w:id="18"/>
      <w:bookmarkStart w:id="19" w:name="_MON_1125401865"/>
      <w:bookmarkEnd w:id="19"/>
      <w:bookmarkStart w:id="20" w:name="_MON_1123151301"/>
      <w:bookmarkEnd w:id="20"/>
      <w:bookmarkStart w:id="21" w:name="_MON_1191141516"/>
      <w:bookmarkEnd w:id="21"/>
      <w:bookmarkStart w:id="22" w:name="_MON_1123148662"/>
      <w:bookmarkEnd w:id="22"/>
      <w:bookmarkStart w:id="23" w:name="_MON_1191142176"/>
      <w:bookmarkEnd w:id="23"/>
      <w:bookmarkStart w:id="24" w:name="_MON_1125401879"/>
      <w:bookmarkEnd w:id="24"/>
      <w:bookmarkStart w:id="25" w:name="_MON_1125401828"/>
      <w:bookmarkEnd w:id="25"/>
      <w:bookmarkStart w:id="26" w:name="_MON_1125402004"/>
      <w:bookmarkEnd w:id="26"/>
      <w:r>
        <w:rPr>
          <w:rFonts w:ascii="Arial" w:hAnsi="Arial" w:eastAsia="SimSun" w:cs="Arial"/>
          <w:i w:val="0"/>
          <w:iCs w:val="0"/>
          <w:color w:val="000000"/>
          <w:sz w:val="24"/>
          <w:szCs w:val="24"/>
          <w:u w:val="none"/>
          <w:bdr w:val="none" w:color="auto" w:sz="0" w:space="0"/>
          <w:vertAlign w:val="baseline"/>
        </w:rPr>
        <w:drawing>
          <wp:inline distT="0" distB="0" distL="114300" distR="114300">
            <wp:extent cx="3012440" cy="1486535"/>
            <wp:effectExtent l="0" t="0" r="5080" b="6985"/>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7"/>
                    <a:stretch>
                      <a:fillRect/>
                    </a:stretch>
                  </pic:blipFill>
                  <pic:spPr>
                    <a:xfrm>
                      <a:off x="0" y="0"/>
                      <a:ext cx="3012440" cy="1486535"/>
                    </a:xfrm>
                    <a:prstGeom prst="rect">
                      <a:avLst/>
                    </a:prstGeom>
                    <a:noFill/>
                    <a:ln w="9525">
                      <a:noFill/>
                    </a:ln>
                  </pic:spPr>
                </pic:pic>
              </a:graphicData>
            </a:graphic>
          </wp:inline>
        </w:drawing>
      </w:r>
    </w:p>
    <w:p>
      <w:pPr>
        <w:pStyle w:val="18"/>
        <w:ind w:firstLine="0"/>
      </w:pPr>
      <w:r>
        <w:t xml:space="preserve">Fig. 1.  System Architecture </w:t>
      </w:r>
    </w:p>
    <w:p>
      <w:pPr>
        <w:pStyle w:val="2"/>
      </w:pPr>
      <w:r>
        <w:t>System</w:t>
      </w:r>
    </w:p>
    <w:p>
      <w:pPr>
        <w:pStyle w:val="3"/>
      </w:pPr>
      <w:r>
        <w:rPr>
          <w:rFonts w:hint="default"/>
          <w:lang w:val="en-GB"/>
        </w:rPr>
        <w:t>Requisitos</w:t>
      </w:r>
    </w:p>
    <w:p>
      <w:pPr>
        <w:pStyle w:val="27"/>
        <w:numPr>
          <w:ilvl w:val="0"/>
          <w:numId w:val="3"/>
        </w:numPr>
      </w:pPr>
      <w:r>
        <w:rPr>
          <w:rFonts w:hint="default"/>
          <w:lang w:val="en-GB"/>
        </w:rPr>
        <w:t>O sistema deve “</w:t>
      </w:r>
      <w:r>
        <w:rPr>
          <w:rFonts w:hint="default"/>
          <w:color w:val="C00000"/>
          <w:lang w:val="en-GB"/>
        </w:rPr>
        <w:t>identificar</w:t>
      </w:r>
      <w:r>
        <w:rPr>
          <w:rFonts w:hint="default"/>
          <w:lang w:val="en-GB"/>
        </w:rPr>
        <w:t>” a pessoa (através do RFID),</w:t>
      </w:r>
    </w:p>
    <w:p>
      <w:pPr>
        <w:pStyle w:val="27"/>
        <w:numPr>
          <w:ilvl w:val="0"/>
          <w:numId w:val="3"/>
        </w:numPr>
      </w:pPr>
      <w:r>
        <w:rPr>
          <w:rFonts w:hint="default"/>
          <w:lang w:val="en-GB"/>
        </w:rPr>
        <w:t>O sistema deve detetar se a pessoa está ou não com máscara</w:t>
      </w:r>
    </w:p>
    <w:p>
      <w:pPr>
        <w:pStyle w:val="27"/>
        <w:numPr>
          <w:ilvl w:val="0"/>
          <w:numId w:val="3"/>
        </w:numPr>
      </w:pPr>
      <w:r>
        <w:rPr>
          <w:rFonts w:hint="default"/>
          <w:lang w:val="en-GB"/>
        </w:rPr>
        <w:t>O sistema deve efetuar a medição da temperatura</w:t>
      </w:r>
    </w:p>
    <w:p>
      <w:pPr>
        <w:pStyle w:val="3"/>
      </w:pPr>
      <w:r>
        <w:rPr>
          <w:rFonts w:hint="default"/>
          <w:lang w:val="en-GB"/>
        </w:rPr>
        <w:t>Arquitetura</w:t>
      </w:r>
    </w:p>
    <w:p>
      <w:pPr>
        <w:rPr>
          <w:rFonts w:hint="default"/>
        </w:rPr>
      </w:pPr>
      <w:r>
        <w:rPr>
          <w:rFonts w:hint="default"/>
        </w:rPr>
        <w:t>Para a implementação deste sistema, o material utilizado foi:</w:t>
      </w:r>
    </w:p>
    <w:p>
      <w:pPr>
        <w:numPr>
          <w:numId w:val="0"/>
        </w:numPr>
        <w:ind w:leftChars="0" w:firstLine="202" w:firstLineChars="0"/>
        <w:rPr>
          <w:rFonts w:hint="default"/>
        </w:rPr>
      </w:pPr>
      <w:r>
        <w:rPr>
          <w:rFonts w:hint="default"/>
          <w:lang w:val="en-GB"/>
        </w:rPr>
        <w:t xml:space="preserve">- </w:t>
      </w:r>
      <w:r>
        <w:rPr>
          <w:rFonts w:hint="default"/>
        </w:rPr>
        <w:t>2x Placa ESP-32</w:t>
      </w:r>
    </w:p>
    <w:p>
      <w:pPr>
        <w:ind w:firstLine="202" w:firstLineChars="0"/>
        <w:rPr>
          <w:rFonts w:hint="default"/>
        </w:rPr>
      </w:pPr>
      <w:r>
        <w:rPr>
          <w:rFonts w:hint="default"/>
          <w:lang w:val="en-GB"/>
        </w:rPr>
        <w:t xml:space="preserve">- </w:t>
      </w:r>
      <w:r>
        <w:rPr>
          <w:rFonts w:hint="default"/>
        </w:rPr>
        <w:t>1x Raspberry Pi 4</w:t>
      </w:r>
    </w:p>
    <w:p>
      <w:pPr>
        <w:ind w:firstLine="202" w:firstLineChars="0"/>
        <w:rPr>
          <w:rFonts w:hint="default"/>
        </w:rPr>
      </w:pPr>
      <w:r>
        <w:rPr>
          <w:rFonts w:hint="default"/>
          <w:lang w:val="en-GB"/>
        </w:rPr>
        <w:t xml:space="preserve">- </w:t>
      </w:r>
      <w:r>
        <w:rPr>
          <w:rFonts w:hint="default"/>
        </w:rPr>
        <w:t>1x Câmera IP</w:t>
      </w:r>
    </w:p>
    <w:p>
      <w:pPr>
        <w:ind w:firstLine="202" w:firstLineChars="0"/>
        <w:rPr>
          <w:rFonts w:hint="default"/>
        </w:rPr>
      </w:pPr>
      <w:r>
        <w:rPr>
          <w:rFonts w:hint="default"/>
          <w:lang w:val="en-GB"/>
        </w:rPr>
        <w:t xml:space="preserve">- </w:t>
      </w:r>
      <w:r>
        <w:rPr>
          <w:rFonts w:hint="default"/>
        </w:rPr>
        <w:t>1x Sensor de Temperatura AMG 8833</w:t>
      </w:r>
    </w:p>
    <w:p>
      <w:pPr>
        <w:ind w:firstLine="202" w:firstLineChars="0"/>
        <w:rPr>
          <w:rFonts w:hint="default"/>
        </w:rPr>
      </w:pPr>
      <w:r>
        <w:rPr>
          <w:rFonts w:hint="default"/>
          <w:lang w:val="en-GB"/>
        </w:rPr>
        <w:t xml:space="preserve">- </w:t>
      </w:r>
      <w:r>
        <w:rPr>
          <w:rFonts w:hint="default"/>
        </w:rPr>
        <w:t>1x Leitor de cartões RFID</w:t>
      </w:r>
    </w:p>
    <w:p/>
    <w:p>
      <w:pPr>
        <w:pStyle w:val="2"/>
        <w:jc w:val="center"/>
      </w:pPr>
      <w:r>
        <w:t>Implementation</w:t>
      </w:r>
    </w:p>
    <w:p>
      <w:pPr>
        <w:pStyle w:val="27"/>
        <w:rPr>
          <w:rFonts w:hint="default"/>
        </w:rPr>
      </w:pPr>
      <w:r>
        <w:rPr>
          <w:rFonts w:hint="default"/>
        </w:rPr>
        <w:t>O sensor de temperatura AMG 8833 está conectado a uma placa ESP-32, que ao ler o valor o envia via wifi para o Raspberry Pi.</w:t>
      </w:r>
    </w:p>
    <w:p>
      <w:pPr>
        <w:pStyle w:val="27"/>
        <w:rPr>
          <w:rFonts w:hint="default"/>
        </w:rPr>
      </w:pPr>
      <w:r>
        <w:rPr>
          <w:rFonts w:hint="default"/>
        </w:rPr>
        <w:t>O leitor de tags RFID encontra-se também conectado a uma placa ESP-32 funcionando da mesma forma que o sensor de temperatura, isto é, lê o valor dos cartões e os transmite via wifi para o Raspberry Pi.</w:t>
      </w:r>
    </w:p>
    <w:p>
      <w:pPr>
        <w:pStyle w:val="27"/>
        <w:rPr>
          <w:rFonts w:hint="default"/>
        </w:rPr>
      </w:pPr>
      <w:r>
        <w:rPr>
          <w:rFonts w:hint="default"/>
        </w:rPr>
        <w:t>O Raspberry Pi recebe os valores dos sensores, assim como as imagens projetadas pela câmera IP que se encontra na mesma rede. Além disso, aplica um algoritmo treinado com machine learning com o objetivo de detecção de máscara.</w:t>
      </w:r>
    </w:p>
    <w:p>
      <w:pPr>
        <w:pStyle w:val="27"/>
        <w:rPr>
          <w:rFonts w:hint="default"/>
        </w:rPr>
      </w:pPr>
      <w:r>
        <w:rPr>
          <w:rFonts w:hint="default"/>
        </w:rPr>
        <w:t>Outras das funcionalidades é possível consultar o número de pessoas no edifício, uma vez que, o Raspberry manda e sincroniza esses dados para a plataforma cloud Thingspeak.</w:t>
      </w:r>
    </w:p>
    <w:p>
      <w:pPr>
        <w:pStyle w:val="27"/>
      </w:pPr>
    </w:p>
    <w:p>
      <w:pPr>
        <w:pStyle w:val="2"/>
      </w:pPr>
      <w:r>
        <w:t>XPTO System Evaluation</w:t>
      </w:r>
    </w:p>
    <w:p>
      <w:pPr>
        <w:pStyle w:val="27"/>
      </w:pPr>
      <w:r>
        <w:t>In this section the paper should focus on the evaluation of the system being prototyped. Even if no evaluation is possible, the authors should present the aspects that should be tested/evaluated and how they could realize such evaluation.</w:t>
      </w:r>
    </w:p>
    <w:p>
      <w:pPr>
        <w:pStyle w:val="2"/>
      </w:pPr>
      <w:r>
        <w:t>Conclusion</w:t>
      </w:r>
    </w:p>
    <w:p>
      <w:pPr>
        <w:pStyle w:val="27"/>
      </w:pPr>
      <w:r>
        <w:t>In this final section the authors should present their final conclusions, emphasizing the novelty of their approach or system in comparison with other existing systems. The conclusion may review the main points of the paper, do not replicate the abstract as the conclusion. A conclusion might elaborate on the importance of the work or suggest applications and extensions (i.e. future work).</w:t>
      </w:r>
    </w:p>
    <w:p>
      <w:pPr>
        <w:pStyle w:val="27"/>
      </w:pPr>
    </w:p>
    <w:p>
      <w:pPr>
        <w:pStyle w:val="2"/>
      </w:pPr>
      <w:r>
        <w:t>Some Common Mistakes</w:t>
      </w:r>
    </w:p>
    <w:p>
      <w:pPr>
        <w:pStyle w:val="27"/>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w:t>
      </w:r>
    </w:p>
    <w:p>
      <w:pPr>
        <w:pStyle w:val="27"/>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pPr>
        <w:pStyle w:val="27"/>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pPr>
        <w:pStyle w:val="27"/>
        <w:rPr>
          <w:sz w:val="18"/>
        </w:rPr>
      </w:pPr>
      <w:r>
        <w:t xml:space="preserve">An excellent style manual and source of information for science writers is [9]. A general IEEE style guide and an </w:t>
      </w:r>
      <w:r>
        <w:rPr>
          <w:i/>
          <w:iCs/>
        </w:rPr>
        <w:t xml:space="preserve">Information for Authors </w:t>
      </w:r>
      <w:r>
        <w:rPr>
          <w:iCs/>
        </w:rPr>
        <w:t>are both</w:t>
      </w:r>
      <w:r>
        <w:t xml:space="preserve"> available at </w:t>
      </w:r>
      <w:r>
        <w:fldChar w:fldCharType="begin"/>
      </w:r>
      <w:r>
        <w:instrText xml:space="preserve"> HYPERLINK "http://www.ieee.org/web/publications/authors/transjnl/index.html" </w:instrText>
      </w:r>
      <w:r>
        <w:fldChar w:fldCharType="separate"/>
      </w:r>
      <w:r>
        <w:rPr>
          <w:rStyle w:val="20"/>
          <w:sz w:val="18"/>
        </w:rPr>
        <w:t>http://www.ieee.org/web/publications/authors/transjnl/index.html</w:t>
      </w:r>
      <w:r>
        <w:rPr>
          <w:rStyle w:val="20"/>
          <w:sz w:val="18"/>
        </w:rPr>
        <w:fldChar w:fldCharType="end"/>
      </w:r>
      <w:r>
        <w:rPr>
          <w:sz w:val="18"/>
        </w:rPr>
        <w:t>.</w:t>
      </w:r>
    </w:p>
    <w:p>
      <w:pPr>
        <w:pStyle w:val="27"/>
        <w:ind w:firstLine="0"/>
      </w:pPr>
    </w:p>
    <w:p>
      <w:pPr>
        <w:pStyle w:val="2"/>
      </w:pPr>
      <w:r>
        <w:t>Helpful Hints</w:t>
      </w:r>
    </w:p>
    <w:p>
      <w:pPr>
        <w:pStyle w:val="3"/>
      </w:pPr>
      <w:r>
        <w:t>Figures and Tables</w:t>
      </w:r>
    </w:p>
    <w:p>
      <w:pPr>
        <w:pStyle w:val="27"/>
      </w:pPr>
      <w:r>
        <w:rPr>
          <w:lang w:val="pt-PT" w:eastAsia="pt-PT"/>
        </w:rPr>
        <mc:AlternateContent>
          <mc:Choice Requires="wps">
            <w:drawing>
              <wp:anchor distT="0" distB="0" distL="114300" distR="114300" simplePos="0" relativeHeight="251659264" behindDoc="0" locked="0" layoutInCell="0" allowOverlap="1">
                <wp:simplePos x="0" y="0"/>
                <wp:positionH relativeFrom="margin">
                  <wp:posOffset>3429000</wp:posOffset>
                </wp:positionH>
                <wp:positionV relativeFrom="margin">
                  <wp:posOffset>0</wp:posOffset>
                </wp:positionV>
                <wp:extent cx="3184525" cy="2341880"/>
                <wp:effectExtent l="0" t="0" r="635" b="5080"/>
                <wp:wrapSquare wrapText="bothSides"/>
                <wp:docPr id="4" name="Text Box 8"/>
                <wp:cNvGraphicFramePr/>
                <a:graphic xmlns:a="http://schemas.openxmlformats.org/drawingml/2006/main">
                  <a:graphicData uri="http://schemas.microsoft.com/office/word/2010/wordprocessingShape">
                    <wps:wsp>
                      <wps:cNvSpPr txBox="1"/>
                      <wps:spPr bwMode="auto">
                        <a:xfrm>
                          <a:off x="0" y="0"/>
                          <a:ext cx="3184525" cy="2341880"/>
                        </a:xfrm>
                        <a:prstGeom prst="rect">
                          <a:avLst/>
                        </a:prstGeom>
                        <a:solidFill>
                          <a:srgbClr val="FFFFFF"/>
                        </a:solidFill>
                        <a:ln>
                          <a:noFill/>
                        </a:ln>
                      </wps:spPr>
                      <wps:txbx>
                        <w:txbxContent>
                          <w:p>
                            <w:pPr>
                              <w:pStyle w:val="18"/>
                            </w:pPr>
                            <w:r>
                              <w:drawing>
                                <wp:inline distT="0" distB="0" distL="114300" distR="114300">
                                  <wp:extent cx="3154045" cy="2366010"/>
                                  <wp:effectExtent l="0" t="0" r="635" b="11430"/>
                                  <wp:docPr id="2"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
                                          <pic:cNvPicPr>
                                            <a:picLocks noChangeAspect="1"/>
                                          </pic:cNvPicPr>
                                        </pic:nvPicPr>
                                        <pic:blipFill>
                                          <a:blip r:embed="rId8"/>
                                          <a:stretch>
                                            <a:fillRect/>
                                          </a:stretch>
                                        </pic:blipFill>
                                        <pic:spPr>
                                          <a:xfrm>
                                            <a:off x="0" y="0"/>
                                            <a:ext cx="3154045" cy="2366010"/>
                                          </a:xfrm>
                                          <a:prstGeom prst="rect">
                                            <a:avLst/>
                                          </a:prstGeom>
                                        </pic:spPr>
                                      </pic:pic>
                                    </a:graphicData>
                                  </a:graphic>
                                </wp:inline>
                              </w:drawing>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270pt;margin-top:0pt;height:184.4pt;width:250.75pt;mso-position-horizontal-relative:margin;mso-position-vertical-relative:margin;mso-wrap-distance-bottom:0pt;mso-wrap-distance-left:9pt;mso-wrap-distance-right:9pt;mso-wrap-distance-top:0pt;z-index:251659264;mso-width-relative:page;mso-height-relative:page;" fillcolor="#FFFFFF" filled="t" stroked="f" coordsize="21600,21600" o:allowincell="f" o:gfxdata="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cwR3YAAAACQEAAA8AAAAAAAAAAQAgAAAAIgAAAGRycy9kb3ducmV2Lnht&#10;bFBLAQIUABQAAAAIAIdO4kAjfCHf+QEAAP4DAAAOAAAAAAAAAAEAIAAAACcBAABkcnMvZTJvRG9j&#10;LnhtbFBLBQYAAAAABgAGAFkBAACSBQAAAAA=&#10;">
                <v:fill on="t" focussize="0,0"/>
                <v:stroke on="f"/>
                <v:imagedata o:title=""/>
                <o:lock v:ext="edit" aspectratio="f"/>
                <v:textbox inset="0mm,0mm,0mm,0mm">
                  <w:txbxContent>
                    <w:p>
                      <w:pPr>
                        <w:pStyle w:val="18"/>
                      </w:pPr>
                      <w:r>
                        <w:drawing>
                          <wp:inline distT="0" distB="0" distL="114300" distR="114300">
                            <wp:extent cx="3154045" cy="2366010"/>
                            <wp:effectExtent l="0" t="0" r="635" b="11430"/>
                            <wp:docPr id="2"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
                                    <pic:cNvPicPr>
                                      <a:picLocks noChangeAspect="1"/>
                                    </pic:cNvPicPr>
                                  </pic:nvPicPr>
                                  <pic:blipFill>
                                    <a:blip r:embed="rId8"/>
                                    <a:stretch>
                                      <a:fillRect/>
                                    </a:stretch>
                                  </pic:blipFill>
                                  <pic:spPr>
                                    <a:xfrm>
                                      <a:off x="0" y="0"/>
                                      <a:ext cx="3154045" cy="2366010"/>
                                    </a:xfrm>
                                    <a:prstGeom prst="rect">
                                      <a:avLst/>
                                    </a:prstGeom>
                                  </pic:spPr>
                                </pic:pic>
                              </a:graphicData>
                            </a:graphic>
                          </wp:inline>
                        </w:drawing>
                      </w:r>
                    </w:p>
                  </w:txbxContent>
                </v:textbox>
                <w10:wrap type="square"/>
              </v:shape>
            </w:pict>
          </mc:Fallback>
        </mc:AlternateContent>
      </w:r>
      <w:r>
        <w:t xml:space="preserve">Please position the figures and tables at the top or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w:t>
      </w:r>
    </w:p>
    <w:p>
      <w:pPr>
        <w:pStyle w:val="27"/>
      </w:pPr>
    </w:p>
    <w:p>
      <w:pPr>
        <w:pStyle w:val="27"/>
      </w:pPr>
      <w:bookmarkStart w:id="27" w:name="_GoBack"/>
      <w:bookmarkEnd w:id="27"/>
      <w:r>
        <w:t xml:space="preserve">“Table.” Tables are numbered with Roman numerals. </w:t>
      </w:r>
    </w:p>
    <w:p>
      <w:pPr>
        <w:pStyle w:val="27"/>
        <w:rPr>
          <w:b/>
        </w:rPr>
      </w:pPr>
      <w:r>
        <w:rPr>
          <w:bCs/>
        </w:rPr>
        <w:t>Do not use color unless it is necessary for the proper interpretation of your figures.</w:t>
      </w:r>
      <w:r>
        <w:t xml:space="preserve"> There is an additional charge for color reprints. </w:t>
      </w:r>
      <w:r>
        <w:rPr>
          <w:b/>
        </w:rPr>
        <w:t>Please note that many IEEE journals now allow an author to publish color figures on Xplore and black and white figures in print. Contact your society representative for specific requirements.</w:t>
      </w:r>
    </w:p>
    <w:p>
      <w:pPr>
        <w:pStyle w:val="27"/>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v:shape id="_x0000_i1026" o:spt="75" type="#_x0000_t75" style="height:6pt;width:5.35pt;" o:ole="t" fillcolor="#FFFFFF" filled="f" o:preferrelative="t" stroked="f" coordsize="21600,21600">
            <v:path/>
            <v:fill on="f" focussize="0,0"/>
            <v:stroke on="f" joinstyle="miter"/>
            <v:imagedata r:id="rId10" o:title=""/>
            <o:lock v:ext="edit" aspectratio="t"/>
            <w10:wrap type="none"/>
            <w10:anchorlock/>
          </v:shape>
          <o:OLEObject Type="Embed" ProgID="Unknown" ShapeID="_x0000_i1026" DrawAspect="Content" ObjectID="_1468075725" r:id="rId9">
            <o:LockedField>false</o:LockedField>
          </o:OLEObject>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pPr>
        <w:pStyle w:val="27"/>
      </w:pPr>
      <w:r>
        <w:t>Multipliers can be especially confusing. Write “Magnetization (kA/m)” or “Magnetization (10</w:t>
      </w:r>
      <w:r>
        <w:rPr>
          <w:vertAlign w:val="superscript"/>
        </w:rPr>
        <w:t>3</w:t>
      </w:r>
      <w:r>
        <w:t xml:space="preserve"> A/m).” Do not write “Magnetization (A/m) </w:t>
      </w:r>
      <w:r>
        <w:rPr/>
        <w:sym w:font="Symbol" w:char="F0B4"/>
      </w:r>
      <w:r>
        <w:t xml:space="preserve"> 1000” because the reader would not know whether the top axis label in Fig. 1 meant 16000 A/m or 0.016 A/m. Figure labels should be legible, approximately 8 to 12 point type.</w:t>
      </w:r>
    </w:p>
    <w:p>
      <w:pPr>
        <w:pStyle w:val="3"/>
      </w:pPr>
      <w:r>
        <w:t>References</w:t>
      </w:r>
    </w:p>
    <w:p>
      <w:pPr>
        <w:pStyle w:val="27"/>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Please do not use automatic endnotes in </w:t>
      </w:r>
      <w:r>
        <w:rPr>
          <w:i/>
          <w:iCs/>
        </w:rPr>
        <w:t>Word</w:t>
      </w:r>
      <w:r>
        <w:t>, rather, type the reference list at the end of the paper using the “References” style.</w:t>
      </w:r>
    </w:p>
    <w:p>
      <w:pPr>
        <w:pStyle w:val="27"/>
      </w:pPr>
      <w:r>
        <w:t>Number footnotes separately in superscripts (Insert | Footnote).</w:t>
      </w:r>
      <w:r>
        <w:rPr>
          <w:rStyle w:val="17"/>
        </w:rPr>
        <w:footnoteReference w:id="1"/>
      </w:r>
      <w:r>
        <w:t xml:space="preserve"> Place the actual footnote at the bottom of the column in which it is cited; do not put footnotes in the reference list (endnotes). Use letters for table footnotes (see Table I). </w:t>
      </w:r>
    </w:p>
    <w:p>
      <w:pPr>
        <w:pStyle w:val="27"/>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accepted for publication, but not yet specified for an issue should be cited as “to be published” [5]. Papers that have been submitted for publication should be cited as “submitted for publication” [6]. Please give affiliations and addresses for private communications [7].</w:t>
      </w:r>
    </w:p>
    <w:p>
      <w:pPr>
        <w:pStyle w:val="27"/>
        <w:ind w:firstLine="144"/>
      </w:pPr>
      <w:r>
        <w:t>Capitalize only the first word in a paper title, except for proper nouns and element symbols. For papers published in translation journals, please give the English citation first, followed by the original foreign-language citation [8].</w:t>
      </w:r>
    </w:p>
    <w:p>
      <w:pPr>
        <w:pStyle w:val="3"/>
      </w:pPr>
      <w:r>
        <w:t>Abbreviations and Acronyms</w:t>
      </w:r>
    </w:p>
    <w:p>
      <w:pPr>
        <w:pStyle w:val="27"/>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3"/>
      </w:pPr>
      <w:r>
        <w:t>Equations</w:t>
      </w:r>
    </w:p>
    <w:p>
      <w:pPr>
        <w:pStyle w:val="27"/>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27"/>
      </w:pPr>
    </w:p>
    <w:p>
      <w:pPr>
        <w:pStyle w:val="31"/>
      </w:pPr>
      <w:r>
        <w:rPr>
          <w:position w:val="-50"/>
        </w:rPr>
        <w:object>
          <v:shape id="_x0000_i1027" o:spt="75" type="#_x0000_t75" style="height:46pt;width:224.65pt;" o:ole="t" fillcolor="#FFFFFF" filled="f" o:preferrelative="t" stroked="f" coordsize="21600,21600">
            <v:path/>
            <v:fill on="f" focussize="0,0"/>
            <v:stroke on="f" joinstyle="miter"/>
            <v:imagedata r:id="rId12" o:title=""/>
            <o:lock v:ext="edit" aspectratio="t"/>
            <w10:wrap type="none"/>
            <w10:anchorlock/>
          </v:shape>
          <o:OLEObject Type="Embed" ProgID="Unknown" ShapeID="_x0000_i1027" DrawAspect="Content" ObjectID="_1468075726" r:id="rId11">
            <o:LockedField>false</o:LockedField>
          </o:OLEObject>
        </w:object>
      </w:r>
      <w:r>
        <w:tab/>
      </w:r>
      <w:r>
        <w:t>(1)</w:t>
      </w:r>
    </w:p>
    <w:p/>
    <w:p>
      <w:pPr>
        <w:pStyle w:val="27"/>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w:t>
      </w:r>
    </w:p>
    <w:p>
      <w:pPr>
        <w:pStyle w:val="3"/>
      </w:pPr>
      <w:r>
        <w:t>Other Recommendations</w:t>
      </w:r>
    </w:p>
    <w:p>
      <w:pPr>
        <w:pStyle w:val="27"/>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pPr>
        <w:pStyle w:val="27"/>
      </w:pPr>
      <w:r>
        <w:t>Use a zero before decimal points: “0.25,” not “.25.” Use “cm</w:t>
      </w:r>
      <w:r>
        <w:rPr>
          <w:vertAlign w:val="superscript"/>
        </w:rPr>
        <w:t>3</w:t>
      </w:r>
      <w:r>
        <w:t xml:space="preserve">,” not “cc.” Indicate sample dimensions as “0.1 cm </w:t>
      </w:r>
      <w:r>
        <w:rPr/>
        <w:sym w:font="Symbol" w:char="F0B4"/>
      </w:r>
      <w:r>
        <w:t xml:space="preserve"> 0.2 cm,” not “0.1 </w:t>
      </w:r>
      <w:r>
        <w:rP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pPr>
        <w:pStyle w:val="27"/>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pPr>
        <w:pStyle w:val="27"/>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pPr>
        <w:pStyle w:val="27"/>
        <w:ind w:firstLine="0"/>
      </w:pPr>
    </w:p>
    <w:p>
      <w:pPr>
        <w:pStyle w:val="2"/>
      </w:pPr>
      <w:r>
        <w:t>Publication Principles</w:t>
      </w:r>
    </w:p>
    <w:p>
      <w:pPr>
        <w:pStyle w:val="27"/>
      </w:pPr>
      <w:r>
        <w:t>Authors should consider the following points:</w:t>
      </w:r>
    </w:p>
    <w:p>
      <w:pPr>
        <w:pStyle w:val="27"/>
        <w:numPr>
          <w:ilvl w:val="0"/>
          <w:numId w:val="3"/>
        </w:numPr>
      </w:pPr>
      <w:r>
        <w:t xml:space="preserve">Technical papers submitted for publication must advance the state of knowledge and must cite relevant prior work. </w:t>
      </w:r>
    </w:p>
    <w:p>
      <w:pPr>
        <w:pStyle w:val="27"/>
        <w:numPr>
          <w:ilvl w:val="0"/>
          <w:numId w:val="3"/>
        </w:numPr>
      </w:pPr>
      <w:r>
        <w:t>The length of a submitted paper should be commensurate with the importance, or appropriate to the complexity, of the work.</w:t>
      </w:r>
    </w:p>
    <w:p>
      <w:pPr>
        <w:pStyle w:val="27"/>
        <w:numPr>
          <w:ilvl w:val="0"/>
          <w:numId w:val="3"/>
        </w:numPr>
      </w:pPr>
      <w:r>
        <w:t xml:space="preserve">Authors must convince both peer reviewers and the editors of the scientific and technical merit of a paper; the standards of proof are higher when extraordinary or unexpected results are reported. </w:t>
      </w:r>
    </w:p>
    <w:p>
      <w:pPr>
        <w:pStyle w:val="27"/>
        <w:numPr>
          <w:ilvl w:val="0"/>
          <w:numId w:val="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pPr>
        <w:pStyle w:val="27"/>
        <w:ind w:firstLine="0"/>
      </w:pPr>
    </w:p>
    <w:p>
      <w:pPr>
        <w:pStyle w:val="30"/>
      </w:pPr>
      <w:r>
        <w:t>Acknowledgment</w:t>
      </w:r>
    </w:p>
    <w:p>
      <w:pPr>
        <w:pStyle w:val="27"/>
        <w:rPr>
          <w:b/>
          <w:bCs/>
        </w:rPr>
      </w:pPr>
      <w:r>
        <w:t xml:space="preserve">The preferred spelling of the word “acknowledgment” in American English is without an “e” after the “g.” Use the singular heading even if you have many acknowledgments. Avoid expressions such as “One of us (S.B.A.) would like to thank...”; Instead, write “F. A. Author thanks...” </w:t>
      </w:r>
      <w:r>
        <w:rPr>
          <w:b/>
          <w:bCs/>
        </w:rPr>
        <w:t>Sponsor and financial support acknowledgments are placed in the unnumbered footnote on the first page, not here.</w:t>
      </w:r>
    </w:p>
    <w:p>
      <w:pPr>
        <w:pStyle w:val="27"/>
        <w:ind w:firstLine="0"/>
      </w:pPr>
    </w:p>
    <w:p>
      <w:pPr>
        <w:pStyle w:val="30"/>
      </w:pPr>
      <w:r>
        <w:t>References</w:t>
      </w:r>
    </w:p>
    <w:p>
      <w:pPr>
        <w:numPr>
          <w:ilvl w:val="0"/>
          <w:numId w:val="4"/>
        </w:numPr>
        <w:rPr>
          <w:sz w:val="16"/>
          <w:szCs w:val="16"/>
        </w:rPr>
      </w:pPr>
      <w:r>
        <w:rPr>
          <w:sz w:val="16"/>
          <w:szCs w:val="16"/>
        </w:rPr>
        <w:t xml:space="preserve">G. O. Young, “Synthetic structure of industrial plastics (Book style with paper title and editor),” </w:t>
      </w:r>
      <w:r>
        <w:rPr>
          <w:sz w:val="16"/>
          <w:szCs w:val="16"/>
        </w:rPr>
        <w:tab/>
      </w:r>
      <w:r>
        <w:rPr>
          <w:sz w:val="16"/>
          <w:szCs w:val="16"/>
        </w:rPr>
        <w:t xml:space="preserve">in </w:t>
      </w:r>
      <w:r>
        <w:rPr>
          <w:i/>
          <w:iCs/>
          <w:sz w:val="16"/>
          <w:szCs w:val="16"/>
        </w:rPr>
        <w:t>Plastics</w:t>
      </w:r>
      <w:r>
        <w:rPr>
          <w:sz w:val="16"/>
          <w:szCs w:val="16"/>
        </w:rPr>
        <w:t>, 2nd ed. vol. 3, J. Peters, Ed.  New York: McGraw-Hill, 1964, pp. 15–64.</w:t>
      </w:r>
    </w:p>
    <w:p>
      <w:pPr>
        <w:numPr>
          <w:ilvl w:val="0"/>
          <w:numId w:val="4"/>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r>
        <w:rPr>
          <w:sz w:val="16"/>
          <w:szCs w:val="16"/>
        </w:rPr>
        <w:t>Belmont, CA: Wadsworth, 1993, pp. 123–135.</w:t>
      </w:r>
    </w:p>
    <w:p>
      <w:pPr>
        <w:numPr>
          <w:ilvl w:val="0"/>
          <w:numId w:val="4"/>
        </w:numPr>
        <w:rPr>
          <w:sz w:val="16"/>
          <w:szCs w:val="16"/>
        </w:rPr>
      </w:pPr>
      <w:r>
        <w:rPr>
          <w:sz w:val="16"/>
          <w:szCs w:val="16"/>
        </w:rPr>
        <w:t xml:space="preserve">H. Poor, </w:t>
      </w:r>
      <w:r>
        <w:rPr>
          <w:i/>
          <w:iCs/>
          <w:sz w:val="16"/>
          <w:szCs w:val="16"/>
        </w:rPr>
        <w:t>An Introduction to Signal Detection and Estimation</w:t>
      </w:r>
      <w:r>
        <w:rPr>
          <w:sz w:val="16"/>
          <w:szCs w:val="16"/>
        </w:rPr>
        <w:t>.   New York: Springer-Verlag, 1985, ch. 4.</w:t>
      </w:r>
    </w:p>
    <w:p>
      <w:pPr>
        <w:pStyle w:val="25"/>
        <w:numPr>
          <w:ilvl w:val="0"/>
          <w:numId w:val="4"/>
        </w:numPr>
      </w:pPr>
      <w:r>
        <w:t>B. Smith, “An approach to graphs of linear forms (Unpublished work style),” unpublished.</w:t>
      </w:r>
    </w:p>
    <w:p>
      <w:pPr>
        <w:numPr>
          <w:ilvl w:val="0"/>
          <w:numId w:val="4"/>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pPr>
        <w:numPr>
          <w:ilvl w:val="0"/>
          <w:numId w:val="4"/>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pPr>
        <w:pStyle w:val="25"/>
        <w:numPr>
          <w:ilvl w:val="0"/>
          <w:numId w:val="4"/>
        </w:numPr>
      </w:pPr>
      <w:r>
        <w:t>C. J. Kaufman, Rocky Mountain Research Lab., Boulder, CO, private communication, May 1995.</w:t>
      </w:r>
    </w:p>
    <w:p>
      <w:pPr>
        <w:pStyle w:val="25"/>
        <w:numPr>
          <w:ilvl w:val="0"/>
          <w:numId w:val="4"/>
        </w:numPr>
      </w:pPr>
      <w:r>
        <w:t xml:space="preserve">Y. Yorozu, M. Hirano, K. Oka, and Y. Tagawa, “Electron spectroscopy studies on magneto-optical media and plastic substrate interfaces (Translation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pPr>
        <w:pStyle w:val="25"/>
        <w:numPr>
          <w:ilvl w:val="0"/>
          <w:numId w:val="4"/>
        </w:numPr>
      </w:pPr>
      <w:r>
        <w:t xml:space="preserve">M. Young, </w:t>
      </w:r>
      <w:r>
        <w:rPr>
          <w:i/>
          <w:iCs/>
        </w:rPr>
        <w:t>The Techincal Writers Handbook.</w:t>
      </w:r>
      <w:r>
        <w:t xml:space="preserve">  Mill Valley, CA: University Science, 1989.</w:t>
      </w:r>
    </w:p>
    <w:p>
      <w:pPr>
        <w:numPr>
          <w:ilvl w:val="0"/>
          <w:numId w:val="4"/>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pPr>
        <w:numPr>
          <w:ilvl w:val="0"/>
          <w:numId w:val="4"/>
        </w:numPr>
        <w:rPr>
          <w:sz w:val="16"/>
          <w:szCs w:val="16"/>
        </w:rPr>
      </w:pPr>
      <w:r>
        <w:rPr>
          <w:sz w:val="16"/>
          <w:szCs w:val="16"/>
        </w:rPr>
        <w:tab/>
      </w:r>
      <w:r>
        <w:rPr>
          <w:sz w:val="16"/>
          <w:szCs w:val="16"/>
        </w:rPr>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pPr>
        <w:numPr>
          <w:ilvl w:val="0"/>
          <w:numId w:val="4"/>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pPr>
        <w:numPr>
          <w:ilvl w:val="0"/>
          <w:numId w:val="4"/>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pPr>
        <w:numPr>
          <w:ilvl w:val="0"/>
          <w:numId w:val="4"/>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pPr>
        <w:numPr>
          <w:ilvl w:val="0"/>
          <w:numId w:val="4"/>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pPr>
        <w:numPr>
          <w:ilvl w:val="0"/>
          <w:numId w:val="4"/>
        </w:numPr>
      </w:pPr>
      <w:r>
        <w:rPr>
          <w:sz w:val="16"/>
          <w:szCs w:val="16"/>
        </w:rPr>
        <w:t>G. W. Juette and L. E. Zeffanella, “Radio noise currents n short sections on bundle conductors (Presented Conference Paper style),” presented at the IEEE Summer power Meeting, Dallas, TX, Jun. 22–27, 1990, Paper 90 SM 690-0 PWRS.</w:t>
      </w:r>
    </w:p>
    <w:p>
      <w:pPr>
        <w:pStyle w:val="25"/>
        <w:numPr>
          <w:ilvl w:val="0"/>
          <w:numId w:val="4"/>
        </w:numPr>
      </w:pPr>
      <w:r>
        <w:t>J. G. Kreifeldt, “An analysis of surface-detected EMG as an amplitude-modulated noise,” presented at the 1989 Int. Conf. Medicine and Biological Engineering, Chicago, IL.</w:t>
      </w:r>
    </w:p>
    <w:p>
      <w:pPr>
        <w:pStyle w:val="25"/>
        <w:numPr>
          <w:ilvl w:val="0"/>
          <w:numId w:val="4"/>
        </w:numPr>
      </w:pPr>
      <w:r>
        <w:t xml:space="preserve">J. Williams, “Narrow-band analyzer (Thesis or Dissertation style),” Ph.D. dissertation, Dept. Elect. Eng., Harvard Univ., Cambridge, MA, 1993. </w:t>
      </w:r>
    </w:p>
    <w:p>
      <w:pPr>
        <w:pStyle w:val="25"/>
        <w:numPr>
          <w:ilvl w:val="0"/>
          <w:numId w:val="4"/>
        </w:numPr>
      </w:pPr>
      <w:r>
        <w:t>N. Kawasaki, “Parametric study of thermal and chemical nonequilibrium nozzle flow,” M.S. thesis, Dept. Electron. Eng., Osaka Univ., Osaka, Japan, 1993.</w:t>
      </w:r>
    </w:p>
    <w:p>
      <w:pPr>
        <w:pStyle w:val="25"/>
        <w:numPr>
          <w:ilvl w:val="0"/>
          <w:numId w:val="4"/>
        </w:numPr>
      </w:pPr>
      <w:r>
        <w:t xml:space="preserve">J. P. Wilkinson, “Nonlinear resonant circuit devices (Patent style),” U.S. Patent 3 624 12, July 16, 1990. </w:t>
      </w:r>
    </w:p>
    <w:p>
      <w:pPr>
        <w:pStyle w:val="25"/>
        <w:numPr>
          <w:ilvl w:val="0"/>
          <w:numId w:val="4"/>
        </w:numPr>
      </w:pPr>
      <w:r>
        <w:rPr>
          <w:i/>
          <w:iCs/>
        </w:rPr>
        <w:t xml:space="preserve">IEEE Criteria for Class IE Electric Systems </w:t>
      </w:r>
      <w:r>
        <w:t>(Standards style)</w:t>
      </w:r>
      <w:r>
        <w:rPr>
          <w:i/>
          <w:iCs/>
        </w:rPr>
        <w:t>,</w:t>
      </w:r>
      <w:r>
        <w:t xml:space="preserve"> IEEE Standard 308, 1969.</w:t>
      </w:r>
    </w:p>
    <w:p>
      <w:pPr>
        <w:pStyle w:val="25"/>
        <w:numPr>
          <w:ilvl w:val="0"/>
          <w:numId w:val="4"/>
        </w:numPr>
      </w:pPr>
      <w:r>
        <w:rPr>
          <w:i/>
          <w:iCs/>
        </w:rPr>
        <w:t>Letter Symbols for Quantities</w:t>
      </w:r>
      <w:r>
        <w:t>, ANSI Standard Y10.5-1968.</w:t>
      </w:r>
    </w:p>
    <w:p>
      <w:pPr>
        <w:pStyle w:val="25"/>
        <w:numPr>
          <w:ilvl w:val="0"/>
          <w:numId w:val="4"/>
        </w:numPr>
      </w:pPr>
      <w:r>
        <w:t>R. E. Haskell and C. T. Case, “Transient signal propagation in lossless isotropic plasmas (Report style),” USAF Cambridge Res. Lab., Cambridge, MA Rep. ARCRL-66-234 (II), 1994, vol. 2.</w:t>
      </w:r>
    </w:p>
    <w:p>
      <w:pPr>
        <w:pStyle w:val="25"/>
        <w:numPr>
          <w:ilvl w:val="0"/>
          <w:numId w:val="4"/>
        </w:numPr>
      </w:pPr>
      <w:r>
        <w:t>E. E. Reber, R. L. Michell, and C. J. Carter, “Oxygen absorption in the Earth’s atmosphere,” Aerospace Corp., Los Angeles, CA, Tech. Rep. TR-0200 (420-46)-3, Nov. 1988.</w:t>
      </w:r>
    </w:p>
    <w:p>
      <w:pPr>
        <w:pStyle w:val="25"/>
        <w:numPr>
          <w:ilvl w:val="0"/>
          <w:numId w:val="4"/>
        </w:numPr>
      </w:pPr>
      <w:r>
        <w:t xml:space="preserve">(Handbook style) </w:t>
      </w:r>
      <w:r>
        <w:rPr>
          <w:i/>
          <w:iCs/>
        </w:rPr>
        <w:t>Transmission Systems for Communications,</w:t>
      </w:r>
      <w:r>
        <w:t xml:space="preserve"> 3rd ed., Western Electric Co., Winston-Salem, NC, 1985, pp. 44–60.</w:t>
      </w:r>
    </w:p>
    <w:p>
      <w:pPr>
        <w:pStyle w:val="25"/>
        <w:numPr>
          <w:ilvl w:val="0"/>
          <w:numId w:val="4"/>
        </w:numPr>
      </w:pPr>
      <w:r>
        <w:tab/>
      </w:r>
      <w:r>
        <w:rPr>
          <w:i/>
          <w:iCs/>
        </w:rPr>
        <w:t>Motorola Semiconductor Data Manual,</w:t>
      </w:r>
      <w:r>
        <w:t xml:space="preserve"> Motorola Semiconductor Products Inc., Phoenix, AZ, 1989.</w:t>
      </w:r>
    </w:p>
    <w:p>
      <w:pPr>
        <w:pStyle w:val="25"/>
        <w:numPr>
          <w:ilvl w:val="0"/>
          <w:numId w:val="4"/>
        </w:numPr>
      </w:pPr>
      <w:r>
        <w:t xml:space="preserve">(Basic Book/Monograph Online Sources) J. K. Author. (year, month, day). </w:t>
      </w:r>
      <w:r>
        <w:rPr>
          <w:i/>
          <w:iCs/>
        </w:rPr>
        <w:t>Title</w:t>
      </w:r>
      <w:r>
        <w:t xml:space="preserve"> (edition) [Type of medium]. Volume (issue).</w:t>
      </w:r>
      <w:r>
        <w:tab/>
      </w:r>
      <w:r>
        <w:t xml:space="preserve"> Available: </w:t>
      </w:r>
      <w:r>
        <w:fldChar w:fldCharType="begin"/>
      </w:r>
      <w:r>
        <w:instrText xml:space="preserve"> HYPERLINK "http://www.(URL" </w:instrText>
      </w:r>
      <w:r>
        <w:fldChar w:fldCharType="separate"/>
      </w:r>
      <w:r>
        <w:rPr>
          <w:rStyle w:val="20"/>
        </w:rPr>
        <w:t>http://www.(URL</w:t>
      </w:r>
      <w:r>
        <w:rPr>
          <w:rStyle w:val="20"/>
        </w:rPr>
        <w:fldChar w:fldCharType="end"/>
      </w:r>
      <w:r>
        <w:t>)</w:t>
      </w:r>
    </w:p>
    <w:p>
      <w:pPr>
        <w:pStyle w:val="25"/>
        <w:numPr>
          <w:ilvl w:val="0"/>
          <w:numId w:val="4"/>
        </w:numPr>
      </w:pPr>
      <w:r>
        <w:t xml:space="preserve">J. Jones. (1991, May 10). Networks (2nd ed.) [Online]. Available: </w:t>
      </w:r>
      <w:r>
        <w:fldChar w:fldCharType="begin"/>
      </w:r>
      <w:r>
        <w:instrText xml:space="preserve"> HYPERLINK "http://www.atm.com" </w:instrText>
      </w:r>
      <w:r>
        <w:fldChar w:fldCharType="separate"/>
      </w:r>
      <w:r>
        <w:rPr>
          <w:rStyle w:val="20"/>
        </w:rPr>
        <w:t>http://www.atm.com</w:t>
      </w:r>
      <w:r>
        <w:rPr>
          <w:rStyle w:val="20"/>
        </w:rPr>
        <w:fldChar w:fldCharType="end"/>
      </w:r>
    </w:p>
    <w:p>
      <w:pPr>
        <w:pStyle w:val="25"/>
        <w:numPr>
          <w:ilvl w:val="0"/>
          <w:numId w:val="4"/>
        </w:numPr>
      </w:pPr>
      <w:r>
        <w:t xml:space="preserve">(Journal Online Sources style) K. Author. (year, month). Title. </w:t>
      </w:r>
      <w:r>
        <w:rPr>
          <w:i/>
          <w:iCs/>
        </w:rPr>
        <w:t>Journal</w:t>
      </w:r>
      <w:r>
        <w:t xml:space="preserve"> [Type of medium]. Volume(issue), paging if given.</w:t>
      </w:r>
      <w:r>
        <w:tab/>
      </w:r>
      <w:r>
        <w:t xml:space="preserve">  Available: </w:t>
      </w:r>
      <w:r>
        <w:fldChar w:fldCharType="begin"/>
      </w:r>
      <w:r>
        <w:instrText xml:space="preserve"> HYPERLINK "http://www.(URL" </w:instrText>
      </w:r>
      <w:r>
        <w:fldChar w:fldCharType="separate"/>
      </w:r>
      <w:r>
        <w:rPr>
          <w:rStyle w:val="20"/>
        </w:rPr>
        <w:t>http://www.(URL</w:t>
      </w:r>
      <w:r>
        <w:rPr>
          <w:rStyle w:val="20"/>
        </w:rPr>
        <w:fldChar w:fldCharType="end"/>
      </w:r>
      <w:r>
        <w:t>)</w:t>
      </w:r>
    </w:p>
    <w:p>
      <w:pPr>
        <w:pStyle w:val="25"/>
        <w:numPr>
          <w:ilvl w:val="0"/>
          <w:numId w:val="4"/>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pPr>
        <w:pStyle w:val="28"/>
        <w:rPr>
          <w:b/>
          <w:bCs/>
        </w:rPr>
      </w:pPr>
    </w:p>
    <w:p>
      <w:pPr>
        <w:pStyle w:val="28"/>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pPr>
        <w:pStyle w:val="28"/>
      </w:pPr>
      <w:r>
        <w:tab/>
      </w:r>
      <w: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28"/>
      </w:pPr>
      <w:r>
        <w:tab/>
      </w:r>
      <w:r>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pPr>
        <w:pStyle w:val="28"/>
      </w:pPr>
    </w:p>
    <w:p>
      <w:pPr>
        <w:pStyle w:val="28"/>
      </w:pPr>
    </w:p>
    <w:sectPr>
      <w:headerReference r:id="rId5" w:type="default"/>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skerville">
    <w:altName w:val="Baskerville Old Face"/>
    <w:panose1 w:val="02020502070401020303"/>
    <w:charset w:val="00"/>
    <w:family w:val="roman"/>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Baskerville Old Face">
    <w:panose1 w:val="020206020805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footnote>
  <w:footnote w:id="0">
    <w:p>
      <w:pPr>
        <w:pStyle w:val="18"/>
      </w:pPr>
      <w:r>
        <w:t xml:space="preserve">This work was supported in part by FCT under Grant XXX (sponsor and financial support acknowledgment goes here). </w:t>
      </w:r>
    </w:p>
    <w:p>
      <w:pPr>
        <w:pStyle w:val="18"/>
        <w:rPr>
          <w:lang w:val="pt-PT"/>
        </w:rPr>
      </w:pPr>
      <w:r>
        <w:rPr>
          <w:lang w:val="pt-PT"/>
        </w:rPr>
        <w:t xml:space="preserve">Rui S. Moreira is with the ISUS Unit @ Universidade Fernando Pessoa, Porto, 4200 Porto Portugal (e-mail: rmoreira@ufp.edu.pt). </w:t>
      </w:r>
    </w:p>
    <w:p>
      <w:pPr>
        <w:pStyle w:val="18"/>
      </w:pPr>
      <w:r>
        <w:t>…</w:t>
      </w:r>
    </w:p>
  </w:footnote>
  <w:footnote w:id="1">
    <w:p>
      <w:pPr>
        <w:pStyle w:val="18"/>
      </w:pPr>
      <w:r>
        <w:rPr>
          <w:rStyle w:val="17"/>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text" w:hAnchor="margin" w:xAlign="right" w:y="1"/>
    </w:pPr>
    <w:r>
      <w:fldChar w:fldCharType="begin"/>
    </w:r>
    <w:r>
      <w:instrText xml:space="preserve">PAGE  </w:instrText>
    </w:r>
    <w:r>
      <w:fldChar w:fldCharType="separate"/>
    </w:r>
    <w:r>
      <w:t>1</w:t>
    </w:r>
    <w:r>
      <w:fldChar w:fldCharType="end"/>
    </w:r>
  </w:p>
  <w:p>
    <w:pPr>
      <w:ind w:right="360"/>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lvl>
    <w:lvl w:ilvl="2" w:tentative="0">
      <w:start w:val="1"/>
      <w:numFmt w:val="decimal"/>
      <w:pStyle w:val="4"/>
      <w:lvlText w:val="%3)"/>
      <w:legacy w:legacy="1" w:legacySpace="144" w:legacyIndent="144"/>
      <w:lvlJc w:val="left"/>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2517274C"/>
    <w:multiLevelType w:val="singleLevel"/>
    <w:tmpl w:val="2517274C"/>
    <w:lvl w:ilvl="0" w:tentative="0">
      <w:start w:val="1"/>
      <w:numFmt w:val="decimal"/>
      <w:lvlText w:val="%1)"/>
      <w:lvlJc w:val="left"/>
      <w:pPr>
        <w:tabs>
          <w:tab w:val="left" w:pos="360"/>
        </w:tabs>
        <w:ind w:left="360" w:hanging="360"/>
      </w:pPr>
    </w:lvl>
  </w:abstractNum>
  <w:abstractNum w:abstractNumId="2">
    <w:nsid w:val="3A877D64"/>
    <w:multiLevelType w:val="singleLevel"/>
    <w:tmpl w:val="3A877D64"/>
    <w:lvl w:ilvl="0" w:tentative="0">
      <w:start w:val="1"/>
      <w:numFmt w:val="decimal"/>
      <w:pStyle w:val="25"/>
      <w:lvlText w:val="[%1]"/>
      <w:lvlJc w:val="left"/>
      <w:pPr>
        <w:tabs>
          <w:tab w:val="left" w:pos="360"/>
        </w:tabs>
        <w:ind w:left="360" w:hanging="360"/>
      </w:pPr>
    </w:lvl>
  </w:abstractNum>
  <w:abstractNum w:abstractNumId="3">
    <w:nsid w:val="6DC3293B"/>
    <w:multiLevelType w:val="singleLevel"/>
    <w:tmpl w:val="6DC3293B"/>
    <w:lvl w:ilvl="0" w:tentative="0">
      <w:start w:val="1"/>
      <w:numFmt w:val="decimal"/>
      <w:lvlText w:val="[%1]"/>
      <w:lvlJc w:val="left"/>
      <w:pPr>
        <w:tabs>
          <w:tab w:val="left" w:pos="360"/>
        </w:tabs>
        <w:ind w:left="36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footnotePr>
    <w:footnote w:id="4"/>
    <w:footnote w:id="5"/>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137C"/>
    <w:rsid w:val="00075225"/>
    <w:rsid w:val="000D4554"/>
    <w:rsid w:val="00144E72"/>
    <w:rsid w:val="00146B56"/>
    <w:rsid w:val="00184AF5"/>
    <w:rsid w:val="001B1D22"/>
    <w:rsid w:val="00225B6B"/>
    <w:rsid w:val="002434A1"/>
    <w:rsid w:val="002603C4"/>
    <w:rsid w:val="00341423"/>
    <w:rsid w:val="00360269"/>
    <w:rsid w:val="0043144F"/>
    <w:rsid w:val="00431BFA"/>
    <w:rsid w:val="00433D88"/>
    <w:rsid w:val="00452EF3"/>
    <w:rsid w:val="004631BC"/>
    <w:rsid w:val="004C1E16"/>
    <w:rsid w:val="005A2A15"/>
    <w:rsid w:val="005C0747"/>
    <w:rsid w:val="005C1BB6"/>
    <w:rsid w:val="00625E96"/>
    <w:rsid w:val="007332F8"/>
    <w:rsid w:val="007C4336"/>
    <w:rsid w:val="00842400"/>
    <w:rsid w:val="0087792E"/>
    <w:rsid w:val="008A7F35"/>
    <w:rsid w:val="008B398A"/>
    <w:rsid w:val="009368CC"/>
    <w:rsid w:val="00950583"/>
    <w:rsid w:val="009519FD"/>
    <w:rsid w:val="00B1229F"/>
    <w:rsid w:val="00B15A79"/>
    <w:rsid w:val="00C53DE9"/>
    <w:rsid w:val="00CB4B8D"/>
    <w:rsid w:val="00CC1888"/>
    <w:rsid w:val="00D56935"/>
    <w:rsid w:val="00D758C6"/>
    <w:rsid w:val="00DB3D5A"/>
    <w:rsid w:val="00DF2DDE"/>
    <w:rsid w:val="00E45071"/>
    <w:rsid w:val="00E50DF6"/>
    <w:rsid w:val="00E97402"/>
    <w:rsid w:val="00EC7F4A"/>
    <w:rsid w:val="00F24369"/>
    <w:rsid w:val="00F65266"/>
    <w:rsid w:val="00F93079"/>
    <w:rsid w:val="0171726B"/>
    <w:rsid w:val="340A47F0"/>
    <w:rsid w:val="6128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paragraph" w:styleId="3">
    <w:name w:val="heading 2"/>
    <w:basedOn w:val="1"/>
    <w:next w:val="1"/>
    <w:qFormat/>
    <w:uiPriority w:val="0"/>
    <w:pPr>
      <w:keepNext/>
      <w:numPr>
        <w:ilvl w:val="1"/>
        <w:numId w:val="1"/>
      </w:numPr>
      <w:spacing w:before="120" w:after="60"/>
      <w:ind w:left="144"/>
      <w:outlineLvl w:val="1"/>
    </w:pPr>
    <w:rPr>
      <w:i/>
      <w:iCs/>
    </w:rPr>
  </w:style>
  <w:style w:type="paragraph" w:styleId="4">
    <w:name w:val="heading 3"/>
    <w:basedOn w:val="1"/>
    <w:next w:val="1"/>
    <w:qFormat/>
    <w:uiPriority w:val="0"/>
    <w:pPr>
      <w:keepNext/>
      <w:numPr>
        <w:ilvl w:val="2"/>
        <w:numId w:val="1"/>
      </w:numPr>
      <w:ind w:left="288"/>
      <w:outlineLvl w:val="2"/>
    </w:pPr>
    <w:rPr>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Indent"/>
    <w:basedOn w:val="1"/>
    <w:uiPriority w:val="0"/>
    <w:pPr>
      <w:ind w:left="630" w:hanging="630"/>
    </w:pPr>
    <w:rPr>
      <w:szCs w:val="24"/>
    </w:rPr>
  </w:style>
  <w:style w:type="paragraph" w:styleId="14">
    <w:name w:val="Document Map"/>
    <w:basedOn w:val="1"/>
    <w:semiHidden/>
    <w:qFormat/>
    <w:uiPriority w:val="0"/>
    <w:pPr>
      <w:shd w:val="clear" w:color="auto" w:fill="000080"/>
    </w:pPr>
    <w:rPr>
      <w:rFonts w:ascii="Tahoma" w:hAnsi="Tahoma" w:cs="Tahoma"/>
    </w:rPr>
  </w:style>
  <w:style w:type="character" w:styleId="15">
    <w:name w:val="FollowedHyperlink"/>
    <w:qFormat/>
    <w:uiPriority w:val="0"/>
    <w:rPr>
      <w:color w:val="800080"/>
      <w:u w:val="single"/>
    </w:rPr>
  </w:style>
  <w:style w:type="paragraph" w:styleId="16">
    <w:name w:val="footer"/>
    <w:basedOn w:val="1"/>
    <w:qFormat/>
    <w:uiPriority w:val="0"/>
    <w:pPr>
      <w:tabs>
        <w:tab w:val="center" w:pos="4320"/>
        <w:tab w:val="right" w:pos="8640"/>
      </w:tabs>
    </w:pPr>
  </w:style>
  <w:style w:type="character" w:styleId="17">
    <w:name w:val="footnote reference"/>
    <w:semiHidden/>
    <w:qFormat/>
    <w:uiPriority w:val="0"/>
    <w:rPr>
      <w:vertAlign w:val="superscript"/>
    </w:rPr>
  </w:style>
  <w:style w:type="paragraph" w:styleId="18">
    <w:name w:val="footnote text"/>
    <w:basedOn w:val="1"/>
    <w:link w:val="34"/>
    <w:semiHidden/>
    <w:uiPriority w:val="0"/>
    <w:pPr>
      <w:ind w:firstLine="202"/>
      <w:jc w:val="both"/>
    </w:pPr>
    <w:rPr>
      <w:sz w:val="16"/>
      <w:szCs w:val="16"/>
    </w:rPr>
  </w:style>
  <w:style w:type="paragraph" w:styleId="19">
    <w:name w:val="header"/>
    <w:basedOn w:val="1"/>
    <w:qFormat/>
    <w:uiPriority w:val="0"/>
    <w:pPr>
      <w:tabs>
        <w:tab w:val="center" w:pos="4320"/>
        <w:tab w:val="right" w:pos="8640"/>
      </w:tabs>
    </w:pPr>
  </w:style>
  <w:style w:type="character" w:styleId="20">
    <w:name w:val="Hyperlink"/>
    <w:qFormat/>
    <w:uiPriority w:val="0"/>
    <w:rPr>
      <w:color w:val="0000FF"/>
      <w:u w:val="single"/>
    </w:rPr>
  </w:style>
  <w:style w:type="paragraph" w:styleId="21">
    <w:name w:val="Title"/>
    <w:basedOn w:val="1"/>
    <w:next w:val="1"/>
    <w:qFormat/>
    <w:uiPriority w:val="0"/>
    <w:pPr>
      <w:framePr w:w="9360" w:hSpace="187" w:vSpace="187" w:wrap="notBeside" w:vAnchor="text" w:hAnchor="page" w:xAlign="center" w:y="1"/>
      <w:jc w:val="center"/>
    </w:pPr>
    <w:rPr>
      <w:kern w:val="28"/>
      <w:sz w:val="48"/>
      <w:szCs w:val="48"/>
    </w:rPr>
  </w:style>
  <w:style w:type="paragraph" w:customStyle="1" w:styleId="22">
    <w:name w:val="Abstract"/>
    <w:basedOn w:val="1"/>
    <w:next w:val="1"/>
    <w:uiPriority w:val="0"/>
    <w:pPr>
      <w:spacing w:before="20"/>
      <w:ind w:firstLine="202"/>
      <w:jc w:val="both"/>
    </w:pPr>
    <w:rPr>
      <w:b/>
      <w:bCs/>
      <w:sz w:val="18"/>
      <w:szCs w:val="18"/>
    </w:rPr>
  </w:style>
  <w:style w:type="paragraph" w:customStyle="1" w:styleId="23">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4">
    <w:name w:val="MemberType"/>
    <w:qFormat/>
    <w:uiPriority w:val="0"/>
    <w:rPr>
      <w:rFonts w:ascii="Times New Roman" w:hAnsi="Times New Roman" w:cs="Times New Roman"/>
      <w:i/>
      <w:iCs/>
      <w:sz w:val="22"/>
      <w:szCs w:val="22"/>
    </w:rPr>
  </w:style>
  <w:style w:type="paragraph" w:customStyle="1" w:styleId="25">
    <w:name w:val="References"/>
    <w:basedOn w:val="1"/>
    <w:qFormat/>
    <w:uiPriority w:val="0"/>
    <w:pPr>
      <w:numPr>
        <w:ilvl w:val="0"/>
        <w:numId w:val="2"/>
      </w:numPr>
      <w:jc w:val="both"/>
    </w:pPr>
    <w:rPr>
      <w:sz w:val="16"/>
      <w:szCs w:val="16"/>
    </w:rPr>
  </w:style>
  <w:style w:type="paragraph" w:customStyle="1" w:styleId="26">
    <w:name w:val="IndexTerms"/>
    <w:basedOn w:val="1"/>
    <w:next w:val="1"/>
    <w:qFormat/>
    <w:uiPriority w:val="0"/>
    <w:pPr>
      <w:ind w:firstLine="202"/>
      <w:jc w:val="both"/>
    </w:pPr>
    <w:rPr>
      <w:b/>
      <w:bCs/>
      <w:sz w:val="18"/>
      <w:szCs w:val="18"/>
    </w:rPr>
  </w:style>
  <w:style w:type="paragraph" w:customStyle="1" w:styleId="27">
    <w:name w:val="Text"/>
    <w:basedOn w:val="1"/>
    <w:qFormat/>
    <w:uiPriority w:val="0"/>
    <w:pPr>
      <w:widowControl w:val="0"/>
      <w:spacing w:line="252" w:lineRule="auto"/>
      <w:ind w:firstLine="202"/>
      <w:jc w:val="both"/>
    </w:pPr>
  </w:style>
  <w:style w:type="paragraph" w:customStyle="1" w:styleId="28">
    <w:name w:val="Figure Caption"/>
    <w:basedOn w:val="1"/>
    <w:qFormat/>
    <w:uiPriority w:val="0"/>
    <w:pPr>
      <w:jc w:val="both"/>
    </w:pPr>
    <w:rPr>
      <w:sz w:val="16"/>
      <w:szCs w:val="16"/>
    </w:rPr>
  </w:style>
  <w:style w:type="paragraph" w:customStyle="1" w:styleId="29">
    <w:name w:val="Table Title"/>
    <w:basedOn w:val="1"/>
    <w:qFormat/>
    <w:uiPriority w:val="0"/>
    <w:pPr>
      <w:jc w:val="center"/>
    </w:pPr>
    <w:rPr>
      <w:smallCaps/>
      <w:sz w:val="16"/>
      <w:szCs w:val="16"/>
    </w:rPr>
  </w:style>
  <w:style w:type="paragraph" w:customStyle="1" w:styleId="30">
    <w:name w:val="Reference Head"/>
    <w:basedOn w:val="2"/>
    <w:qFormat/>
    <w:uiPriority w:val="0"/>
    <w:pPr>
      <w:numPr>
        <w:numId w:val="0"/>
      </w:numPr>
    </w:pPr>
  </w:style>
  <w:style w:type="paragraph" w:customStyle="1" w:styleId="31">
    <w:name w:val="Equation"/>
    <w:basedOn w:val="1"/>
    <w:next w:val="1"/>
    <w:qFormat/>
    <w:uiPriority w:val="0"/>
    <w:pPr>
      <w:widowControl w:val="0"/>
      <w:tabs>
        <w:tab w:val="right" w:pos="5040"/>
      </w:tabs>
      <w:spacing w:line="252" w:lineRule="auto"/>
      <w:jc w:val="both"/>
    </w:pPr>
  </w:style>
  <w:style w:type="paragraph" w:customStyle="1" w:styleId="32">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3">
    <w:name w:val="A5"/>
    <w:qFormat/>
    <w:uiPriority w:val="0"/>
    <w:rPr>
      <w:color w:val="00529F"/>
      <w:sz w:val="20"/>
      <w:szCs w:val="20"/>
    </w:rPr>
  </w:style>
  <w:style w:type="character" w:customStyle="1" w:styleId="34">
    <w:name w:val="Footnote Text Char"/>
    <w:link w:val="18"/>
    <w:semiHidden/>
    <w:uiPriority w:val="0"/>
    <w:rPr>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2805</Words>
  <Characters>15993</Characters>
  <Lines>133</Lines>
  <Paragraphs>37</Paragraphs>
  <TotalTime>63</TotalTime>
  <ScaleCrop>false</ScaleCrop>
  <LinksUpToDate>false</LinksUpToDate>
  <CharactersWithSpaces>18761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2018-11-19T20:54:00Z</dcterms:created>
  <dc:creator>-</dc:creator>
  <cp:lastModifiedBy>Maria Inês Capela Barbosa</cp:lastModifiedBy>
  <cp:lastPrinted>2007-05-08T07:48:00Z</cp:lastPrinted>
  <dcterms:modified xsi:type="dcterms:W3CDTF">2021-01-12T13:06:28Z</dcterms:modified>
  <dc:subject>IEEE Transactions on Magnetics</dc:subject>
  <dc: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2057-11.2.0.9937</vt:lpwstr>
  </property>
</Properties>
</file>