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  <w:jc w:val="center"/>
      </w:pPr>
      <w:r>
        <w:rPr>
          <w:b/>
          <w:color w:val="1E3D1A"/>
          <w:sz w:val="76"/>
        </w:rPr>
        <w:t>GovFlow AI</w:t>
      </w:r>
    </w:p>
    <w:p>
      <w:pPr>
        <w:jc w:val="center"/>
      </w:pPr>
      <w:r>
        <w:rPr>
          <w:color w:val="2D5A27"/>
          <w:sz w:val="32"/>
        </w:rPr>
        <w:t>Vídeo-Pitch Enterprise Challenge</w:t>
      </w:r>
    </w:p>
    <w:p>
      <w:pPr>
        <w:spacing w:before="200"/>
        <w:jc w:val="center"/>
      </w:pPr>
      <w:r>
        <w:rPr>
          <w:color w:val="5A6A57"/>
          <w:sz w:val="25"/>
        </w:rPr>
        <w:t>Segundo Instrumento Avaliativo do TCC</w:t>
      </w:r>
    </w:p>
    <w:p>
      <w:pPr>
        <w:spacing w:before="120"/>
        <w:jc w:val="center"/>
      </w:pPr>
      <w:r>
        <w:rPr>
          <w:i/>
          <w:color w:val="5A6A57"/>
          <w:sz w:val="22"/>
        </w:rPr>
        <w:t>Solução técnica completa — automação de processos governamentais para contadores</w:t>
      </w:r>
    </w:p>
    <w:p>
      <w:pPr>
        <w:spacing w:before="2000"/>
        <w:jc w:val="center"/>
      </w:pPr>
      <w:r>
        <w:rPr>
          <w:b/>
          <w:sz w:val="22"/>
        </w:rPr>
        <w:t>Integrantes do grupo:</w:t>
      </w:r>
    </w:p>
    <w:p>
      <w:pPr>
        <w:jc w:val="center"/>
      </w:pPr>
      <w:r>
        <w:rPr>
          <w:sz w:val="23"/>
        </w:rPr>
        <w:t>Pedro Henrique Amancio Lopes — RM551682</w:t>
        <w:br/>
        <w:t>Felipe Vazamim — RM97856</w:t>
      </w:r>
    </w:p>
    <w:p>
      <w:pPr>
        <w:spacing w:before="1000"/>
        <w:jc w:val="center"/>
      </w:pPr>
      <w:r>
        <w:rPr>
          <w:sz w:val="21"/>
        </w:rPr>
        <w:t>Repositório: https://github.com/pedroamancio06/govflowai</w:t>
        <w:br/>
      </w:r>
      <w:r>
        <w:rPr>
          <w:i/>
          <w:color w:val="B03020"/>
          <w:sz w:val="21"/>
        </w:rPr>
        <w:t>Vídeo-Pitch Enterprise Challenge (YouTube, não listado): [PREENCHER: link do vídeo]</w:t>
      </w:r>
    </w:p>
    <w:p>
      <w:r>
        <w:br w:type="page"/>
      </w:r>
    </w:p>
    <w:p>
      <w:pPr>
        <w:pStyle w:val="Heading1"/>
      </w:pPr>
      <w:r>
        <w:t>1. Vídeo-Pitch</w:t>
      </w:r>
    </w:p>
    <w:p>
      <w:r>
        <w:rPr>
          <w:b w:val="0"/>
          <w:i w:val="0"/>
          <w:sz w:val="22"/>
        </w:rPr>
        <w:t>O vídeo-pitch da solução técnica GovFlow AI, com duração de até 7 minutos, está publicado no YouTube em formato não listado, acessível pelo link abaixo:</w:t>
      </w:r>
    </w:p>
    <w:p>
      <w:pPr>
        <w:jc w:val="center"/>
      </w:pPr>
      <w:r>
        <w:rPr>
          <w:b/>
          <w:color w:val="B03020"/>
          <w:sz w:val="26"/>
        </w:rPr>
        <w:t>[PREENCHER: link do vídeo no YouTube]</w:t>
      </w:r>
    </w:p>
    <w:p>
      <w:r>
        <w:rPr>
          <w:b w:val="0"/>
          <w:i w:val="0"/>
          <w:sz w:val="22"/>
        </w:rPr>
        <w:t>O roteiro completo utilizado na gravação — incluindo a demonstração técnica de requests de gravação e leitura no banco de dados em nuvem — está documentado no repositório em docs/entrega-enterprise-challenge/ROTEIRO-VIDEO-EC.md.</w:t>
      </w:r>
    </w:p>
    <w:p/>
    <w:p>
      <w:pPr>
        <w:pStyle w:val="Heading1"/>
      </w:pPr>
      <w:r>
        <w:t>2. Apresentação do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Foto</w:t>
            </w:r>
          </w:p>
        </w:tc>
        <w:tc>
          <w:tcPr>
            <w:tcW w:type="dxa" w:w="5102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Nome Completo</w:t>
            </w:r>
          </w:p>
        </w:tc>
        <w:tc>
          <w:tcPr>
            <w:tcW w:type="dxa" w:w="2268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[inserir foto]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Pedro Henrique Amancio Lopes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RM551682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[inserir foto]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Felipe Vazamim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RM97856</w:t>
            </w:r>
          </w:p>
        </w:tc>
      </w:tr>
    </w:tbl>
    <w:p/>
    <w:p>
      <w:r>
        <w:rPr>
          <w:i/>
          <w:color w:val="5A6A57"/>
          <w:sz w:val="19"/>
        </w:rPr>
        <w:t>Substituir "[inserir foto]" pela foto de cada integrante antes da entrega final, conforme exigido pelo critério de avaliação (Apresentação do Time).</w:t>
      </w:r>
    </w:p>
    <w:p>
      <w:pPr>
        <w:pStyle w:val="Heading2"/>
      </w:pPr>
      <w:r>
        <w:t>Disponibilidade para o NEXT 2026</w:t>
      </w:r>
    </w:p>
    <w:p>
      <w:r>
        <w:rPr>
          <w:b w:val="0"/>
          <w:i w:val="0"/>
          <w:sz w:val="22"/>
        </w:rPr>
        <w:t>O NEXT 2026 ocorrerá em 24/10/2026, na Arca, em São Paulo-SP.</w:t>
      </w:r>
    </w:p>
    <w:p>
      <w:r>
        <w:rPr>
          <w:b/>
          <w:color w:val="2D5A27"/>
          <w:sz w:val="24"/>
        </w:rPr>
        <w:t>Não, infelizmente não conseguiremos expor no NEXT 2026.</w:t>
      </w:r>
    </w:p>
    <w:p>
      <w:r>
        <w:br w:type="page"/>
      </w:r>
    </w:p>
    <w:p>
      <w:pPr>
        <w:pStyle w:val="Heading1"/>
      </w:pPr>
      <w:r>
        <w:t>3. Recapitulação Técnica da Solução</w:t>
      </w:r>
    </w:p>
    <w:p>
      <w:r>
        <w:rPr>
          <w:b w:val="0"/>
          <w:i w:val="0"/>
          <w:sz w:val="22"/>
        </w:rPr>
        <w:t>Esta seção resume os pontos técnicos demonstrados no vídeo-pitch, servindo de referência para a avaliação do critério de Implementação Técnica. A documentação de engenharia completa (DDL, contratos de API, arquitetura detalhada) está disponível no repositório em docs/TECH-SPEC-MVP.md.</w:t>
      </w:r>
    </w:p>
    <w:p>
      <w:pPr>
        <w:pStyle w:val="Heading2"/>
      </w:pPr>
      <w:r>
        <w:t>3.1 Arquitetura em 3 Camadas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68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68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Hub de Convergência (Front-end)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HTML5 / CSS3 / JavaScript, Server-Sent Events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Webchat e portal web autenticado — recepção de documentos e feedback em tempo real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Aplicação (Back-end / Core)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Node.js/Express + Python/FastAPI (Tesseract OCR, OpenCV, Puppeteer)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Orquestração, extração de dados por IA (OCR/NLP) e automação RPA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Banco de Dados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PostgreSQL — Neon (nuvem, região sa-east-1)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Star Schema (1 fato + 5 dimensões) registrando cada automação e calculando ROI automaticamente</w:t>
            </w:r>
          </w:p>
        </w:tc>
      </w:tr>
    </w:tbl>
    <w:p/>
    <w:p>
      <w:pPr>
        <w:pStyle w:val="Heading2"/>
      </w:pPr>
      <w:r>
        <w:t>3.2 Interação Técnica com o Banco de Dados em Nuvem</w:t>
      </w:r>
    </w:p>
    <w:p>
      <w:r>
        <w:rPr>
          <w:b w:val="0"/>
          <w:i w:val="0"/>
          <w:sz w:val="22"/>
        </w:rPr>
        <w:t>Toda automação processada pelo sistema gera, no mínimo, uma operação de escrita (gravação do resultado do processamento) e pode ser consultada de volta via leitura — ambas demonstradas ao vivo no vídeo-pitch:</w:t>
      </w:r>
    </w:p>
    <w:p>
      <w:pPr>
        <w:pStyle w:val="ListBullet"/>
      </w:pPr>
      <w:r>
        <w:rPr>
          <w:b/>
        </w:rPr>
        <w:t xml:space="preserve">Request de Gravação: </w:t>
      </w:r>
      <w:r>
        <w:t>realizada pela aplicação a cada etapa do processamento (documento recebido, OCR concluído, confirmação, resultado do robô), persistida na tabela fato_processamento_automacoes do banco em nuvem.</w:t>
      </w:r>
    </w:p>
    <w:p>
      <w:pPr>
        <w:pStyle w:val="ListBullet"/>
      </w:pPr>
      <w:r>
        <w:rPr>
          <w:b/>
        </w:rPr>
        <w:t xml:space="preserve">Request de Leitura: </w:t>
      </w:r>
      <w:r>
        <w:t>consulta com JOIN entre a tabela fato e as dimensões de Cliente, Canal e Status, executada diretamente no SQL Editor do Neon durante a gravação, recuperando os dados da automação processada — incluindo o tempo economizado, calculado automaticamente pelo próprio banco através de uma coluna gerada (GENERATED ALWAYS AS).</w:t>
      </w:r>
    </w:p>
    <w:p>
      <w:pPr>
        <w:pStyle w:val="Heading2"/>
      </w:pPr>
      <w:r>
        <w:t>3.3 Simulações e Funcionalidades Demonstradas</w:t>
      </w:r>
    </w:p>
    <w:p>
      <w:pPr>
        <w:pStyle w:val="ListBullet"/>
      </w:pPr>
      <w:r>
        <w:t>Login único (SSO) com isolamento entre escritórios (multi-tenant);</w:t>
      </w:r>
    </w:p>
    <w:p>
      <w:pPr>
        <w:pStyle w:val="ListBullet"/>
      </w:pPr>
      <w:r>
        <w:t>Upload e leitura real de documento via OCR (Tesseract + OpenCV), sem dados simulados;</w:t>
      </w:r>
    </w:p>
    <w:p>
      <w:pPr>
        <w:pStyle w:val="ListBullet"/>
      </w:pPr>
      <w:r>
        <w:t>Pausa de confirmação humana antes de qualquer ação real no portal do governo;</w:t>
      </w:r>
    </w:p>
    <w:p>
      <w:pPr>
        <w:pStyle w:val="ListBullet"/>
      </w:pPr>
      <w:r>
        <w:t>Execução do robô RPA (Puppeteer) preenchendo o formulário e capturando o protocolo;</w:t>
      </w:r>
    </w:p>
    <w:p>
      <w:pPr>
        <w:pStyle w:val="ListBullet"/>
      </w:pPr>
      <w:r>
        <w:t>Persistência e consulta de dados em banco PostgreSQL hospedado na nuvem (Neon).</w:t>
      </w:r>
    </w:p>
    <w:p>
      <w:r>
        <w:rPr>
          <w:i/>
          <w:color w:val="5A6A57"/>
          <w:sz w:val="19"/>
        </w:rPr>
        <w:t>Documentação completa, código-fonte e histórico de desenvolvimento disponíveis em: https://github.com/pedroamancio06/govflowai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A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5A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5A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5A2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