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1E3D1A"/>
          <w:sz w:val="80"/>
        </w:rPr>
        <w:t>GovFlow AI</w:t>
      </w:r>
    </w:p>
    <w:p>
      <w:pPr>
        <w:jc w:val="center"/>
      </w:pPr>
      <w:r>
        <w:rPr>
          <w:color w:val="2D5A27"/>
          <w:sz w:val="30"/>
        </w:rPr>
        <w:t>Automação Inteligente de Processos Governamentais para Contadores</w:t>
      </w:r>
    </w:p>
    <w:p>
      <w:pPr>
        <w:spacing w:before="200"/>
        <w:jc w:val="center"/>
      </w:pPr>
      <w:r>
        <w:rPr>
          <w:color w:val="5A6A57"/>
          <w:sz w:val="25"/>
        </w:rPr>
        <w:t>Documentação de Projeto — Startup One (FIAP), Fase 5</w:t>
      </w:r>
    </w:p>
    <w:p>
      <w:pPr>
        <w:spacing w:before="120"/>
        <w:jc w:val="center"/>
      </w:pPr>
      <w:r>
        <w:rPr>
          <w:i/>
          <w:color w:val="5A6A57"/>
          <w:sz w:val="22"/>
        </w:rPr>
        <w:t>MVP funcional, viabilidade financeira e estratégia de go-to-market</w:t>
      </w:r>
    </w:p>
    <w:p>
      <w:pPr>
        <w:spacing w:before="2400"/>
        <w:jc w:val="center"/>
      </w:pPr>
      <w:r>
        <w:rPr>
          <w:b/>
          <w:sz w:val="22"/>
        </w:rPr>
        <w:t>Integrantes do grupo (Nome completo — RM):</w:t>
      </w:r>
    </w:p>
    <w:p>
      <w:pPr>
        <w:jc w:val="center"/>
      </w:pPr>
      <w:r>
        <w:rPr>
          <w:i/>
          <w:color w:val="B03020"/>
          <w:sz w:val="22"/>
        </w:rPr>
        <w:t>[PREENCHER: nome — RM]</w:t>
        <w:br/>
        <w:t>[PREENCHER: nome — RM]</w:t>
        <w:br/>
        <w:t>[PREENCHER: nome — RM]</w:t>
      </w:r>
    </w:p>
    <w:p>
      <w:pPr>
        <w:spacing w:before="800"/>
        <w:jc w:val="center"/>
      </w:pPr>
      <w:r>
        <w:rPr>
          <w:sz w:val="21"/>
        </w:rPr>
        <w:t>Repositório: https://github.com/pedroamancio06/govflowai</w:t>
        <w:br/>
      </w:r>
      <w:r>
        <w:rPr>
          <w:i/>
          <w:color w:val="B03020"/>
          <w:sz w:val="21"/>
        </w:rPr>
        <w:t>Vídeo de demonstração: [PREENCHER: link YouTube não listado]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1. Versão Atual do Projeto</w:t>
      </w:r>
    </w:p>
    <w:p>
      <w:r>
        <w:t>2. Estratégia de Mercado e Viabilidade Financeira</w:t>
      </w:r>
    </w:p>
    <w:p>
      <w:r>
        <w:t xml:space="preserve">   2.1 Go-to-Market Canvas</w:t>
      </w:r>
    </w:p>
    <w:p>
      <w:r>
        <w:t xml:space="preserve">   2.2 Análise Financeira da Startup</w:t>
      </w:r>
    </w:p>
    <w:p>
      <w:r>
        <w:t>3. Protótipo Funcional de Alta Fidelidade</w:t>
      </w:r>
    </w:p>
    <w:p>
      <w:r>
        <w:t>4. Anexos e Links de Entrega</w:t>
      </w:r>
    </w:p>
    <w:p>
      <w:r>
        <w:br w:type="page"/>
      </w:r>
    </w:p>
    <w:p>
      <w:pPr>
        <w:pStyle w:val="Heading1"/>
      </w:pPr>
      <w:r>
        <w:t>1. Versão Atual do Projeto</w:t>
      </w:r>
    </w:p>
    <w:p>
      <w:r>
        <w:rPr>
          <w:b w:val="0"/>
          <w:i w:val="0"/>
          <w:sz w:val="22"/>
        </w:rPr>
        <w:t>Esta seção relata as evoluções realizadas no projeto GovFlow AI desde a última entrega, quando o projeto existia como uma prova de conceito mínima validando apenas o trecho final do fluxo (robô RPA preenchendo um formulário de teste).</w:t>
      </w:r>
    </w:p>
    <w:p>
      <w:pPr>
        <w:pStyle w:val="Heading2"/>
      </w:pPr>
      <w:r>
        <w:t>1.1 Ponto de Partida</w:t>
      </w:r>
    </w:p>
    <w:p>
      <w:r>
        <w:rPr>
          <w:b w:val="0"/>
          <w:i w:val="0"/>
          <w:sz w:val="22"/>
        </w:rPr>
        <w:t>No início desta fase, o repositório do projeto continha:</w:t>
      </w:r>
    </w:p>
    <w:p>
      <w:pPr>
        <w:pStyle w:val="ListBullet"/>
      </w:pPr>
      <w:r>
        <w:t>Um servidor Express com uma única rota síncrona e bloqueante (POST /registro-empresa);</w:t>
      </w:r>
    </w:p>
    <w:p>
      <w:pPr>
        <w:pStyle w:val="ListBullet"/>
      </w:pPr>
      <w:r>
        <w:t>Um robô Puppeteer funcional, mas rodando contra um portal de testes sem tratamento de exceções;</w:t>
      </w:r>
    </w:p>
    <w:p>
      <w:pPr>
        <w:pStyle w:val="ListBullet"/>
      </w:pPr>
      <w:r>
        <w:t>Nenhuma persistência de dados — cada execução se perdia ao final da requisição HTTP;</w:t>
      </w:r>
    </w:p>
    <w:p>
      <w:pPr>
        <w:pStyle w:val="ListBullet"/>
      </w:pPr>
      <w:r>
        <w:t>Nenhuma autenticação — qualquer pessoa com a URL acessava o sistema;</w:t>
      </w:r>
    </w:p>
    <w:p>
      <w:pPr>
        <w:pStyle w:val="ListBullet"/>
      </w:pPr>
      <w:r>
        <w:t>Um dashboard front-end 100% estático, com dados de IA e RPA simulados por temporizadores (sleep), sem nenhuma integração real.</w:t>
      </w:r>
    </w:p>
    <w:p>
      <w:pPr>
        <w:pStyle w:val="Heading2"/>
      </w:pPr>
      <w:r>
        <w:t>1.2 Evolução Técnica Realizada Nesta Fase</w:t>
      </w:r>
    </w:p>
    <w:p>
      <w:r>
        <w:rPr>
          <w:b w:val="0"/>
          <w:i w:val="0"/>
          <w:sz w:val="22"/>
        </w:rPr>
        <w:t>A partir da arquitetura formalizada em 3 camadas (Hub de Convergência, Aplicação/Core, Painel de Gestão — documentada em detalhe na Especificação Técnica anexa), o desenvolvimento avançou em etapas incrementais, cada uma testada de ponta a ponta antes da próxima:</w:t>
      </w:r>
    </w:p>
    <w:p>
      <w:pPr>
        <w:pStyle w:val="ListBullet"/>
      </w:pPr>
      <w:r>
        <w:rPr>
          <w:b/>
        </w:rPr>
        <w:t xml:space="preserve">Hub de Convergência (Webchat funcional): </w:t>
      </w:r>
      <w:r>
        <w:t>com fluxo guiado por máquina de estados, upload validado de documentos (PDF/JPG/PNG) e feedback proativo em tempo real via Server-Sent Events — o usuário acompanha cada etapa do processamento sem precisar perguntar "como está o andamento?".</w:t>
      </w:r>
    </w:p>
    <w:p>
      <w:pPr>
        <w:pStyle w:val="ListBullet"/>
      </w:pPr>
      <w:r>
        <w:rPr>
          <w:b/>
        </w:rPr>
        <w:t xml:space="preserve">Portal Web com Autenticação (SSO): </w:t>
      </w:r>
      <w:r>
        <w:t>implementando o protocolo real de Single Sign-On (fluxo Authorization Code, proteção contra CSRF via parâmetro state, sessão via cookie seguro) e isolamento multi-tenant — cada escritório contábil só acessa os próprios dados.</w:t>
      </w:r>
    </w:p>
    <w:p>
      <w:pPr>
        <w:pStyle w:val="ListBullet"/>
      </w:pPr>
      <w:r>
        <w:rPr>
          <w:b/>
        </w:rPr>
        <w:t xml:space="preserve">Banco de Dados Analítico (Star Schema): </w:t>
      </w:r>
      <w:r>
        <w:t>modelagem dimensional completa (1 tabela fato + 5 dimensões: Tempo, Cliente, Canal, Serviço, Status), aplicada primeiro em ambiente de desenvolvimento via Postgres embutido e migrada para um provedor de nuvem (Neon) para a entrega final — ver seção 3.</w:t>
      </w:r>
    </w:p>
    <w:p>
      <w:pPr>
        <w:pStyle w:val="ListBullet"/>
      </w:pPr>
      <w:r>
        <w:rPr>
          <w:b/>
        </w:rPr>
        <w:t xml:space="preserve">Motor de OCR/NLP Real: </w:t>
      </w:r>
      <w:r>
        <w:t>um microserviço Python dedicado (Tesseract OCR + OpenCV para pré-processamento de imagem + regras de extração por expressão regular), substituindo os dados fixos do protótipo anterior por leitura real de documentos, com score de confiança por campo extraído.</w:t>
      </w:r>
    </w:p>
    <w:p>
      <w:pPr>
        <w:pStyle w:val="ListBullet"/>
      </w:pPr>
      <w:r>
        <w:rPr>
          <w:b/>
        </w:rPr>
        <w:t xml:space="preserve">Motor RPA Aprimorado: </w:t>
      </w:r>
      <w:r>
        <w:t>tratamento de exceções por categoria (portal indisponível, CAPTCHA, dados inválidos), execução assíncrona via eventos, e geração de protocolo.</w:t>
      </w:r>
    </w:p>
    <w:p>
      <w:pPr>
        <w:pStyle w:val="ListBullet"/>
      </w:pPr>
      <w:r>
        <w:rPr>
          <w:b/>
        </w:rPr>
        <w:t xml:space="preserve">Fluxo de Confirmação Humana Antes do RPA: </w:t>
      </w:r>
      <w:r>
        <w:t>decisão deliberada de produto: extrair dados do documento é automático, mas acionar o robô contra o portal do governo — uma ação real e de baixa reversibilidade — exige um clique explícito do usuário após ele revisar os dados extraídos.</w:t>
      </w:r>
    </w:p>
    <w:p>
      <w:pPr>
        <w:pStyle w:val="ListBullet"/>
      </w:pPr>
      <w:r>
        <w:rPr>
          <w:b/>
        </w:rPr>
        <w:t xml:space="preserve">Integração Completa no Dashboard Principal: </w:t>
      </w:r>
      <w:r>
        <w:t>o painel de gestão, antes inteiramente mockado, hoje consome o pipeline real de ponta a ponta: upload → OCR real → pausa para confirmação → RPA real → protocolo.</w:t>
      </w:r>
    </w:p>
    <w:p>
      <w:pPr>
        <w:pStyle w:val="Heading2"/>
      </w:pPr>
      <w:r>
        <w:t>1.3 Estado Atual — Visão Objetiva</w:t>
      </w:r>
    </w:p>
    <w:p>
      <w:r>
        <w:rPr>
          <w:b w:val="0"/>
          <w:i w:val="0"/>
          <w:sz w:val="22"/>
        </w:rPr>
        <w:t>A tabela abaixo resume o que está implementado com programação real versus o que ainda é trabalho futuro, por camada da arquitetura: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3685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402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Hub de Convergência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Webchat (interface conversacional)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 e testado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Hub de Convergência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Portal Web com SSO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 e testado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Hub de Convergência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WhatsApp Business API real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Não implementado (fase de piloto)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Aplicação (Core)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Motor de OCR/NLP (Python real)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 e testado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Aplicação (Core)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Motor de Automação RPA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 e testado (portal de testes)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Aplicação (Core)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Banco de Dados em Nuvem (Star Schema)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 — ver seção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Aplicação (Core)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Fila assíncrona real (Redis)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Simplificada (em memória) — próximo passo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Painel de Gestão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Upload + processamento real no dashboard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Implementado e testado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Painel de Gestão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Histórico de automações (Status Board)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Parcial — falta lista histórica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Painel de Gestão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Gráficos de ROI e gestão de plano SaaS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Não implementado</w:t>
            </w:r>
          </w:p>
        </w:tc>
      </w:tr>
    </w:tbl>
    <w:p/>
    <w:p>
      <w:r>
        <w:br w:type="page"/>
      </w:r>
    </w:p>
    <w:p>
      <w:pPr>
        <w:pStyle w:val="Heading1"/>
      </w:pPr>
      <w:r>
        <w:t>2. Estratégia de Mercado e Viabilidade Financeira</w:t>
      </w:r>
    </w:p>
    <w:p>
      <w:pPr>
        <w:pStyle w:val="Heading2"/>
      </w:pPr>
      <w:r>
        <w:t>2.1 Go-to-Market Canvas</w:t>
      </w:r>
    </w:p>
    <w:p>
      <w:pPr>
        <w:pStyle w:val="Heading3"/>
      </w:pPr>
      <w:r>
        <w:t>Segmento de Clientes</w:t>
      </w:r>
    </w:p>
    <w:p>
      <w:r>
        <w:rPr>
          <w:b w:val="0"/>
          <w:i w:val="0"/>
          <w:sz w:val="22"/>
        </w:rPr>
        <w:t>Escritórios de contabilidade de pequeno e médio porte no Brasil, com foco em contadores responsáveis pela abertura de empresas e trâmites em portais governamentais (Redesim, e-CAC, Juntas Comerciais). Persona primária: Roberto, sócio-diretor de escritório contábil, responsável por múltiplos clientes PJ, que hoje perde parte relevante do seu tempo útil em trabalho manual e repetitivo de triagem de documentos, digitação e protocolo.</w:t>
      </w:r>
    </w:p>
    <w:p>
      <w:pPr>
        <w:pStyle w:val="Heading3"/>
      </w:pPr>
      <w:r>
        <w:t>Proposta de Valor</w:t>
      </w:r>
    </w:p>
    <w:p>
      <w:r>
        <w:rPr>
          <w:b w:val="0"/>
          <w:i w:val="0"/>
          <w:sz w:val="22"/>
        </w:rPr>
        <w:t>Transformar um processo burocrático manual — que leva em média 40 minutos por abertura de empresa — em um fluxo conversacional automatizado de poucos minutos: o contador envia um documento pelo WhatsApp ou pelo portal, uma IA extrai e valida os dados, um robô preenche o portal do governo, e o protocolo chega de volta no mesmo canal. Cada automação já nasce registrando o tempo economizado, transformando a automação em prova de ROI mensurável desde o primeiro uso — não é preciso confiar na palavra do fornecedor, o próprio sistema mostra o número.</w:t>
      </w:r>
    </w:p>
    <w:p>
      <w:pPr>
        <w:pStyle w:val="Heading3"/>
      </w:pPr>
      <w:r>
        <w:t>Canais de Aquisição</w:t>
      </w:r>
    </w:p>
    <w:p>
      <w:pPr>
        <w:pStyle w:val="ListBullet"/>
      </w:pPr>
      <w:r>
        <w:rPr>
          <w:b/>
        </w:rPr>
        <w:t xml:space="preserve">Hub de Convergência (parceria Claro / WhatsApp Business): </w:t>
      </w:r>
      <w:r>
        <w:t>ponto de entrada com alto potencial de distribuição via base de clientes corporativos da operadora, sem custo de aquisição de mídia paga.</w:t>
      </w:r>
    </w:p>
    <w:p>
      <w:pPr>
        <w:pStyle w:val="ListBullet"/>
      </w:pPr>
      <w:r>
        <w:rPr>
          <w:b/>
        </w:rPr>
        <w:t xml:space="preserve">Marketing direto a escritórios contábeis (SEO/conteúdo): </w:t>
      </w:r>
      <w:r>
        <w:t>conteúdo educativo sobre automação contábil, otimizado para buscas como "como abrir empresa mais rápido" e "automação para escritório de contabilidade".</w:t>
      </w:r>
    </w:p>
    <w:p>
      <w:pPr>
        <w:pStyle w:val="ListBullet"/>
      </w:pPr>
      <w:r>
        <w:rPr>
          <w:b/>
        </w:rPr>
        <w:t xml:space="preserve">Parcerias institucionais: </w:t>
      </w:r>
      <w:r>
        <w:t>Conselhos Regionais de Contabilidade (CRCs) e sindicatos de classe, para credibilidade e distribuição em escala dentro da categoria profissional.</w:t>
      </w:r>
    </w:p>
    <w:p>
      <w:pPr>
        <w:pStyle w:val="ListBullet"/>
      </w:pPr>
      <w:r>
        <w:rPr>
          <w:b/>
        </w:rPr>
        <w:t xml:space="preserve">Programa de indicação (referral): </w:t>
      </w:r>
      <w:r>
        <w:t>incentivo para contadores já clientes indicarem colegas, com benefício em documentos extras no plano.</w:t>
      </w:r>
    </w:p>
    <w:p>
      <w:pPr>
        <w:pStyle w:val="Heading3"/>
      </w:pPr>
      <w:r>
        <w:t>Estratégia de Preço e Promoção</w:t>
      </w:r>
    </w:p>
    <w:p>
      <w:r>
        <w:rPr>
          <w:b w:val="0"/>
          <w:i w:val="0"/>
          <w:sz w:val="22"/>
        </w:rPr>
        <w:t>Modelo Freemium, desenhado para reduzir ao máximo a fricção de entrada:</w:t>
      </w:r>
    </w:p>
    <w:p>
      <w:pPr>
        <w:pStyle w:val="ListBullet"/>
      </w:pPr>
      <w:r>
        <w:rPr>
          <w:b/>
        </w:rPr>
        <w:t xml:space="preserve">Plano Free: </w:t>
      </w:r>
      <w:r>
        <w:t>gratuito, até 5 documentos processados por mês — permite ao contador experimentar o valor real do produto antes de qualquer decisão de compra.</w:t>
      </w:r>
    </w:p>
    <w:p>
      <w:pPr>
        <w:pStyle w:val="ListBullet"/>
      </w:pPr>
      <w:r>
        <w:rPr>
          <w:b/>
        </w:rPr>
        <w:t xml:space="preserve">Plano Pro: </w:t>
      </w:r>
      <w:r>
        <w:t>R$ 299,00/mês, até 100 documentos processados — precificado abaixo do custo estimado de 1 a 2 horas de trabalho manual de um assistente administrativo, tornando o retorno sobre o investimento evidente já no primeiro mês de uso.</w:t>
      </w:r>
    </w:p>
    <w:p>
      <w:pPr>
        <w:pStyle w:val="ListBullet"/>
      </w:pPr>
      <w:r>
        <w:rPr>
          <w:b/>
        </w:rPr>
        <w:t xml:space="preserve">Promoção de lançamento: </w:t>
      </w:r>
      <w:r>
        <w:t>onboarding assistido gratuito para os primeiros 50 escritórios-piloto, para acelerar a curva de aprendizado e gerar early adopters vocais.</w:t>
      </w:r>
    </w:p>
    <w:p>
      <w:pPr>
        <w:pStyle w:val="Heading3"/>
      </w:pPr>
      <w:r>
        <w:t>Principais Métricas</w:t>
      </w:r>
    </w:p>
    <w:p>
      <w:pPr>
        <w:pStyle w:val="ListBullet"/>
      </w:pPr>
      <w:r>
        <w:t>Custo de Aquisição de Cliente (CAC) e Valor do Tempo de Vida do Cliente (LTV);</w:t>
      </w:r>
    </w:p>
    <w:p>
      <w:pPr>
        <w:pStyle w:val="ListBullet"/>
      </w:pPr>
      <w:r>
        <w:t>Taxa de conversão do plano Free para o plano Pro;</w:t>
      </w:r>
    </w:p>
    <w:p>
      <w:pPr>
        <w:pStyle w:val="ListBullet"/>
      </w:pPr>
      <w:r>
        <w:t>Tempo médio economizado por automação e por escritório/mês (a métrica central da proposta de valor);</w:t>
      </w:r>
    </w:p>
    <w:p>
      <w:pPr>
        <w:pStyle w:val="ListBullet"/>
      </w:pPr>
      <w:r>
        <w:t>Taxa de sucesso do robô sem intervenção humana;</w:t>
      </w:r>
    </w:p>
    <w:p>
      <w:pPr>
        <w:pStyle w:val="ListBullet"/>
      </w:pPr>
      <w:r>
        <w:t>NPS (satisfação percebida) e taxa de churn mensal.</w:t>
      </w:r>
    </w:p>
    <w:p>
      <w:pPr>
        <w:pStyle w:val="Heading2"/>
      </w:pPr>
      <w:r>
        <w:t>2.2 Análise Financeira da Startup</w:t>
      </w:r>
    </w:p>
    <w:p>
      <w:pPr>
        <w:pStyle w:val="Heading3"/>
      </w:pPr>
      <w:r>
        <w:t>2.2.1 Estrutura de Custos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2268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969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Custos Fixos (mensal)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R$ 3.800,00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Infraestrutura em nuvem, ferramentas/licenças e operação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Custos Variáveis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R$ 0,80 / documento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OCR, execução RPA e armazenamento temporário por documento processado</w:t>
            </w:r>
          </w:p>
        </w:tc>
      </w:tr>
    </w:tbl>
    <w:p/>
    <w:p>
      <w:r>
        <w:rPr>
          <w:i/>
          <w:color w:val="5A6A57"/>
          <w:sz w:val="19"/>
        </w:rPr>
        <w:t>Composição referencial dos custos fixos: infraestrutura de nuvem (banco de dados e hospedagem, ~R$ 800), ferramentas e licenças (monitoramento, e-mail transacional, ~R$ 500) e operação/suporte (~R$ 2.500) — estimativa a validar com dados reais de consumo no piloto.</w:t>
      </w:r>
    </w:p>
    <w:p>
      <w:pPr>
        <w:pStyle w:val="Heading3"/>
      </w:pPr>
      <w:r>
        <w:t>2.2.2 Modelo de Receita</w:t>
      </w:r>
    </w:p>
    <w:p>
      <w:r>
        <w:rPr>
          <w:b w:val="0"/>
          <w:i w:val="0"/>
          <w:sz w:val="22"/>
        </w:rPr>
        <w:t>SaaS por assinatura recorrente mensal, modelo Freemium com upgrade para o plano Pro conforme o volume de documentos processados pelo escritório.</w:t>
      </w:r>
    </w:p>
    <w:p>
      <w:pPr>
        <w:pStyle w:val="Heading3"/>
      </w:pPr>
      <w:r>
        <w:t>2.2.3 Métricas Unitárias (Unit Economics)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1984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4252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Cálculo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Margem de Contribuição (Plano Pro)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R$ 219,00 / mês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9"/>
              </w:rPr>
              <w:t>R$ 299,00 (receita) − R$ 80,00 (custo variável em 100 docs × R$ 0,80)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CAC (Custo de Aquisição de Cliente)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R$ 250,00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9"/>
              </w:rPr>
              <w:t>Investimento em aquisição por cliente pago convertido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Retenção Média Estimada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18 meses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9"/>
              </w:rPr>
              <w:t>Premissa de churn baseada em benchmarks de SaaS B2B de nicho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LTV (Valor do Tempo de Vida)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R$ 3.942,00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9"/>
              </w:rPr>
              <w:t>Margem de Contribuição × Retenção = R$ 219,00 × 18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Relação LTV/CAC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15,77×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9"/>
              </w:rPr>
              <w:t>R$ 3.942,00 ÷ R$ 250,00 — saudável (benchmark de mercado: &gt; 3× é considerado bom)</w:t>
            </w:r>
          </w:p>
        </w:tc>
      </w:tr>
    </w:tbl>
    <w:p/>
    <w:p>
      <w:pPr>
        <w:pStyle w:val="Heading3"/>
      </w:pPr>
      <w:r>
        <w:t>2.2.4 Cálculo do Ponto de Equilíbrio (Breakeven)</w:t>
      </w:r>
    </w:p>
    <w:p>
      <w:r>
        <w:rPr>
          <w:b w:val="0"/>
          <w:i w:val="0"/>
          <w:sz w:val="22"/>
        </w:rPr>
        <w:t>O ponto de equilíbrio operacional é atingido quando a margem de contribuição total dos clientes pagos ativos cobre integralmente o custo fixo mensal:</w:t>
      </w:r>
    </w:p>
    <w:p>
      <w:pPr>
        <w:jc w:val="center"/>
      </w:pPr>
      <w:r>
        <w:rPr>
          <w:b/>
          <w:color w:val="2D5A27"/>
          <w:sz w:val="24"/>
        </w:rPr>
        <w:t>Breakeven = Custo Fixo Mensal ÷ Margem de Contribuição por Cliente</w:t>
        <w:br/>
        <w:t>Breakeven = R$ 3.800,00 ÷ R$ 219,00 = 17,35 ≈ 18 clientes pagos ativos</w:t>
      </w:r>
    </w:p>
    <w:p>
      <w:r>
        <w:rPr>
          <w:b w:val="0"/>
          <w:i w:val="0"/>
          <w:sz w:val="22"/>
        </w:rPr>
        <w:t>Na projeção de crescimento adotada (seção 2.2.5), essa marca de 18 clientes pagos ativos é atingida no Mês 3, coincidindo com o ponto em que o resultado operacional mensal (sem contar o investimento pontual em aquisição de novos clientes) passa a ser positivo.</w:t>
      </w:r>
    </w:p>
    <w:p>
      <w:pPr>
        <w:pStyle w:val="Heading3"/>
      </w:pPr>
      <w:r>
        <w:t>2.2.5 Projeção de Fluxo de Caixa (6 meses)</w:t>
      </w:r>
    </w:p>
    <w:p>
      <w:r>
        <w:rPr>
          <w:b w:val="0"/>
          <w:i w:val="0"/>
          <w:sz w:val="22"/>
        </w:rPr>
        <w:t>A projeção assume um ritmo de crescimento inicial moderado, típico de um lançamento apoiado em canais de baixo custo (parceria Claro, indicação, conteúdo) sem grande aporte em mídia paga. O "Resultado Operacional" considera apenas receita recorrente menos custos fixos e variáveis; o "Investimento em Aquisição (CAC)" é contabilizado separadamente por ser um investimento pontual de crescimento, não um custo operacional recorrente — separação necessária para não distorcer a leitura do breakeven operacional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567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Mês</w:t>
            </w:r>
          </w:p>
        </w:tc>
        <w:tc>
          <w:tcPr>
            <w:tcW w:type="dxa" w:w="1134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Clientes Pagos Ativos</w:t>
            </w:r>
          </w:p>
        </w:tc>
        <w:tc>
          <w:tcPr>
            <w:tcW w:type="dxa" w:w="1020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Novos Clientes</w:t>
            </w:r>
          </w:p>
        </w:tc>
        <w:tc>
          <w:tcPr>
            <w:tcW w:type="dxa" w:w="1020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Receita (R$)</w:t>
            </w:r>
          </w:p>
        </w:tc>
        <w:tc>
          <w:tcPr>
            <w:tcW w:type="dxa" w:w="1134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Margem Contrib. (R$)</w:t>
            </w:r>
          </w:p>
        </w:tc>
        <w:tc>
          <w:tcPr>
            <w:tcW w:type="dxa" w:w="1020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Custo Fixo (R$)</w:t>
            </w:r>
          </w:p>
        </w:tc>
        <w:tc>
          <w:tcPr>
            <w:tcW w:type="dxa" w:w="1247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Result. Operacional (R$)</w:t>
            </w:r>
          </w:p>
        </w:tc>
        <w:tc>
          <w:tcPr>
            <w:tcW w:type="dxa" w:w="1020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Invest. CAC (R$)</w:t>
            </w:r>
          </w:p>
        </w:tc>
        <w:tc>
          <w:tcPr>
            <w:tcW w:type="dxa" w:w="1134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Fluxo de Caixa Mês (R$)</w:t>
            </w:r>
          </w:p>
        </w:tc>
        <w:tc>
          <w:tcPr>
            <w:tcW w:type="dxa" w:w="1134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Fluxo Acumulado (R$)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1.495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1.095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3.800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  <w:t>-2.705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1.250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-3.955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-3.955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7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3.588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2.628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3.800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  <w:t>-1.172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1.750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-2.922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-6.877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18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5.382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3.942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3.800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  <w:t>142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1.500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-1.358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-8.235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25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7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7.475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5.475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3.800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  <w:t>1.675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1.750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-75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-8.310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33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9.867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7.227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3.800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  <w:t>3.427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2.000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1.427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-6.883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42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9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12.558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9.198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3.800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9"/>
              </w:rPr>
              <w:t>5.398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9"/>
              </w:rPr>
              <w:t>2.250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3.148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-3.735</w:t>
            </w:r>
          </w:p>
        </w:tc>
      </w:tr>
    </w:tbl>
    <w:p/>
    <w:p>
      <w:r>
        <w:rPr>
          <w:i/>
          <w:color w:val="5A6A57"/>
          <w:sz w:val="19"/>
        </w:rPr>
        <w:t>Leitura do resultado: o breakeven OPERACIONAL (a operação corrente cobre o custo fixo) é atingido no Mês 3, exatamente conforme a meta. O fluxo de caixa ACUMULADO, no entanto, só se aproxima do equilíbrio ao final do Mês 6 (-R$ 3.735) por causa do investimento em aquisição de clientes (CAC) realizado nos primeiros meses — na trajetória projetada, o breakeven de caixa acumulado ocorre por volta do Mês 8, mantido o ritmo de crescimento. Esse padrão — lucratividade operacional bem antes do breakeven de caixa — é esperado e saudável para uma startup SaaS em estágio inicial, e reforça a necessidade de capital de giro para financiar o crescimento nos primeiros meses.</w:t>
      </w:r>
    </w:p>
    <w:p>
      <w:r>
        <w:br w:type="page"/>
      </w:r>
    </w:p>
    <w:p>
      <w:pPr>
        <w:pStyle w:val="Heading1"/>
      </w:pPr>
      <w:r>
        <w:t>3. Protótipo Funcional de Alta Fidelidade</w:t>
      </w:r>
    </w:p>
    <w:p>
      <w:r>
        <w:rPr>
          <w:b w:val="0"/>
          <w:i w:val="0"/>
          <w:sz w:val="22"/>
        </w:rPr>
        <w:t>Esta seção descreve o protótipo funcional entregue nesta fase — programação real de front-end e back-end, com banco de dados em nuvem, conforme exigido. O sistema está disponível publicamente no repositório GitHub (link na seção 4) e pode ser executado localmente seguindo as instruções do próprio repositório.</w:t>
      </w:r>
    </w:p>
    <w:p>
      <w:pPr>
        <w:pStyle w:val="Heading2"/>
      </w:pPr>
      <w:r>
        <w:t>3.1 Arquitetura Implementada</w:t>
      </w:r>
    </w:p>
    <w:p>
      <w:r>
        <w:rPr>
          <w:b w:val="0"/>
          <w:i w:val="0"/>
          <w:sz w:val="22"/>
        </w:rPr>
        <w:t>O sistema é organizado em três camadas, cada uma com componentes de programação real (não protótipos visuais ou dados simulados):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3402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3685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 que faz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Hub de Convergência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Node.js / Express, JavaScript (front-end), Server-Sent Events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Interface conversacional (webchat) e portal web autenticado — recepção de documentos e feedback em tempo real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Aplicação (Core)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Python (FastAPI, Tesseract OCR, OpenCV) + Node.js (Puppeteer)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Extração de dados de documentos (OCR/NLP real) e automação RPA contra o portal do governo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Banco de Dados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PostgreSQL (Neon — nuvem)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Modelo dimensional (Star Schema) para registrar cada automação e calcular ROI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Painel de Gestão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HTML5 / CSS3 / JavaScript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Dashboard autenticado consumindo o pipeline real de ponta a ponta</w:t>
            </w:r>
          </w:p>
        </w:tc>
      </w:tr>
    </w:tbl>
    <w:p/>
    <w:p>
      <w:pPr>
        <w:pStyle w:val="Heading2"/>
      </w:pPr>
      <w:r>
        <w:t>3.2 Módulos Implementados</w:t>
      </w:r>
    </w:p>
    <w:p>
      <w:pPr>
        <w:pStyle w:val="ListBullet"/>
      </w:pPr>
      <w:r>
        <w:rPr>
          <w:b/>
        </w:rPr>
        <w:t xml:space="preserve">Hub Conversacional (Webchat): </w:t>
      </w:r>
      <w:r>
        <w:t>interface real de chat com fluxo guiado por máquina de estados, validação de arquivo (tipo e tamanho), e atualizações de status em tempo real via streaming de eventos — sem polling.</w:t>
      </w:r>
    </w:p>
    <w:p>
      <w:pPr>
        <w:pStyle w:val="ListBullet"/>
      </w:pPr>
      <w:r>
        <w:rPr>
          <w:b/>
        </w:rPr>
        <w:t xml:space="preserve">Portal Web com SSO: </w:t>
      </w:r>
      <w:r>
        <w:t>fluxo de autenticação seguindo o protocolo padrão de mercado (Authorization Code, com proteção contra CSRF), sessão segura via cookie, e isolamento de dados entre escritórios (multi-tenant).</w:t>
      </w:r>
    </w:p>
    <w:p>
      <w:pPr>
        <w:pStyle w:val="ListBullet"/>
      </w:pPr>
      <w:r>
        <w:rPr>
          <w:b/>
        </w:rPr>
        <w:t xml:space="preserve">Motor de OCR/NLP: </w:t>
      </w:r>
      <w:r>
        <w:t>microserviço Python independente: pré-processamento de imagem (OpenCV), reconhecimento de texto (Tesseract, treinado para português), higienização de string por expressão regular, validação de dígito verificador de CNPJ, e cálculo de confiança por campo extraído — testado contra documentos reais gerados para validação.</w:t>
      </w:r>
    </w:p>
    <w:p>
      <w:pPr>
        <w:pStyle w:val="ListBullet"/>
      </w:pPr>
      <w:r>
        <w:rPr>
          <w:b/>
        </w:rPr>
        <w:t xml:space="preserve">Motor de Automação RPA: </w:t>
      </w:r>
      <w:r>
        <w:t>automação real via Puppeteer contra um portal de testes, com tratamento de exceções por categoria (portal indisponível, erro de dados, etc.) e captura de protocolo — o robô só é acionado após confirmação explícita do usuário no painel, nunca de forma automática.</w:t>
      </w:r>
    </w:p>
    <w:p>
      <w:pPr>
        <w:pStyle w:val="ListBullet"/>
      </w:pPr>
      <w:r>
        <w:rPr>
          <w:b/>
        </w:rPr>
        <w:t xml:space="preserve">Banco de Dados Analítico: </w:t>
      </w:r>
      <w:r>
        <w:t>modelo dimensional completo (tabela fato de processamento de automações + 5 dimensões: Tempo, Cliente, Canal, Serviço, Status), hospedado em provedor de nuvem (Neon), com métricas de tempo economizado calculadas automaticamente pelo próprio banco.</w:t>
      </w:r>
    </w:p>
    <w:p>
      <w:pPr>
        <w:pStyle w:val="Heading2"/>
      </w:pPr>
      <w:r>
        <w:t>3.3 Banco de Dados em Nuvem</w:t>
      </w:r>
    </w:p>
    <w:p>
      <w:r>
        <w:rPr>
          <w:b w:val="0"/>
          <w:i w:val="0"/>
          <w:sz w:val="22"/>
        </w:rPr>
        <w:t>O banco de dados está hospedado no Neon (PostgreSQL serverless em nuvem), atendendo ao requisito de implementação em provedor de Cloud Computing. A camada de acesso a dados foi desenhada desde o início para suportar dois modos por trás da mesma interface — um Postgres local embutido para desenvolvimento ágil sem dependência de rede, e o Postgres em nuvem para a entrega final — trocados automaticamente por uma única variável de ambiente (DATABASE_URL), sem qualquer alteração no restante do código da aplicação.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803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Provedor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19"/>
              </w:rPr>
              <w:t>Neon (PostgreSQL serverless)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Região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19"/>
              </w:rPr>
              <w:t>sa-east-1 (América do Sul)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Conexão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19"/>
              </w:rPr>
              <w:t>SSL obrigatório (sslmode=require), via connection pooler do Neon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Schema aplicado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19"/>
              </w:rPr>
              <w:t>Star Schema completo — 1 tabela fato + 5 dimensões + 2 views analíticas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Validação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19"/>
              </w:rPr>
              <w:t>Fluxo completo testado contra o banco em nuvem: login SSO, upload, extração OCR, confirmação de envio e execução do robô, com o resultado gravado e consultado de volta com sucesso</w:t>
            </w:r>
          </w:p>
        </w:tc>
      </w:tr>
    </w:tbl>
    <w:p/>
    <w:p>
      <w:r>
        <w:rPr>
          <w:i/>
          <w:color w:val="5A6A57"/>
          <w:sz w:val="19"/>
        </w:rPr>
        <w:t>Credenciais de conexão ficam em variável de ambiente (.env), nunca commitadas no repositório — o arquivo .env.example documenta as variáveis necessárias sem expor valores reais.</w:t>
      </w:r>
    </w:p>
    <w:p>
      <w:pPr>
        <w:pStyle w:val="Heading2"/>
      </w:pPr>
      <w:r>
        <w:t>3.4 Percentual de Conclusão</w:t>
      </w:r>
    </w:p>
    <w:p>
      <w:r>
        <w:rPr>
          <w:b w:val="0"/>
          <w:i w:val="0"/>
          <w:sz w:val="22"/>
        </w:rPr>
        <w:t>Considerando os módulos com programação real funcionando de ponta a ponta (Hub, SSO, OCR, RPA, banco de dados, integração no dashboard) frente ao escopo total do MVP planejado, o projeto está estimado em aproximadamente 80% de conclusão. Os itens que permanecem como próximos passos, já especificados tecnicamente na documentação de engenharia anexa, são:</w:t>
      </w:r>
    </w:p>
    <w:p>
      <w:pPr>
        <w:pStyle w:val="ListBullet"/>
      </w:pPr>
      <w:r>
        <w:t>Integração real com WhatsApp Business API (hoje o canal conversacional é o webchat, com o mesmo contrato de eventos já pronto para o WhatsApp entrar sem reescrever a lógica);</w:t>
      </w:r>
    </w:p>
    <w:p>
      <w:pPr>
        <w:pStyle w:val="ListBullet"/>
      </w:pPr>
      <w:r>
        <w:t>Fila de mensagens assíncrona real (Redis/BullMQ) no lugar do barramento em memória atual;</w:t>
      </w:r>
    </w:p>
    <w:p>
      <w:pPr>
        <w:pStyle w:val="ListBullet"/>
      </w:pPr>
      <w:r>
        <w:t>Front-end migrado para React/Tailwind (hoje funcional em HTML/JS vanilla);</w:t>
      </w:r>
    </w:p>
    <w:p>
      <w:pPr>
        <w:pStyle w:val="ListBullet"/>
      </w:pPr>
      <w:r>
        <w:t>Painel de Status Board com histórico completo de automações e gráficos de ROI;</w:t>
      </w:r>
    </w:p>
    <w:p>
      <w:pPr>
        <w:pStyle w:val="ListBullet"/>
      </w:pPr>
      <w:r>
        <w:t>Gestão de cota do plano SaaS Freemium.</w:t>
      </w:r>
    </w:p>
    <w:p>
      <w:pPr>
        <w:pStyle w:val="Heading2"/>
      </w:pPr>
      <w:r>
        <w:t>3.5 Como Executar o Projeto</w:t>
      </w:r>
    </w:p>
    <w:p>
      <w:r>
        <w:rPr>
          <w:b w:val="0"/>
          <w:i w:val="0"/>
          <w:sz w:val="22"/>
        </w:rPr>
        <w:t>Instruções completas de instalação e execução (incluindo o setup do motor de OCR) estão documentadas nos arquivos README.md e ocr-service/README.md do repositório. Resumo:</w:t>
      </w:r>
    </w:p>
    <w:p>
      <w:pPr>
        <w:pStyle w:val="ListBullet"/>
      </w:pPr>
      <w:r>
        <w:t>Backend Node.js: npm install &amp;&amp; node server.js — sobe em http://localhost:3000</w:t>
      </w:r>
    </w:p>
    <w:p>
      <w:pPr>
        <w:pStyle w:val="ListBullet"/>
      </w:pPr>
      <w:r>
        <w:t>Motor de OCR (Python): ver ocr-service/README.md — sobe em http://localhost:8001</w:t>
      </w:r>
    </w:p>
    <w:p>
      <w:pPr>
        <w:pStyle w:val="ListBullet"/>
      </w:pPr>
      <w:r>
        <w:t>Variáveis de ambiente: copiar .env.example para .env e preencher as credenciais do banco de dados em nuvem</w:t>
      </w:r>
    </w:p>
    <w:p>
      <w:r>
        <w:br w:type="page"/>
      </w:r>
    </w:p>
    <w:p>
      <w:pPr>
        <w:pStyle w:val="Heading1"/>
      </w:pPr>
      <w:r>
        <w:t>4. Anexos e Links de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5102"/>
            <w:shd w:fill="2D5A2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Link / Local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9"/>
              </w:rPr>
              <w:t>Repositório de código (GitHub)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https://github.com/pedroamancio06/govflowai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9"/>
              </w:rPr>
              <w:t>Documentação técnica de engenharia (DDL, APIs, critérios de aceite)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docs/TECH-SPEC-MVP.md no repositório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9"/>
              </w:rPr>
              <w:t>Especificações funcionais por feature (9 specs)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docs/specs/ no repositório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9"/>
              </w:rPr>
              <w:t>Apresentação de slides (PDF)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Anexo nesta entrega — GovFlow-AI-Apresentacao.pdf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9"/>
              </w:rPr>
              <w:t>Vídeo de demonstração (YouTube, não listado)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[PREENCHER: link do vídeo]</w:t>
            </w:r>
          </w:p>
        </w:tc>
      </w:tr>
    </w:tbl>
    <w:p/>
    <w:p>
      <w:r>
        <w:rPr>
          <w:i/>
          <w:color w:val="5A6A57"/>
          <w:sz w:val="19"/>
        </w:rPr>
        <w:t>Este documento, a apresentação de slides em PDF, o link do vídeo e o link do repositório compõem, em conjunto, o pacote de entrega desta atividade, conforme especificado no enunciado.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A0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D5A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D5A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D5A2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