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139" w:line="1" w:lineRule="exact"/>
      </w:pPr>
    </w:p>
    <w:tbl>
      <w:tblPr>
        <w:tblOverlap w:val="never"/>
        <w:jc w:val="center"/>
        <w:tblLayout w:type="fixed"/>
      </w:tblPr>
      <w:tblGrid>
        <w:gridCol w:w="2442"/>
        <w:gridCol w:w="7256"/>
      </w:tblGrid>
      <w:tr>
        <w:trPr>
          <w:trHeight w:val="8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1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0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4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0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0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tbl>
      <w:tblPr>
        <w:tblOverlap w:val="never"/>
        <w:jc w:val="center"/>
        <w:tblLayout w:type="fixed"/>
      </w:tblPr>
      <w:tblGrid>
        <w:gridCol w:w="2467"/>
        <w:gridCol w:w="7286"/>
      </w:tblGrid>
      <w:tr>
        <w:trPr>
          <w:trHeight w:val="8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2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(EF09MA04) Resolver e elaborar problemas com números reais, inclusive em notação científica, envolvendo diferentes operações; (EF09MA02SE) Compreender a ide a de números reais como sendo o resultado da união do conjunto dos números racionais com o conjunto dos números irracionais e mobilizar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conhecimentos construídos para a resolução de problemas.</w:t>
            </w:r>
          </w:p>
        </w:tc>
      </w:tr>
      <w:tr>
        <w:trPr>
          <w:trHeight w:val="10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7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7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1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348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1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1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19/03/2022</w:t>
      </w:r>
    </w:p>
    <w:tbl>
      <w:tblPr>
        <w:tblOverlap w:val="never"/>
        <w:jc w:val="center"/>
        <w:tblLayout w:type="fixed"/>
      </w:tblPr>
      <w:tblGrid>
        <w:gridCol w:w="2456"/>
        <w:gridCol w:w="7242"/>
      </w:tblGrid>
      <w:tr>
        <w:trPr>
          <w:trHeight w:val="8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5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79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4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0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2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tbl>
      <w:tblPr>
        <w:tblOverlap w:val="never"/>
        <w:jc w:val="center"/>
        <w:tblLayout w:type="fixed"/>
      </w:tblPr>
      <w:tblGrid>
        <w:gridCol w:w="2452"/>
        <w:gridCol w:w="7300"/>
      </w:tblGrid>
      <w:tr>
        <w:trPr>
          <w:trHeight w:val="8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2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núneros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7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1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2014" w:left="812" w:right="808" w:bottom="1517" w:header="0" w:footer="3" w:gutter="0"/>
          <w:pgNumType w:start="1"/>
          <w:cols w:space="720"/>
          <w:noEndnote/>
          <w:rtlGutter w:val="0"/>
          <w:docGrid w:linePitch="360"/>
        </w:sectPr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7/03/2022</w:t>
      </w:r>
    </w:p>
    <w:tbl>
      <w:tblPr>
        <w:tblOverlap w:val="never"/>
        <w:jc w:val="center"/>
        <w:tblLayout w:type="fixed"/>
      </w:tblPr>
      <w:tblGrid>
        <w:gridCol w:w="2442"/>
        <w:gridCol w:w="7285"/>
      </w:tblGrid>
      <w:tr>
        <w:trPr>
          <w:trHeight w:val="9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5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80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77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8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p>
      <w:pPr>
        <w:widowControl w:val="0"/>
        <w:spacing w:after="195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4"/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213" w:left="889" w:right="847" w:bottom="125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9883775</wp:posOffset>
              </wp:positionV>
              <wp:extent cx="5006340" cy="11747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0634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:ua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1.299999999999997pt;margin-top:778.25pt;width:394.19999999999999pt;height:9.2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:ua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10490200</wp:posOffset>
              </wp:positionV>
              <wp:extent cx="2018665" cy="1174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18665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&gt;020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1.299999999999997pt;margin-top:826.pt;width:158.94999999999999pt;height:9.2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&gt;020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9896475</wp:posOffset>
              </wp:positionV>
              <wp:extent cx="4975225" cy="11620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75225" cy="116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2.299999999999997pt;margin-top:779.25pt;width:391.75pt;height:9.1500000000000004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10496550</wp:posOffset>
              </wp:positionV>
              <wp:extent cx="1998980" cy="11684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98980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'.020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42.299999999999997pt;margin-top:826.5pt;width:157.40000000000001pt;height:9.1999999999999993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'.020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3223260</wp:posOffset>
              </wp:positionH>
              <wp:positionV relativeFrom="page">
                <wp:posOffset>160655</wp:posOffset>
              </wp:positionV>
              <wp:extent cx="1506220" cy="2152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6220" cy="215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80000000000001pt;margin-top:12.65pt;width:118.59999999999999pt;height:16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551815</wp:posOffset>
              </wp:positionH>
              <wp:positionV relativeFrom="page">
                <wp:posOffset>770255</wp:posOffset>
              </wp:positionV>
              <wp:extent cx="690245" cy="10731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0245" cy="1073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14/03/2022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3.450000000000003pt;margin-top:60.649999999999999pt;width:54.350000000000001pt;height:8.449999999999999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14/03/2022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3218180</wp:posOffset>
              </wp:positionH>
              <wp:positionV relativeFrom="page">
                <wp:posOffset>205105</wp:posOffset>
              </wp:positionV>
              <wp:extent cx="1515110" cy="21526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5110" cy="215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53.40000000000001pt;margin-top:16.149999999999999pt;width:119.3pt;height:16.94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29" w:lineRule="auto"/>
      <w:ind w:left="360" w:right="5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