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620" w:line="240" w:lineRule="auto"/>
        <w:ind w:left="472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0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12/04/2022</w:t>
      </w:r>
    </w:p>
    <w:tbl>
      <w:tblPr>
        <w:tblOverlap w:val="never"/>
        <w:jc w:val="center"/>
        <w:tblLayout w:type="fixed"/>
      </w:tblPr>
      <w:tblGrid>
        <w:gridCol w:w="2663"/>
        <w:gridCol w:w="7819"/>
      </w:tblGrid>
      <w:tr>
        <w:trPr>
          <w:trHeight w:val="9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tabs>
                <w:tab w:leader="underscore" w:pos="7680" w:val="left"/>
              </w:tabs>
              <w:bidi w:val="0"/>
              <w:spacing w:before="0" w:after="42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ab/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multiplicação e seu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</w:t>
            </w:r>
          </w:p>
        </w:tc>
      </w:tr>
      <w:tr>
        <w:trPr>
          <w:trHeight w:val="435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(EF05MA08) Resolver e elaborar problemas de multiplicação e divisão com números naturais e com números racionais cuja representação decimal é finita (com multiplicador natural e divisor natural e diferente de zero), utilizando estratégias diversas, como cálculo por estimativa, cálculo mental e algoritmos. (EF06MA03) Resolver e elaborar problemas que envolvam cálculos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(mentais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comunidade. (EF06MA02SE) Reconhecer e resolver situações problemas com o uso das operações com números naturais e identificar relações sociais e culturais em que há a presença destas operações, a exemplo de dados referentes a escola e a comunidade</w:t>
            </w:r>
          </w:p>
        </w:tc>
      </w:tr>
      <w:tr>
        <w:trPr>
          <w:trHeight w:val="86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Atividade em apostilha sobre o conteúdo abordado</w:t>
            </w:r>
          </w:p>
        </w:tc>
      </w:tr>
      <w:tr>
        <w:trPr>
          <w:trHeight w:val="8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 que envolvam multiplicação; atividades sobre o conteúdo abordado</w:t>
            </w:r>
          </w:p>
        </w:tc>
      </w:tr>
      <w:tr>
        <w:trPr>
          <w:trHeight w:val="57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vídeos ; material impresso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99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problemas com multiplicações e divisões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13/04/2022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p>
      <w:pPr>
        <w:widowControl w:val="0"/>
        <w:jc w:val="right"/>
        <w:rPr>
          <w:sz w:val="2"/>
          <w:szCs w:val="2"/>
        </w:rPr>
      </w:pPr>
      <w:r>
        <w:drawing>
          <wp:inline>
            <wp:extent cx="127635" cy="14732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27635" cy="14732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40" w:line="240" w:lineRule="auto"/>
        <w:ind w:left="474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Planejamentos</w:t>
      </w:r>
      <w:bookmarkEnd w:id="2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12/04/2022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13/04/2022</w:t>
      </w:r>
    </w:p>
    <w:tbl>
      <w:tblPr>
        <w:tblOverlap w:val="never"/>
        <w:jc w:val="center"/>
        <w:tblLayout w:type="fixed"/>
      </w:tblPr>
      <w:tblGrid>
        <w:gridCol w:w="2739"/>
        <w:gridCol w:w="7936"/>
      </w:tblGrid>
      <w:tr>
        <w:trPr>
          <w:trHeight w:val="9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Resolvendo problemas com multiplicações e divisões</w:t>
            </w:r>
          </w:p>
        </w:tc>
      </w:tr>
      <w:tr>
        <w:trPr>
          <w:trHeight w:val="438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(EF05MA08) Resolver e elaborar problemas de multiplicação e divisão com números naturais e com números racionais cuja representação decimal é finita (com multiplicador natural e divisor natural e diferente de zero), utilizando estratégias diversas, como cálculo por estimativa, cálculo mental e algoritmos. (EF06MA03) Resolver e elaborar problemas que envolvam cálculos (mentais ou escritos, exatos ou aproximados) com números naturais, por meio de estratégias variadas, com compreensão dos processos neles envolvidos com e sem uso de calculadora,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ao qual pertence, a exemplos de dados referentes à escola e à comunidade (EF06MA02SE) Reconhecer e resolver situações problemas com o uso das operações com números naturais e identificar relações sociais e culturais em que há a presença destas operações, a exemplo de dados referentes a escola e a comunidade.</w:t>
            </w:r>
          </w:p>
        </w:tc>
      </w:tr>
      <w:tr>
        <w:trPr>
          <w:trHeight w:val="87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Atividade em apostilha sobre o conteúdo abordado</w:t>
            </w:r>
          </w:p>
        </w:tc>
      </w:tr>
      <w:tr>
        <w:trPr>
          <w:trHeight w:val="89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problemas que envolvam multiplicação; atividades sobre o conteúdo abordado</w:t>
            </w:r>
          </w:p>
        </w:tc>
      </w:tr>
      <w:tr>
        <w:trPr>
          <w:trHeight w:val="54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vídeos; material impresso</w:t>
            </w:r>
          </w:p>
        </w:tc>
      </w:tr>
      <w:tr>
        <w:trPr>
          <w:trHeight w:val="56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939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Interpretação e resolução de problemas com multiplicações e divisões</w:t>
            </w:r>
          </w:p>
        </w:tc>
      </w:tr>
    </w:tbl>
    <w:p>
      <w:pPr>
        <w:widowControl w:val="0"/>
        <w:spacing w:after="221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lua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sectPr>
      <w:footerReference w:type="default" r:id="rId7"/>
      <w:footerReference w:type="even" r:id="rId8"/>
      <w:footnotePr>
        <w:pos w:val="pageBottom"/>
        <w:numFmt w:val="decimal"/>
        <w:numRestart w:val="continuous"/>
      </w:footnotePr>
      <w:pgSz w:w="11900" w:h="16840"/>
      <w:pgMar w:top="129" w:left="346" w:right="299" w:bottom="469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248285</wp:posOffset>
              </wp:positionH>
              <wp:positionV relativeFrom="page">
                <wp:posOffset>10307955</wp:posOffset>
              </wp:positionV>
              <wp:extent cx="2261235" cy="137795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61235" cy="1377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9.550000000000001pt;margin-top:811.64999999999998pt;width:178.05000000000001pt;height:10.8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558165</wp:posOffset>
              </wp:positionH>
              <wp:positionV relativeFrom="page">
                <wp:posOffset>10459085</wp:posOffset>
              </wp:positionV>
              <wp:extent cx="1928495" cy="139065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28495" cy="1390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43.950000000000003pt;margin-top:823.54999999999995pt;width:151.84999999999999pt;height:10.94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Heading #1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Body text|2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0">
    <w:name w:val="Other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Heading #2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4">
    <w:name w:val="Body text|1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FFFFFF"/>
      <w:spacing w:after="630"/>
      <w:ind w:left="473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Body text|2"/>
    <w:basedOn w:val="Normal"/>
    <w:link w:val="CharStyle8"/>
    <w:pPr>
      <w:widowControl w:val="0"/>
      <w:shd w:val="clear" w:color="auto" w:fill="FFFFFF"/>
      <w:spacing w:after="72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9">
    <w:name w:val="Other|1"/>
    <w:basedOn w:val="Normal"/>
    <w:link w:val="CharStyle10"/>
    <w:pPr>
      <w:widowControl w:val="0"/>
      <w:shd w:val="clear" w:color="auto" w:fill="FFFFFF"/>
      <w:spacing w:line="331" w:lineRule="auto"/>
      <w:ind w:lef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Heading #2|1"/>
    <w:basedOn w:val="Normal"/>
    <w:link w:val="CharStyle12"/>
    <w:pPr>
      <w:widowControl w:val="0"/>
      <w:shd w:val="clear" w:color="auto" w:fill="FFFFFF"/>
      <w:spacing w:after="25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3">
    <w:name w:val="Body text|1"/>
    <w:basedOn w:val="Normal"/>
    <w:link w:val="CharStyle14"/>
    <w:pPr>
      <w:widowControl w:val="0"/>
      <w:shd w:val="clear" w:color="auto" w:fill="FFFFFF"/>
      <w:spacing w:after="27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