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  <w:bookmarkEnd w:id="1"/>
    </w:p>
    <w:tbl>
      <w:tblPr>
        <w:tblOverlap w:val="never"/>
        <w:jc w:val="center"/>
        <w:tblLayout w:type="fixed"/>
      </w:tblPr>
      <w:tblGrid>
        <w:gridCol w:w="2996"/>
        <w:gridCol w:w="8309"/>
      </w:tblGrid>
      <w:tr>
        <w:trPr>
          <w:trHeight w:val="97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da porcentagem no dia a dia</w:t>
            </w:r>
          </w:p>
        </w:tc>
      </w:tr>
      <w:tr>
        <w:trPr>
          <w:trHeight w:val="12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(EF08MA04) Resolver e elaborar problemas, envolvendo cálculo de porcentagens, incluindo o uso de tecnologias digitais relacionadas ao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aluno.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</w:t>
            </w:r>
          </w:p>
        </w:tc>
      </w:tr>
      <w:tr>
        <w:trPr>
          <w:trHeight w:val="9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 que envolvam o calculo da porcentagem; atividades sobre o conteúdo abordado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impresso;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04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porcentagem</w:t>
            </w:r>
          </w:p>
        </w:tc>
      </w:tr>
    </w:tbl>
    <w:p>
      <w:pPr>
        <w:widowControl w:val="0"/>
        <w:spacing w:after="1319" w:line="1" w:lineRule="exact"/>
      </w:pP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182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  <w:bookmarkEnd w:id="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67" w:lineRule="auto"/>
        <w:ind w:left="0" w:right="800" w:firstLine="0"/>
        <w:jc w:val="left"/>
      </w:pP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pt-PT" w:eastAsia="pt-PT" w:bidi="pt-PT"/>
        </w:rPr>
        <w:t xml:space="preserve">5EDUC- Secretaria de Estado da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pt-PT" w:eastAsia="pt-PT" w:bidi="pt-PT"/>
        </w:rPr>
        <w:t xml:space="preserve">do Esporte e da Cultura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34.841.195/0001 -14 £020 Desenvolvido por CODIN/SEDUC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3"/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  <w:bookmarkEnd w:id="4"/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  <w:bookmarkEnd w:id="5"/>
    </w:p>
    <w:tbl>
      <w:tblPr>
        <w:tblOverlap w:val="never"/>
        <w:jc w:val="center"/>
        <w:tblLayout w:type="fixed"/>
      </w:tblPr>
      <w:tblGrid>
        <w:gridCol w:w="2996"/>
        <w:gridCol w:w="8292"/>
      </w:tblGrid>
      <w:tr>
        <w:trPr>
          <w:trHeight w:val="44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porcentagem</w:t>
            </w:r>
          </w:p>
        </w:tc>
      </w:tr>
      <w:tr>
        <w:trPr>
          <w:trHeight w:val="12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(EF08MA04) Resolver e elaborar problemas, envolvendo cálculo de porcentagens, incluindo o uso de tecnologias digitais relacionadas ao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aluno.</w:t>
            </w:r>
          </w:p>
        </w:tc>
      </w:tr>
      <w:tr>
        <w:trPr>
          <w:trHeight w:val="62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</w:t>
            </w:r>
          </w:p>
        </w:tc>
      </w:tr>
      <w:tr>
        <w:trPr>
          <w:trHeight w:val="94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 que envolvam o calculo da porcentagem; atividades sobre o conteúdo abordado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impresso;</w:t>
            </w:r>
          </w:p>
        </w:tc>
      </w:tr>
      <w:tr>
        <w:trPr>
          <w:trHeight w:val="62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4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porcentagem</w:t>
            </w:r>
          </w:p>
        </w:tc>
      </w:tr>
    </w:tbl>
    <w:p>
      <w:pPr>
        <w:widowControl w:val="0"/>
        <w:spacing w:after="29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74" w:lineRule="auto"/>
        <w:ind w:left="0" w:right="800" w:firstLine="0"/>
        <w:jc w:val="left"/>
      </w:pP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pt-PT" w:eastAsia="pt-PT" w:bidi="pt-PT"/>
        </w:rPr>
        <w:t xml:space="preserve">do Esporte e da Cultura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!ua Guiemberg Chagas.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34.841.195/0001 -14 ?020 Desenvolvido por CODIN/SEDUC</w:t>
      </w:r>
    </w:p>
    <w:sectPr>
      <w:footnotePr>
        <w:pos w:val="pageBottom"/>
        <w:numFmt w:val="decimal"/>
        <w:numRestart w:val="continuous"/>
      </w:footnotePr>
      <w:pgSz w:w="12240" w:h="15840"/>
      <w:pgMar w:top="780" w:left="170" w:right="170" w:bottom="559" w:header="352" w:footer="13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harStyle5">
    <w:name w:val="Heading #2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9">
    <w:name w:val="Body text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80"/>
      <w:ind w:left="510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paragraph" w:customStyle="1" w:styleId="Style4">
    <w:name w:val="Heading #2|1"/>
    <w:basedOn w:val="Normal"/>
    <w:link w:val="CharStyle5"/>
    <w:pPr>
      <w:widowControl w:val="0"/>
      <w:shd w:val="clear" w:color="auto" w:fill="FFFFFF"/>
      <w:spacing w:after="111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FFFFFF"/>
      <w:spacing w:line="48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