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60" w:after="62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18/04/2022</w:t>
      </w:r>
    </w:p>
    <w:tbl>
      <w:tblPr>
        <w:tblOverlap w:val="never"/>
        <w:jc w:val="center"/>
        <w:tblLayout w:type="fixed"/>
      </w:tblPr>
      <w:tblGrid>
        <w:gridCol w:w="2848"/>
        <w:gridCol w:w="7991"/>
      </w:tblGrid>
      <w:tr>
        <w:trPr>
          <w:trHeight w:val="10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90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individuais e/ou em grupo.</w:t>
            </w:r>
          </w:p>
        </w:tc>
      </w:tr>
      <w:tr>
        <w:trPr>
          <w:trHeight w:val="90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8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144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14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20/04/2022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19/04/2022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?ua Gutemberg Chagas, 169-DIA-CEP: 49040-780-Aracaju-SE - CNPJ: 34.841.195/0001-14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18/04/2022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20/04/2022</w:t>
      </w:r>
    </w:p>
    <w:tbl>
      <w:tblPr>
        <w:tblOverlap w:val="never"/>
        <w:jc w:val="center"/>
        <w:tblLayout w:type="fixed"/>
      </w:tblPr>
      <w:tblGrid>
        <w:gridCol w:w="2738"/>
        <w:gridCol w:w="7912"/>
      </w:tblGrid>
      <w:tr>
        <w:trPr>
          <w:trHeight w:val="10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6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 A04) Resolver e elaborar problemas com números reais, inclusive em notação científica, envolvendo diferentes operações; (EF09MA02SE)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3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coordenação/onentação da equipe diretiva. Tira dúvidas via redes sociais e/ou plataforma Google Meet em horário pré estabelecido.</w:t>
            </w:r>
          </w:p>
        </w:tc>
      </w:tr>
      <w:tr>
        <w:trPr>
          <w:trHeight w:val="90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individuais e/ou em grupo.</w:t>
            </w:r>
          </w:p>
        </w:tc>
      </w:tr>
      <w:tr>
        <w:trPr>
          <w:trHeight w:val="90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31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0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19/04/2022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382" w:left="222" w:right="206" w:bottom="1371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?ua Gutemberg Chagas, 169-DIA-CEP: 49040-780-Aracaju-SE - CNPJ: 34.841.195/0001-14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18/04/2022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20/04/2022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pt-PT" w:eastAsia="pt-PT" w:bidi="pt-PT"/>
        </w:rPr>
        <w:t>19/04/2022</w:t>
      </w:r>
    </w:p>
    <w:tbl>
      <w:tblPr>
        <w:tblOverlap w:val="never"/>
        <w:jc w:val="right"/>
        <w:tblLayout w:type="fixed"/>
      </w:tblPr>
      <w:tblGrid>
        <w:gridCol w:w="2640"/>
        <w:gridCol w:w="8032"/>
      </w:tblGrid>
      <w:tr>
        <w:trPr>
          <w:trHeight w:val="10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cientifica, envolvendo diferentes operações; (EF09MA02SE)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4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9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individuais e/ou em grupo.</w:t>
            </w:r>
          </w:p>
        </w:tc>
      </w:tr>
      <w:tr>
        <w:trPr>
          <w:trHeight w:val="89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9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128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229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?ua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1900" w:h="16840"/>
      <w:pgMar w:top="1382" w:left="222" w:right="206" w:bottom="1371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603250</wp:posOffset>
              </wp:positionH>
              <wp:positionV relativeFrom="page">
                <wp:posOffset>10345420</wp:posOffset>
              </wp:positionV>
              <wp:extent cx="1878965" cy="1409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78965" cy="1409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7.5pt;margin-top:814.60000000000002pt;width:147.94999999999999pt;height:11.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140970</wp:posOffset>
              </wp:positionH>
              <wp:positionV relativeFrom="page">
                <wp:posOffset>10340975</wp:posOffset>
              </wp:positionV>
              <wp:extent cx="2346960" cy="15240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4696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11.1pt;margin-top:814.25pt;width:184.80000000000001pt;height:12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140970</wp:posOffset>
              </wp:positionH>
              <wp:positionV relativeFrom="page">
                <wp:posOffset>10188575</wp:posOffset>
              </wp:positionV>
              <wp:extent cx="727456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72745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.1pt;margin-top:802.25pt;width:572.79999999999995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3275965</wp:posOffset>
              </wp:positionH>
              <wp:positionV relativeFrom="page">
                <wp:posOffset>287020</wp:posOffset>
              </wp:positionV>
              <wp:extent cx="1708150" cy="24130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8150" cy="241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7.94999999999999pt;margin-top:22.600000000000001pt;width:134.5pt;height:19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3270250</wp:posOffset>
              </wp:positionH>
              <wp:positionV relativeFrom="page">
                <wp:posOffset>191135</wp:posOffset>
              </wp:positionV>
              <wp:extent cx="1727200" cy="24384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2720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57.5pt;margin-top:15.050000000000001pt;width:136.pt;height:19.1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spacing w:line="305" w:lineRule="auto"/>
      <w:ind w:lef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23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